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黑体" w:hAnsi="黑体" w:eastAsia="黑体" w:cs="黑体"/>
          <w:b/>
          <w:color w:val="000000"/>
          <w:sz w:val="44"/>
        </w:rPr>
        <w:t>2022</w:t>
      </w:r>
      <w:r>
        <w:rPr>
          <w:rFonts w:hint="eastAsia" w:ascii="黑体" w:hAnsi="黑体" w:eastAsia="黑体" w:cs="黑体"/>
          <w:b/>
          <w:color w:val="000000"/>
          <w:sz w:val="44"/>
        </w:rPr>
        <w:t>年部门预算信息公开目录</w:t>
      </w:r>
    </w:p>
    <w:p>
      <w:pPr>
        <w:jc w:val="center"/>
        <w:rPr>
          <w:rFonts w:eastAsia="Times New Roman"/>
        </w:rPr>
      </w:pPr>
      <w:r>
        <w:rPr>
          <w:rFonts w:ascii="黑体" w:hAnsi="黑体" w:eastAsia="黑体" w:cs="黑体"/>
          <w:b/>
          <w:color w:val="000000"/>
          <w:sz w:val="30"/>
        </w:rPr>
        <w:t xml:space="preserve"> </w:t>
      </w:r>
    </w:p>
    <w:p>
      <w:pPr>
        <w:jc w:val="center"/>
        <w:rPr>
          <w:rFonts w:eastAsia="Times New Roman"/>
          <w:lang w:eastAsia="zh-CN"/>
        </w:rPr>
      </w:pPr>
    </w:p>
    <w:p>
      <w:pPr>
        <w:rPr>
          <w:rFonts w:eastAsia="Times New Roman"/>
        </w:rPr>
      </w:pPr>
      <w:r>
        <w:rPr>
          <w:rFonts w:hint="eastAsia"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rPr>
          <w:lang w:eastAsia="zh-CN"/>
        </w:rPr>
        <w:t>3</w:t>
      </w:r>
      <w:r>
        <w:rPr>
          <w:lang w:eastAsia="zh-CN"/>
        </w:rPr>
        <w:fldChar w:fldCharType="end"/>
      </w:r>
    </w:p>
    <w:p>
      <w:pPr>
        <w:pStyle w:val="4"/>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rPr>
          <w:lang w:eastAsia="zh-CN"/>
        </w:rPr>
        <w:t>5</w:t>
      </w:r>
      <w:r>
        <w:rPr>
          <w:lang w:eastAsia="zh-CN"/>
        </w:rPr>
        <w:fldChar w:fldCharType="end"/>
      </w:r>
    </w:p>
    <w:p>
      <w:pPr>
        <w:pStyle w:val="4"/>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rPr>
          <w:lang w:eastAsia="zh-CN"/>
        </w:rPr>
        <w:t>7</w:t>
      </w:r>
      <w:r>
        <w:rPr>
          <w:lang w:eastAsia="zh-CN"/>
        </w:rPr>
        <w:fldChar w:fldCharType="end"/>
      </w:r>
    </w:p>
    <w:p>
      <w:pPr>
        <w:pStyle w:val="4"/>
        <w:tabs>
          <w:tab w:val="right" w:leader="dot" w:pos="14562"/>
        </w:tabs>
        <w:rPr>
          <w:lang w:eastAsia="zh-CN"/>
        </w:rPr>
      </w:pPr>
      <w:r>
        <w:fldChar w:fldCharType="begin"/>
      </w:r>
      <w:r>
        <w:instrText xml:space="preserve"> HYPERLINK \l "_Toc_2_2_0000000004" </w:instrText>
      </w:r>
      <w:r>
        <w:fldChar w:fldCharType="separate"/>
      </w:r>
      <w:r>
        <w:rPr>
          <w:rFonts w:hint="eastAsia"/>
        </w:rPr>
        <w:t>部门预算财政拨款收支总表</w:t>
      </w:r>
      <w:r>
        <w:tab/>
      </w:r>
      <w:r>
        <w:rPr>
          <w:lang w:eastAsia="zh-CN"/>
        </w:rPr>
        <w:t>9</w:t>
      </w:r>
      <w:r>
        <w:rPr>
          <w:lang w:eastAsia="zh-CN"/>
        </w:rPr>
        <w:fldChar w:fldCharType="end"/>
      </w:r>
    </w:p>
    <w:p>
      <w:pPr>
        <w:pStyle w:val="4"/>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rPr>
          <w:lang w:eastAsia="zh-CN"/>
        </w:rPr>
        <w:t>12</w:t>
      </w:r>
      <w:r>
        <w:rPr>
          <w:lang w:eastAsia="zh-CN"/>
        </w:rPr>
        <w:fldChar w:fldCharType="end"/>
      </w:r>
    </w:p>
    <w:p>
      <w:pPr>
        <w:pStyle w:val="4"/>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rPr>
          <w:lang w:eastAsia="zh-CN"/>
        </w:rPr>
        <w:t>13</w:t>
      </w:r>
      <w:r>
        <w:rPr>
          <w:lang w:eastAsia="zh-CN"/>
        </w:rPr>
        <w:fldChar w:fldCharType="end"/>
      </w:r>
    </w:p>
    <w:p>
      <w:pPr>
        <w:pStyle w:val="4"/>
        <w:tabs>
          <w:tab w:val="right" w:leader="dot" w:pos="14562"/>
        </w:tabs>
      </w:pPr>
      <w:r>
        <w:fldChar w:fldCharType="begin"/>
      </w:r>
      <w:r>
        <w:instrText xml:space="preserve"> HYPERLINK \l "_Toc_2_2_0000000007" </w:instrText>
      </w:r>
      <w:r>
        <w:fldChar w:fldCharType="separate"/>
      </w:r>
      <w:r>
        <w:rPr>
          <w:rFonts w:hint="eastAsia"/>
        </w:rPr>
        <w:t>部门预算政府基金预算财政拨款支出表</w:t>
      </w:r>
      <w:r>
        <w:tab/>
      </w:r>
      <w:r>
        <w:rPr>
          <w:lang w:eastAsia="zh-CN"/>
        </w:rPr>
        <w:t>15</w:t>
      </w:r>
      <w:r>
        <w:rPr>
          <w:lang w:eastAsia="zh-CN"/>
        </w:rPr>
        <w:fldChar w:fldCharType="end"/>
      </w:r>
    </w:p>
    <w:p>
      <w:pPr>
        <w:pStyle w:val="4"/>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rPr>
          <w:lang w:eastAsia="zh-CN"/>
        </w:rPr>
        <w:t>16</w:t>
      </w:r>
      <w:r>
        <w:rPr>
          <w:lang w:eastAsia="zh-CN"/>
        </w:rPr>
        <w:fldChar w:fldCharType="end"/>
      </w:r>
    </w:p>
    <w:p>
      <w:pPr>
        <w:pStyle w:val="4"/>
        <w:tabs>
          <w:tab w:val="right" w:leader="dot" w:pos="14562"/>
        </w:tabs>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rPr>
          <w:lang w:eastAsia="zh-CN"/>
        </w:rPr>
        <w:t>17</w:t>
      </w:r>
      <w:r>
        <w:rPr>
          <w:lang w:eastAsia="zh-CN"/>
        </w:rPr>
        <w:fldChar w:fldCharType="end"/>
      </w:r>
    </w:p>
    <w:p>
      <w:r>
        <w:fldChar w:fldCharType="end"/>
      </w:r>
    </w:p>
    <w:p>
      <w:r>
        <w:rPr>
          <w:rFonts w:hint="eastAsia" w:ascii="方正楷体_GBK" w:hAnsi="方正楷体_GBK" w:eastAsia="方正楷体_GBK" w:cs="方正楷体_GBK"/>
          <w:b/>
          <w:color w:val="000000"/>
          <w:sz w:val="28"/>
        </w:rPr>
        <w:t>部门预算信息公开情况说明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rPr>
          <w:lang w:eastAsia="zh-CN"/>
        </w:rPr>
        <w:t>18</w:t>
      </w:r>
      <w:r>
        <w:rPr>
          <w:lang w:eastAsia="zh-CN"/>
        </w:rPr>
        <w:fldChar w:fldCharType="end"/>
      </w:r>
    </w:p>
    <w:p>
      <w:pPr>
        <w:pStyle w:val="4"/>
        <w:tabs>
          <w:tab w:val="right" w:leader="dot" w:pos="14562"/>
        </w:tabs>
      </w:pPr>
      <w:r>
        <w:fldChar w:fldCharType="begin"/>
      </w:r>
      <w:r>
        <w:instrText xml:space="preserve"> HYPERLINK \l "_Toc_3_3_0000000011" </w:instrText>
      </w:r>
      <w:r>
        <w:fldChar w:fldCharType="separate"/>
      </w:r>
      <w:r>
        <w:rPr>
          <w:rFonts w:hint="eastAsia"/>
        </w:rPr>
        <w:t>二、部门预算安排的总体情况</w:t>
      </w:r>
      <w:r>
        <w:tab/>
      </w:r>
      <w:r>
        <w:rPr>
          <w:lang w:eastAsia="zh-CN"/>
        </w:rPr>
        <w:t>19</w:t>
      </w:r>
      <w:r>
        <w:rPr>
          <w:lang w:eastAsia="zh-CN"/>
        </w:rPr>
        <w:fldChar w:fldCharType="end"/>
      </w:r>
    </w:p>
    <w:p>
      <w:pPr>
        <w:pStyle w:val="4"/>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rPr>
          <w:lang w:eastAsia="zh-CN"/>
        </w:rPr>
        <w:t>20</w:t>
      </w:r>
      <w:r>
        <w:rPr>
          <w:lang w:eastAsia="zh-CN"/>
        </w:rPr>
        <w:fldChar w:fldCharType="end"/>
      </w:r>
    </w:p>
    <w:p>
      <w:pPr>
        <w:pStyle w:val="4"/>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rPr>
          <w:lang w:eastAsia="zh-CN"/>
        </w:rPr>
        <w:t>20</w:t>
      </w:r>
      <w:r>
        <w:rPr>
          <w:lang w:eastAsia="zh-CN"/>
        </w:rPr>
        <w:fldChar w:fldCharType="end"/>
      </w:r>
    </w:p>
    <w:p>
      <w:pPr>
        <w:pStyle w:val="4"/>
        <w:tabs>
          <w:tab w:val="right" w:leader="dot" w:pos="14562"/>
        </w:tabs>
      </w:pPr>
      <w:r>
        <w:fldChar w:fldCharType="begin"/>
      </w:r>
      <w:r>
        <w:instrText xml:space="preserve"> HYPERLINK \l "_Toc_3_3_0000000014" </w:instrText>
      </w:r>
      <w:r>
        <w:fldChar w:fldCharType="separate"/>
      </w:r>
      <w:r>
        <w:rPr>
          <w:rFonts w:hint="eastAsia"/>
        </w:rPr>
        <w:t>五、预算绩效信息</w:t>
      </w:r>
      <w:r>
        <w:tab/>
      </w:r>
      <w:r>
        <w:rPr>
          <w:lang w:eastAsia="zh-CN"/>
        </w:rPr>
        <w:t>21</w:t>
      </w:r>
      <w:r>
        <w:rPr>
          <w:lang w:eastAsia="zh-CN"/>
        </w:rPr>
        <w:fldChar w:fldCharType="end"/>
      </w:r>
    </w:p>
    <w:p>
      <w:pPr>
        <w:pStyle w:val="4"/>
        <w:tabs>
          <w:tab w:val="right" w:leader="dot" w:pos="14562"/>
        </w:tabs>
      </w:pPr>
      <w:r>
        <w:fldChar w:fldCharType="begin"/>
      </w:r>
      <w:r>
        <w:instrText xml:space="preserve"> HYPERLINK \l "_Toc_3_3_0000000015" </w:instrText>
      </w:r>
      <w:r>
        <w:fldChar w:fldCharType="separate"/>
      </w:r>
      <w:r>
        <w:rPr>
          <w:rFonts w:hint="eastAsia"/>
        </w:rPr>
        <w:t>六、政府采购预算情况</w:t>
      </w:r>
      <w:r>
        <w:tab/>
      </w:r>
      <w:r>
        <w:rPr>
          <w:lang w:eastAsia="zh-CN"/>
        </w:rPr>
        <w:t>28</w:t>
      </w:r>
      <w:r>
        <w:rPr>
          <w:lang w:eastAsia="zh-CN"/>
        </w:rPr>
        <w:fldChar w:fldCharType="end"/>
      </w:r>
    </w:p>
    <w:p>
      <w:pPr>
        <w:pStyle w:val="4"/>
        <w:tabs>
          <w:tab w:val="right" w:leader="dot" w:pos="14562"/>
        </w:tabs>
      </w:pPr>
      <w:r>
        <w:fldChar w:fldCharType="begin"/>
      </w:r>
      <w:r>
        <w:instrText xml:space="preserve"> HYPERLINK \l "_Toc_3_3_0000000016" </w:instrText>
      </w:r>
      <w:r>
        <w:fldChar w:fldCharType="separate"/>
      </w:r>
      <w:r>
        <w:rPr>
          <w:rFonts w:hint="eastAsia"/>
        </w:rPr>
        <w:t>七、国有资产信息</w:t>
      </w:r>
      <w:r>
        <w:tab/>
      </w:r>
      <w:r>
        <w:rPr>
          <w:lang w:eastAsia="zh-CN"/>
        </w:rPr>
        <w:t>28</w:t>
      </w:r>
      <w:r>
        <w:rPr>
          <w:lang w:eastAsia="zh-CN"/>
        </w:rPr>
        <w:fldChar w:fldCharType="end"/>
      </w:r>
    </w:p>
    <w:p>
      <w:pPr>
        <w:pStyle w:val="4"/>
        <w:tabs>
          <w:tab w:val="right" w:leader="dot" w:pos="14562"/>
        </w:tabs>
        <w:rPr>
          <w:lang w:eastAsia="zh-CN"/>
        </w:rPr>
      </w:pPr>
      <w:r>
        <w:fldChar w:fldCharType="begin"/>
      </w:r>
      <w:r>
        <w:instrText xml:space="preserve"> HYPERLINK \l "_Toc_3_3_0000000017" </w:instrText>
      </w:r>
      <w:r>
        <w:fldChar w:fldCharType="separate"/>
      </w:r>
      <w:r>
        <w:rPr>
          <w:rFonts w:hint="eastAsia"/>
        </w:rPr>
        <w:t>八、名词解释</w:t>
      </w:r>
      <w:r>
        <w:tab/>
      </w:r>
      <w:r>
        <w:rPr>
          <w:lang w:eastAsia="zh-CN"/>
        </w:rPr>
        <w:t>29</w:t>
      </w:r>
      <w:r>
        <w:rPr>
          <w:lang w:eastAsia="zh-CN"/>
        </w:rPr>
        <w:fldChar w:fldCharType="end"/>
      </w:r>
    </w:p>
    <w:p>
      <w:pPr>
        <w:pStyle w:val="4"/>
        <w:tabs>
          <w:tab w:val="right" w:leader="dot" w:pos="14562"/>
        </w:tabs>
      </w:pPr>
      <w:r>
        <w:fldChar w:fldCharType="begin"/>
      </w:r>
      <w:r>
        <w:instrText xml:space="preserve"> HYPERLINK \l "_Toc_3_3_0000000018" </w:instrText>
      </w:r>
      <w:r>
        <w:fldChar w:fldCharType="separate"/>
      </w:r>
      <w:r>
        <w:rPr>
          <w:rFonts w:hint="eastAsia"/>
        </w:rPr>
        <w:t>九、其他需要说明的事项</w:t>
      </w:r>
      <w:r>
        <w:tab/>
      </w:r>
      <w:r>
        <w:rPr>
          <w:lang w:eastAsia="zh-CN"/>
        </w:rPr>
        <w:t>30</w:t>
      </w:r>
      <w:r>
        <w:rPr>
          <w:lang w:eastAsia="zh-CN"/>
        </w:rPr>
        <w:fldChar w:fldCharType="end"/>
      </w:r>
    </w:p>
    <w:p>
      <w:r>
        <w:fldChar w:fldCharType="end"/>
      </w:r>
    </w:p>
    <w:p>
      <w:pPr>
        <w:jc w:val="cente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outlineLvl w:val="0"/>
        <w:rPr>
          <w:lang w:eastAsia="zh-CN"/>
        </w:r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501</w:t>
            </w:r>
            <w:r>
              <w:rPr>
                <w:rFonts w:hint="eastAsia"/>
              </w:rPr>
              <w:t>馆陶县信访局</w:t>
            </w:r>
          </w:p>
        </w:tc>
        <w:tc>
          <w:tcPr>
            <w:tcW w:w="2126"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6661" w:type="dxa"/>
            <w:gridSpan w:val="2"/>
            <w:vAlign w:val="center"/>
          </w:tcPr>
          <w:p>
            <w:pPr>
              <w:pStyle w:val="14"/>
            </w:pPr>
            <w:r>
              <w:rPr>
                <w:rFonts w:hint="eastAsia"/>
              </w:rPr>
              <w:t>收入</w:t>
            </w:r>
          </w:p>
        </w:tc>
        <w:tc>
          <w:tcPr>
            <w:tcW w:w="6661" w:type="dxa"/>
            <w:gridSpan w:val="2"/>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rPr>
                <w:rFonts w:hint="eastAsia"/>
              </w:rPr>
              <w:t>一、一般公共预算拨款收入</w:t>
            </w:r>
          </w:p>
        </w:tc>
        <w:tc>
          <w:tcPr>
            <w:tcW w:w="2126" w:type="dxa"/>
            <w:vAlign w:val="center"/>
          </w:tcPr>
          <w:p>
            <w:pPr>
              <w:pStyle w:val="15"/>
            </w:pPr>
            <w:r>
              <w:t>3718800.00</w:t>
            </w:r>
          </w:p>
        </w:tc>
        <w:tc>
          <w:tcPr>
            <w:tcW w:w="4535" w:type="dxa"/>
            <w:vAlign w:val="center"/>
          </w:tcPr>
          <w:p>
            <w:pPr>
              <w:pStyle w:val="16"/>
            </w:pPr>
            <w:r>
              <w:rPr>
                <w:rFonts w:hint="eastAsia"/>
              </w:rPr>
              <w:t>一、一般公共服务支出</w:t>
            </w:r>
          </w:p>
        </w:tc>
        <w:tc>
          <w:tcPr>
            <w:tcW w:w="2126" w:type="dxa"/>
            <w:vAlign w:val="center"/>
          </w:tcPr>
          <w:p>
            <w:pPr>
              <w:pStyle w:val="15"/>
            </w:pPr>
            <w:r>
              <w:t>3386000.00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rPr>
                <w:rFonts w:hint="eastAsia"/>
              </w:rPr>
              <w:t>二、政府性基金预算拨款收入</w:t>
            </w:r>
          </w:p>
        </w:tc>
        <w:tc>
          <w:tcPr>
            <w:tcW w:w="2126" w:type="dxa"/>
            <w:vAlign w:val="center"/>
          </w:tcPr>
          <w:p>
            <w:pPr>
              <w:pStyle w:val="15"/>
            </w:pPr>
          </w:p>
        </w:tc>
        <w:tc>
          <w:tcPr>
            <w:tcW w:w="4535" w:type="dxa"/>
            <w:vAlign w:val="center"/>
          </w:tcPr>
          <w:p>
            <w:pPr>
              <w:pStyle w:val="16"/>
            </w:pPr>
            <w:r>
              <w:rPr>
                <w:rFonts w:hint="eastAsia"/>
              </w:rP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rPr>
                <w:rFonts w:hint="eastAsia"/>
              </w:rPr>
              <w:t>三、国有资本经营预算拨款收入</w:t>
            </w:r>
          </w:p>
        </w:tc>
        <w:tc>
          <w:tcPr>
            <w:tcW w:w="2126" w:type="dxa"/>
            <w:vAlign w:val="center"/>
          </w:tcPr>
          <w:p>
            <w:pPr>
              <w:pStyle w:val="15"/>
            </w:pPr>
          </w:p>
        </w:tc>
        <w:tc>
          <w:tcPr>
            <w:tcW w:w="4535" w:type="dxa"/>
            <w:vAlign w:val="center"/>
          </w:tcPr>
          <w:p>
            <w:pPr>
              <w:pStyle w:val="16"/>
            </w:pPr>
            <w:r>
              <w:rPr>
                <w:rFonts w:hint="eastAsia"/>
              </w:rP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rPr>
                <w:rFonts w:hint="eastAsia"/>
              </w:rPr>
              <w:t>四、财政专户管理资金收入</w:t>
            </w:r>
          </w:p>
        </w:tc>
        <w:tc>
          <w:tcPr>
            <w:tcW w:w="2126" w:type="dxa"/>
            <w:vAlign w:val="center"/>
          </w:tcPr>
          <w:p>
            <w:pPr>
              <w:pStyle w:val="15"/>
            </w:pPr>
          </w:p>
        </w:tc>
        <w:tc>
          <w:tcPr>
            <w:tcW w:w="4535" w:type="dxa"/>
            <w:vAlign w:val="center"/>
          </w:tcPr>
          <w:p>
            <w:pPr>
              <w:pStyle w:val="16"/>
            </w:pPr>
            <w:r>
              <w:rPr>
                <w:rFonts w:hint="eastAsia"/>
              </w:rP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rPr>
                <w:rFonts w:hint="eastAsia"/>
              </w:rPr>
              <w:t>五、事业收入</w:t>
            </w:r>
          </w:p>
        </w:tc>
        <w:tc>
          <w:tcPr>
            <w:tcW w:w="2126" w:type="dxa"/>
            <w:vAlign w:val="center"/>
          </w:tcPr>
          <w:p>
            <w:pPr>
              <w:pStyle w:val="15"/>
            </w:pPr>
          </w:p>
        </w:tc>
        <w:tc>
          <w:tcPr>
            <w:tcW w:w="4535" w:type="dxa"/>
            <w:vAlign w:val="center"/>
          </w:tcPr>
          <w:p>
            <w:pPr>
              <w:pStyle w:val="16"/>
            </w:pPr>
            <w:r>
              <w:rPr>
                <w:rFonts w:hint="eastAsia"/>
              </w:rP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rPr>
                <w:rFonts w:hint="eastAsia"/>
              </w:rPr>
              <w:t>六、事业单位经营收入</w:t>
            </w:r>
          </w:p>
        </w:tc>
        <w:tc>
          <w:tcPr>
            <w:tcW w:w="2126" w:type="dxa"/>
            <w:vAlign w:val="center"/>
          </w:tcPr>
          <w:p>
            <w:pPr>
              <w:pStyle w:val="15"/>
            </w:pPr>
          </w:p>
        </w:tc>
        <w:tc>
          <w:tcPr>
            <w:tcW w:w="4535" w:type="dxa"/>
            <w:vAlign w:val="center"/>
          </w:tcPr>
          <w:p>
            <w:pPr>
              <w:pStyle w:val="16"/>
            </w:pPr>
            <w:r>
              <w:rPr>
                <w:rFonts w:hint="eastAsia"/>
              </w:rP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rPr>
                <w:rFonts w:hint="eastAsia"/>
              </w:rPr>
              <w:t>七、上级补助收入</w:t>
            </w:r>
          </w:p>
        </w:tc>
        <w:tc>
          <w:tcPr>
            <w:tcW w:w="2126" w:type="dxa"/>
            <w:vAlign w:val="center"/>
          </w:tcPr>
          <w:p>
            <w:pPr>
              <w:pStyle w:val="15"/>
            </w:pPr>
          </w:p>
        </w:tc>
        <w:tc>
          <w:tcPr>
            <w:tcW w:w="4535" w:type="dxa"/>
            <w:vAlign w:val="center"/>
          </w:tcPr>
          <w:p>
            <w:pPr>
              <w:pStyle w:val="16"/>
            </w:pPr>
            <w:r>
              <w:rPr>
                <w:rFonts w:hint="eastAsia"/>
              </w:rP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rPr>
                <w:rFonts w:hint="eastAsia"/>
              </w:rPr>
              <w:t>八、附属单位上缴收入</w:t>
            </w:r>
          </w:p>
        </w:tc>
        <w:tc>
          <w:tcPr>
            <w:tcW w:w="2126" w:type="dxa"/>
            <w:vAlign w:val="center"/>
          </w:tcPr>
          <w:p>
            <w:pPr>
              <w:pStyle w:val="15"/>
            </w:pPr>
          </w:p>
        </w:tc>
        <w:tc>
          <w:tcPr>
            <w:tcW w:w="4535" w:type="dxa"/>
            <w:vAlign w:val="center"/>
          </w:tcPr>
          <w:p>
            <w:pPr>
              <w:pStyle w:val="16"/>
            </w:pPr>
            <w:r>
              <w:rPr>
                <w:rFonts w:hint="eastAsia"/>
              </w:rPr>
              <w:t>八、社会保障和就业支出</w:t>
            </w:r>
          </w:p>
        </w:tc>
        <w:tc>
          <w:tcPr>
            <w:tcW w:w="2126" w:type="dxa"/>
            <w:vAlign w:val="center"/>
          </w:tcPr>
          <w:p>
            <w:pPr>
              <w:pStyle w:val="15"/>
            </w:pPr>
            <w:r>
              <w:t>184500.00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rPr>
                <w:rFonts w:hint="eastAsia"/>
              </w:rPr>
              <w:t>九、其他收入</w:t>
            </w:r>
          </w:p>
        </w:tc>
        <w:tc>
          <w:tcPr>
            <w:tcW w:w="2126" w:type="dxa"/>
            <w:vAlign w:val="center"/>
          </w:tcPr>
          <w:p>
            <w:pPr>
              <w:pStyle w:val="15"/>
            </w:pPr>
          </w:p>
        </w:tc>
        <w:tc>
          <w:tcPr>
            <w:tcW w:w="4535" w:type="dxa"/>
            <w:vAlign w:val="center"/>
          </w:tcPr>
          <w:p>
            <w:pPr>
              <w:pStyle w:val="16"/>
            </w:pPr>
            <w:r>
              <w:rPr>
                <w:rFonts w:hint="eastAsia"/>
              </w:rP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十、卫生健康支出</w:t>
            </w:r>
          </w:p>
        </w:tc>
        <w:tc>
          <w:tcPr>
            <w:tcW w:w="2126" w:type="dxa"/>
            <w:vAlign w:val="center"/>
          </w:tcPr>
          <w:p>
            <w:pPr>
              <w:pStyle w:val="15"/>
            </w:pPr>
            <w:r>
              <w:t>59300.00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二十、住房保障支出</w:t>
            </w:r>
          </w:p>
        </w:tc>
        <w:tc>
          <w:tcPr>
            <w:tcW w:w="2126" w:type="dxa"/>
            <w:vAlign w:val="center"/>
          </w:tcPr>
          <w:p>
            <w:pPr>
              <w:pStyle w:val="15"/>
            </w:pPr>
            <w:r>
              <w:t>89000.00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rPr>
                <w:rFonts w:hint="eastAsia"/>
              </w:rPr>
              <w:t>本年收入合计</w:t>
            </w:r>
          </w:p>
        </w:tc>
        <w:tc>
          <w:tcPr>
            <w:tcW w:w="2126" w:type="dxa"/>
            <w:vAlign w:val="center"/>
          </w:tcPr>
          <w:p>
            <w:pPr>
              <w:pStyle w:val="19"/>
            </w:pPr>
            <w:r>
              <w:t>3718800.00</w:t>
            </w:r>
          </w:p>
        </w:tc>
        <w:tc>
          <w:tcPr>
            <w:tcW w:w="4535" w:type="dxa"/>
            <w:vAlign w:val="center"/>
          </w:tcPr>
          <w:p>
            <w:pPr>
              <w:pStyle w:val="18"/>
            </w:pPr>
            <w:r>
              <w:rPr>
                <w:rFonts w:hint="eastAsia"/>
              </w:rPr>
              <w:t>本年支出合计</w:t>
            </w:r>
          </w:p>
        </w:tc>
        <w:tc>
          <w:tcPr>
            <w:tcW w:w="2126" w:type="dxa"/>
            <w:vAlign w:val="center"/>
          </w:tcPr>
          <w:p>
            <w:pPr>
              <w:pStyle w:val="19"/>
            </w:pPr>
            <w:r>
              <w:t>3718800.00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rPr>
                <w:rFonts w:hint="eastAsia"/>
              </w:rPr>
              <w:t>上年结转结余</w:t>
            </w:r>
          </w:p>
        </w:tc>
        <w:tc>
          <w:tcPr>
            <w:tcW w:w="2126" w:type="dxa"/>
            <w:vAlign w:val="center"/>
          </w:tcPr>
          <w:p>
            <w:pPr>
              <w:pStyle w:val="15"/>
            </w:pPr>
          </w:p>
        </w:tc>
        <w:tc>
          <w:tcPr>
            <w:tcW w:w="4535" w:type="dxa"/>
            <w:vAlign w:val="center"/>
          </w:tcPr>
          <w:p>
            <w:pPr>
              <w:pStyle w:val="16"/>
            </w:pPr>
            <w:r>
              <w:rPr>
                <w:rFonts w:hint="eastAsia"/>
              </w:rP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rPr>
                <w:rFonts w:hint="eastAsia"/>
              </w:rPr>
              <w:t>收入总计</w:t>
            </w:r>
          </w:p>
        </w:tc>
        <w:tc>
          <w:tcPr>
            <w:tcW w:w="2126" w:type="dxa"/>
            <w:vAlign w:val="center"/>
          </w:tcPr>
          <w:p>
            <w:pPr>
              <w:pStyle w:val="19"/>
            </w:pPr>
            <w:r>
              <w:t>3718800.00</w:t>
            </w:r>
          </w:p>
        </w:tc>
        <w:tc>
          <w:tcPr>
            <w:tcW w:w="4535" w:type="dxa"/>
            <w:vAlign w:val="center"/>
          </w:tcPr>
          <w:p>
            <w:pPr>
              <w:pStyle w:val="18"/>
            </w:pPr>
            <w:r>
              <w:rPr>
                <w:rFonts w:hint="eastAsia"/>
              </w:rPr>
              <w:t>支出总计</w:t>
            </w:r>
          </w:p>
        </w:tc>
        <w:tc>
          <w:tcPr>
            <w:tcW w:w="2126" w:type="dxa"/>
            <w:vAlign w:val="center"/>
          </w:tcPr>
          <w:p>
            <w:pPr>
              <w:pStyle w:val="19"/>
            </w:pPr>
            <w:r>
              <w:t>3718800.00</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501</w:t>
            </w:r>
            <w:r>
              <w:rPr>
                <w:rFonts w:hint="eastAsia"/>
              </w:rPr>
              <w:t>馆陶县信访局</w:t>
            </w:r>
          </w:p>
        </w:tc>
        <w:tc>
          <w:tcPr>
            <w:tcW w:w="3402" w:type="dxa"/>
            <w:gridSpan w:val="3"/>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rPr>
                <w:rFonts w:hint="eastAsia"/>
              </w:rPr>
              <w:t>序号</w:t>
            </w:r>
          </w:p>
        </w:tc>
        <w:tc>
          <w:tcPr>
            <w:tcW w:w="2551" w:type="dxa"/>
            <w:gridSpan w:val="2"/>
            <w:vAlign w:val="center"/>
          </w:tcPr>
          <w:p>
            <w:pPr>
              <w:pStyle w:val="14"/>
            </w:pPr>
            <w:r>
              <w:rPr>
                <w:rFonts w:hint="eastAsia"/>
              </w:rPr>
              <w:t>功能分类科目</w:t>
            </w:r>
          </w:p>
        </w:tc>
        <w:tc>
          <w:tcPr>
            <w:tcW w:w="1134" w:type="dxa"/>
            <w:vMerge w:val="restart"/>
            <w:vAlign w:val="center"/>
          </w:tcPr>
          <w:p>
            <w:pPr>
              <w:pStyle w:val="14"/>
            </w:pPr>
            <w:r>
              <w:rPr>
                <w:rFonts w:hint="eastAsia"/>
              </w:rPr>
              <w:t>合计</w:t>
            </w:r>
          </w:p>
        </w:tc>
        <w:tc>
          <w:tcPr>
            <w:tcW w:w="9071" w:type="dxa"/>
            <w:gridSpan w:val="8"/>
            <w:vAlign w:val="center"/>
          </w:tcPr>
          <w:p>
            <w:pPr>
              <w:pStyle w:val="14"/>
            </w:pPr>
            <w:r>
              <w:rPr>
                <w:rFonts w:hint="eastAsia"/>
              </w:rPr>
              <w:t>本年收入</w:t>
            </w:r>
          </w:p>
        </w:tc>
        <w:tc>
          <w:tcPr>
            <w:tcW w:w="1134" w:type="dxa"/>
            <w:vMerge w:val="restart"/>
            <w:vAlign w:val="center"/>
          </w:tcPr>
          <w:p>
            <w:pPr>
              <w:pStyle w:val="14"/>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rPr>
                <w:rFonts w:hint="eastAsia"/>
              </w:rPr>
              <w:t>科目</w:t>
            </w:r>
            <w:r>
              <w:t xml:space="preserve">    </w:t>
            </w:r>
            <w:r>
              <w:rPr>
                <w:rFonts w:hint="eastAsia"/>
              </w:rPr>
              <w:t>编码</w:t>
            </w:r>
          </w:p>
        </w:tc>
        <w:tc>
          <w:tcPr>
            <w:tcW w:w="1559" w:type="dxa"/>
            <w:vAlign w:val="center"/>
          </w:tcPr>
          <w:p>
            <w:pPr>
              <w:pStyle w:val="14"/>
            </w:pPr>
            <w:r>
              <w:rPr>
                <w:rFonts w:hint="eastAsia"/>
              </w:rPr>
              <w:t>科目名称</w:t>
            </w:r>
          </w:p>
        </w:tc>
        <w:tc>
          <w:tcPr>
            <w:tcW w:w="1134" w:type="dxa"/>
            <w:vMerge w:val="continue"/>
          </w:tcPr>
          <w:p/>
        </w:tc>
        <w:tc>
          <w:tcPr>
            <w:tcW w:w="1134" w:type="dxa"/>
            <w:vAlign w:val="center"/>
          </w:tcPr>
          <w:p>
            <w:pPr>
              <w:pStyle w:val="14"/>
            </w:pPr>
            <w:r>
              <w:rPr>
                <w:rFonts w:hint="eastAsia"/>
              </w:rPr>
              <w:t>小计</w:t>
            </w:r>
          </w:p>
        </w:tc>
        <w:tc>
          <w:tcPr>
            <w:tcW w:w="1134" w:type="dxa"/>
            <w:vAlign w:val="center"/>
          </w:tcPr>
          <w:p>
            <w:pPr>
              <w:pStyle w:val="14"/>
            </w:pPr>
            <w:r>
              <w:rPr>
                <w:rFonts w:hint="eastAsia"/>
              </w:rPr>
              <w:t>财政拨款</w:t>
            </w:r>
            <w:r>
              <w:t xml:space="preserve"> </w:t>
            </w:r>
            <w:r>
              <w:rPr>
                <w:rFonts w:hint="eastAsia"/>
              </w:rPr>
              <w:t>收入</w:t>
            </w:r>
          </w:p>
        </w:tc>
        <w:tc>
          <w:tcPr>
            <w:tcW w:w="1134" w:type="dxa"/>
            <w:vAlign w:val="center"/>
          </w:tcPr>
          <w:p>
            <w:pPr>
              <w:pStyle w:val="14"/>
            </w:pPr>
            <w:r>
              <w:rPr>
                <w:rFonts w:hint="eastAsia"/>
              </w:rPr>
              <w:t>财政专户</w:t>
            </w:r>
            <w:r>
              <w:t xml:space="preserve"> </w:t>
            </w:r>
            <w:r>
              <w:rPr>
                <w:rFonts w:hint="eastAsia"/>
              </w:rPr>
              <w:t>收入</w:t>
            </w:r>
          </w:p>
        </w:tc>
        <w:tc>
          <w:tcPr>
            <w:tcW w:w="1134" w:type="dxa"/>
            <w:vAlign w:val="center"/>
          </w:tcPr>
          <w:p>
            <w:pPr>
              <w:pStyle w:val="14"/>
            </w:pPr>
            <w:r>
              <w:rPr>
                <w:rFonts w:hint="eastAsia"/>
              </w:rPr>
              <w:t>事业收入</w:t>
            </w:r>
          </w:p>
        </w:tc>
        <w:tc>
          <w:tcPr>
            <w:tcW w:w="1134" w:type="dxa"/>
            <w:vAlign w:val="center"/>
          </w:tcPr>
          <w:p>
            <w:pPr>
              <w:pStyle w:val="14"/>
            </w:pPr>
            <w:r>
              <w:rPr>
                <w:rFonts w:hint="eastAsia"/>
              </w:rPr>
              <w:t>经营收入</w:t>
            </w:r>
          </w:p>
        </w:tc>
        <w:tc>
          <w:tcPr>
            <w:tcW w:w="1134" w:type="dxa"/>
            <w:vAlign w:val="center"/>
          </w:tcPr>
          <w:p>
            <w:pPr>
              <w:pStyle w:val="14"/>
            </w:pPr>
            <w:r>
              <w:rPr>
                <w:rFonts w:hint="eastAsia"/>
              </w:rPr>
              <w:t>上级补助收入</w:t>
            </w:r>
          </w:p>
        </w:tc>
        <w:tc>
          <w:tcPr>
            <w:tcW w:w="1134" w:type="dxa"/>
            <w:vAlign w:val="center"/>
          </w:tcPr>
          <w:p>
            <w:pPr>
              <w:pStyle w:val="14"/>
            </w:pPr>
            <w:r>
              <w:rPr>
                <w:rFonts w:hint="eastAsia"/>
              </w:rPr>
              <w:t>附属单位上缴收入</w:t>
            </w:r>
          </w:p>
        </w:tc>
        <w:tc>
          <w:tcPr>
            <w:tcW w:w="1134" w:type="dxa"/>
            <w:vAlign w:val="center"/>
          </w:tcPr>
          <w:p>
            <w:pPr>
              <w:pStyle w:val="14"/>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rPr>
                <w:rFonts w:hint="eastAsia"/>
              </w:rP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rPr>
                <w:rFonts w:hint="eastAsia"/>
              </w:rPr>
              <w:t>合计</w:t>
            </w:r>
          </w:p>
        </w:tc>
        <w:tc>
          <w:tcPr>
            <w:tcW w:w="1134" w:type="dxa"/>
            <w:vAlign w:val="center"/>
          </w:tcPr>
          <w:p>
            <w:pPr>
              <w:pStyle w:val="19"/>
            </w:pPr>
            <w:r>
              <w:t>3718800.00</w:t>
            </w:r>
          </w:p>
        </w:tc>
        <w:tc>
          <w:tcPr>
            <w:tcW w:w="1134" w:type="dxa"/>
            <w:vAlign w:val="center"/>
          </w:tcPr>
          <w:p>
            <w:pPr>
              <w:pStyle w:val="19"/>
            </w:pPr>
            <w:r>
              <w:t>3718800.00</w:t>
            </w:r>
          </w:p>
        </w:tc>
        <w:tc>
          <w:tcPr>
            <w:tcW w:w="1134" w:type="dxa"/>
            <w:vAlign w:val="center"/>
          </w:tcPr>
          <w:p>
            <w:pPr>
              <w:pStyle w:val="19"/>
            </w:pPr>
            <w:r>
              <w:t>3718800.00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rPr>
                <w:rFonts w:hint="eastAsia"/>
              </w:rPr>
              <w:t>一般公共服务支出</w:t>
            </w:r>
          </w:p>
        </w:tc>
        <w:tc>
          <w:tcPr>
            <w:tcW w:w="1134" w:type="dxa"/>
            <w:vAlign w:val="center"/>
          </w:tcPr>
          <w:p>
            <w:pPr>
              <w:pStyle w:val="15"/>
            </w:pPr>
            <w:r>
              <w:t>3386000.00</w:t>
            </w:r>
          </w:p>
        </w:tc>
        <w:tc>
          <w:tcPr>
            <w:tcW w:w="1134" w:type="dxa"/>
            <w:vAlign w:val="center"/>
          </w:tcPr>
          <w:p>
            <w:pPr>
              <w:pStyle w:val="15"/>
            </w:pPr>
            <w:r>
              <w:t>3386000.00</w:t>
            </w:r>
          </w:p>
        </w:tc>
        <w:tc>
          <w:tcPr>
            <w:tcW w:w="1134" w:type="dxa"/>
            <w:vAlign w:val="center"/>
          </w:tcPr>
          <w:p>
            <w:pPr>
              <w:pStyle w:val="15"/>
            </w:pPr>
            <w:r>
              <w:t>3386000.00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20103</w:t>
            </w:r>
          </w:p>
        </w:tc>
        <w:tc>
          <w:tcPr>
            <w:tcW w:w="1559" w:type="dxa"/>
            <w:vAlign w:val="center"/>
          </w:tcPr>
          <w:p>
            <w:pPr>
              <w:pStyle w:val="16"/>
            </w:pPr>
            <w:r>
              <w:rPr>
                <w:rFonts w:hint="eastAsia"/>
              </w:rPr>
              <w:t>政府办公厅（室）及相关机构事务</w:t>
            </w:r>
          </w:p>
        </w:tc>
        <w:tc>
          <w:tcPr>
            <w:tcW w:w="1134" w:type="dxa"/>
            <w:vAlign w:val="center"/>
          </w:tcPr>
          <w:p>
            <w:pPr>
              <w:pStyle w:val="15"/>
            </w:pPr>
            <w:r>
              <w:t>3386000.00</w:t>
            </w:r>
          </w:p>
        </w:tc>
        <w:tc>
          <w:tcPr>
            <w:tcW w:w="1134" w:type="dxa"/>
            <w:vAlign w:val="center"/>
          </w:tcPr>
          <w:p>
            <w:pPr>
              <w:pStyle w:val="15"/>
            </w:pPr>
            <w:r>
              <w:t>3386000.00</w:t>
            </w:r>
          </w:p>
        </w:tc>
        <w:tc>
          <w:tcPr>
            <w:tcW w:w="1134" w:type="dxa"/>
            <w:vAlign w:val="center"/>
          </w:tcPr>
          <w:p>
            <w:pPr>
              <w:pStyle w:val="15"/>
            </w:pPr>
            <w:r>
              <w:t>3386000.00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2010308</w:t>
            </w:r>
          </w:p>
        </w:tc>
        <w:tc>
          <w:tcPr>
            <w:tcW w:w="1559" w:type="dxa"/>
            <w:vAlign w:val="center"/>
          </w:tcPr>
          <w:p>
            <w:pPr>
              <w:pStyle w:val="16"/>
            </w:pPr>
            <w:r>
              <w:rPr>
                <w:rFonts w:hint="eastAsia"/>
              </w:rPr>
              <w:t>信访事务</w:t>
            </w:r>
          </w:p>
        </w:tc>
        <w:tc>
          <w:tcPr>
            <w:tcW w:w="1134" w:type="dxa"/>
            <w:vAlign w:val="center"/>
          </w:tcPr>
          <w:p>
            <w:pPr>
              <w:pStyle w:val="15"/>
            </w:pPr>
            <w:r>
              <w:t>3386000.00</w:t>
            </w:r>
          </w:p>
        </w:tc>
        <w:tc>
          <w:tcPr>
            <w:tcW w:w="1134" w:type="dxa"/>
            <w:vAlign w:val="center"/>
          </w:tcPr>
          <w:p>
            <w:pPr>
              <w:pStyle w:val="15"/>
            </w:pPr>
            <w:r>
              <w:t>3386000.00</w:t>
            </w:r>
          </w:p>
        </w:tc>
        <w:tc>
          <w:tcPr>
            <w:tcW w:w="1134" w:type="dxa"/>
            <w:vAlign w:val="center"/>
          </w:tcPr>
          <w:p>
            <w:pPr>
              <w:pStyle w:val="15"/>
            </w:pPr>
            <w:r>
              <w:t>3386000.00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rPr>
                <w:rFonts w:hint="eastAsia"/>
              </w:rPr>
              <w:t>社会保障和就业支出</w:t>
            </w:r>
          </w:p>
        </w:tc>
        <w:tc>
          <w:tcPr>
            <w:tcW w:w="1134" w:type="dxa"/>
            <w:vAlign w:val="center"/>
          </w:tcPr>
          <w:p>
            <w:pPr>
              <w:pStyle w:val="15"/>
            </w:pPr>
            <w:r>
              <w:t>184500.00</w:t>
            </w:r>
          </w:p>
        </w:tc>
        <w:tc>
          <w:tcPr>
            <w:tcW w:w="1134" w:type="dxa"/>
            <w:vAlign w:val="center"/>
          </w:tcPr>
          <w:p>
            <w:pPr>
              <w:pStyle w:val="15"/>
            </w:pPr>
            <w:r>
              <w:t>184500.00</w:t>
            </w:r>
          </w:p>
        </w:tc>
        <w:tc>
          <w:tcPr>
            <w:tcW w:w="1134" w:type="dxa"/>
            <w:vAlign w:val="center"/>
          </w:tcPr>
          <w:p>
            <w:pPr>
              <w:pStyle w:val="15"/>
            </w:pPr>
            <w:r>
              <w:t>184500.00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rPr>
                <w:rFonts w:hint="eastAsia"/>
              </w:rPr>
              <w:t>行政事业单位养老支出</w:t>
            </w:r>
          </w:p>
        </w:tc>
        <w:tc>
          <w:tcPr>
            <w:tcW w:w="1134" w:type="dxa"/>
            <w:vAlign w:val="center"/>
          </w:tcPr>
          <w:p>
            <w:pPr>
              <w:pStyle w:val="15"/>
            </w:pPr>
            <w:r>
              <w:t>184500.00</w:t>
            </w:r>
          </w:p>
        </w:tc>
        <w:tc>
          <w:tcPr>
            <w:tcW w:w="1134" w:type="dxa"/>
            <w:vAlign w:val="center"/>
          </w:tcPr>
          <w:p>
            <w:pPr>
              <w:pStyle w:val="15"/>
            </w:pPr>
            <w:r>
              <w:t>184500.00</w:t>
            </w:r>
          </w:p>
        </w:tc>
        <w:tc>
          <w:tcPr>
            <w:tcW w:w="1134" w:type="dxa"/>
            <w:vAlign w:val="center"/>
          </w:tcPr>
          <w:p>
            <w:pPr>
              <w:pStyle w:val="15"/>
            </w:pPr>
            <w:r>
              <w:t>184500.00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2080505</w:t>
            </w:r>
          </w:p>
        </w:tc>
        <w:tc>
          <w:tcPr>
            <w:tcW w:w="1559" w:type="dxa"/>
            <w:vAlign w:val="center"/>
          </w:tcPr>
          <w:p>
            <w:pPr>
              <w:pStyle w:val="16"/>
            </w:pPr>
            <w:r>
              <w:rPr>
                <w:rFonts w:hint="eastAsia"/>
              </w:rPr>
              <w:t>机关事业单位基本养老保险缴费支出</w:t>
            </w:r>
          </w:p>
        </w:tc>
        <w:tc>
          <w:tcPr>
            <w:tcW w:w="1134" w:type="dxa"/>
            <w:vAlign w:val="center"/>
          </w:tcPr>
          <w:p>
            <w:pPr>
              <w:pStyle w:val="15"/>
            </w:pPr>
            <w:r>
              <w:t>123000.00</w:t>
            </w:r>
          </w:p>
        </w:tc>
        <w:tc>
          <w:tcPr>
            <w:tcW w:w="1134" w:type="dxa"/>
            <w:vAlign w:val="center"/>
          </w:tcPr>
          <w:p>
            <w:pPr>
              <w:pStyle w:val="15"/>
            </w:pPr>
            <w:r>
              <w:t>123000.00</w:t>
            </w:r>
          </w:p>
        </w:tc>
        <w:tc>
          <w:tcPr>
            <w:tcW w:w="1134" w:type="dxa"/>
            <w:vAlign w:val="center"/>
          </w:tcPr>
          <w:p>
            <w:pPr>
              <w:pStyle w:val="15"/>
            </w:pPr>
            <w:r>
              <w:t>123000.00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2080506</w:t>
            </w:r>
          </w:p>
        </w:tc>
        <w:tc>
          <w:tcPr>
            <w:tcW w:w="1559" w:type="dxa"/>
            <w:vAlign w:val="center"/>
          </w:tcPr>
          <w:p>
            <w:pPr>
              <w:pStyle w:val="16"/>
            </w:pPr>
            <w:r>
              <w:rPr>
                <w:rFonts w:hint="eastAsia"/>
              </w:rPr>
              <w:t>机关事业单位职业年金缴费支出</w:t>
            </w:r>
          </w:p>
        </w:tc>
        <w:tc>
          <w:tcPr>
            <w:tcW w:w="1134" w:type="dxa"/>
            <w:vAlign w:val="center"/>
          </w:tcPr>
          <w:p>
            <w:pPr>
              <w:pStyle w:val="15"/>
            </w:pPr>
            <w:r>
              <w:t>61500.00</w:t>
            </w:r>
          </w:p>
        </w:tc>
        <w:tc>
          <w:tcPr>
            <w:tcW w:w="1134" w:type="dxa"/>
            <w:vAlign w:val="center"/>
          </w:tcPr>
          <w:p>
            <w:pPr>
              <w:pStyle w:val="15"/>
            </w:pPr>
            <w:r>
              <w:t>61500.00</w:t>
            </w:r>
          </w:p>
        </w:tc>
        <w:tc>
          <w:tcPr>
            <w:tcW w:w="1134" w:type="dxa"/>
            <w:vAlign w:val="center"/>
          </w:tcPr>
          <w:p>
            <w:pPr>
              <w:pStyle w:val="15"/>
            </w:pPr>
            <w:r>
              <w:t>61500.00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w:t>
            </w:r>
          </w:p>
        </w:tc>
        <w:tc>
          <w:tcPr>
            <w:tcW w:w="1559" w:type="dxa"/>
            <w:vAlign w:val="center"/>
          </w:tcPr>
          <w:p>
            <w:pPr>
              <w:pStyle w:val="16"/>
            </w:pPr>
            <w:r>
              <w:rPr>
                <w:rFonts w:hint="eastAsia"/>
              </w:rPr>
              <w:t>卫生健康支出</w:t>
            </w:r>
          </w:p>
        </w:tc>
        <w:tc>
          <w:tcPr>
            <w:tcW w:w="1134" w:type="dxa"/>
            <w:vAlign w:val="center"/>
          </w:tcPr>
          <w:p>
            <w:pPr>
              <w:pStyle w:val="15"/>
            </w:pPr>
            <w:r>
              <w:t>59300.00</w:t>
            </w:r>
          </w:p>
        </w:tc>
        <w:tc>
          <w:tcPr>
            <w:tcW w:w="1134" w:type="dxa"/>
            <w:vAlign w:val="center"/>
          </w:tcPr>
          <w:p>
            <w:pPr>
              <w:pStyle w:val="15"/>
            </w:pPr>
            <w:r>
              <w:t>59300.00</w:t>
            </w:r>
          </w:p>
        </w:tc>
        <w:tc>
          <w:tcPr>
            <w:tcW w:w="1134" w:type="dxa"/>
            <w:vAlign w:val="center"/>
          </w:tcPr>
          <w:p>
            <w:pPr>
              <w:pStyle w:val="15"/>
            </w:pPr>
            <w:r>
              <w:t>59300.00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w:t>
            </w:r>
          </w:p>
        </w:tc>
        <w:tc>
          <w:tcPr>
            <w:tcW w:w="1559" w:type="dxa"/>
            <w:vAlign w:val="center"/>
          </w:tcPr>
          <w:p>
            <w:pPr>
              <w:pStyle w:val="16"/>
            </w:pPr>
            <w:r>
              <w:rPr>
                <w:rFonts w:hint="eastAsia"/>
              </w:rPr>
              <w:t>行政事业单位医疗</w:t>
            </w:r>
          </w:p>
        </w:tc>
        <w:tc>
          <w:tcPr>
            <w:tcW w:w="1134" w:type="dxa"/>
            <w:vAlign w:val="center"/>
          </w:tcPr>
          <w:p>
            <w:pPr>
              <w:pStyle w:val="15"/>
            </w:pPr>
            <w:r>
              <w:t>59300.00</w:t>
            </w:r>
          </w:p>
        </w:tc>
        <w:tc>
          <w:tcPr>
            <w:tcW w:w="1134" w:type="dxa"/>
            <w:vAlign w:val="center"/>
          </w:tcPr>
          <w:p>
            <w:pPr>
              <w:pStyle w:val="15"/>
            </w:pPr>
            <w:r>
              <w:t>59300.00</w:t>
            </w:r>
          </w:p>
        </w:tc>
        <w:tc>
          <w:tcPr>
            <w:tcW w:w="1134" w:type="dxa"/>
            <w:vAlign w:val="center"/>
          </w:tcPr>
          <w:p>
            <w:pPr>
              <w:pStyle w:val="15"/>
            </w:pPr>
            <w:r>
              <w:t>59300.00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2101101</w:t>
            </w:r>
          </w:p>
        </w:tc>
        <w:tc>
          <w:tcPr>
            <w:tcW w:w="1559" w:type="dxa"/>
            <w:vAlign w:val="center"/>
          </w:tcPr>
          <w:p>
            <w:pPr>
              <w:pStyle w:val="16"/>
            </w:pPr>
            <w:r>
              <w:rPr>
                <w:rFonts w:hint="eastAsia"/>
              </w:rPr>
              <w:t>行政单位医疗</w:t>
            </w:r>
          </w:p>
        </w:tc>
        <w:tc>
          <w:tcPr>
            <w:tcW w:w="1134" w:type="dxa"/>
            <w:vAlign w:val="center"/>
          </w:tcPr>
          <w:p>
            <w:pPr>
              <w:pStyle w:val="15"/>
            </w:pPr>
            <w:r>
              <w:t>28800.00</w:t>
            </w:r>
          </w:p>
        </w:tc>
        <w:tc>
          <w:tcPr>
            <w:tcW w:w="1134" w:type="dxa"/>
            <w:vAlign w:val="center"/>
          </w:tcPr>
          <w:p>
            <w:pPr>
              <w:pStyle w:val="15"/>
            </w:pPr>
            <w:r>
              <w:t>28800.00</w:t>
            </w:r>
          </w:p>
        </w:tc>
        <w:tc>
          <w:tcPr>
            <w:tcW w:w="1134" w:type="dxa"/>
            <w:vAlign w:val="center"/>
          </w:tcPr>
          <w:p>
            <w:pPr>
              <w:pStyle w:val="15"/>
            </w:pPr>
            <w:r>
              <w:t>28800.00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2101102</w:t>
            </w:r>
          </w:p>
        </w:tc>
        <w:tc>
          <w:tcPr>
            <w:tcW w:w="1559" w:type="dxa"/>
            <w:vAlign w:val="center"/>
          </w:tcPr>
          <w:p>
            <w:pPr>
              <w:pStyle w:val="16"/>
            </w:pPr>
            <w:r>
              <w:rPr>
                <w:rFonts w:hint="eastAsia"/>
              </w:rPr>
              <w:t>事业单位医疗</w:t>
            </w:r>
          </w:p>
        </w:tc>
        <w:tc>
          <w:tcPr>
            <w:tcW w:w="1134" w:type="dxa"/>
            <w:vAlign w:val="center"/>
          </w:tcPr>
          <w:p>
            <w:pPr>
              <w:pStyle w:val="15"/>
            </w:pPr>
            <w:r>
              <w:t>30500.00</w:t>
            </w:r>
          </w:p>
        </w:tc>
        <w:tc>
          <w:tcPr>
            <w:tcW w:w="1134" w:type="dxa"/>
            <w:vAlign w:val="center"/>
          </w:tcPr>
          <w:p>
            <w:pPr>
              <w:pStyle w:val="15"/>
            </w:pPr>
            <w:r>
              <w:t>30500.00</w:t>
            </w:r>
          </w:p>
        </w:tc>
        <w:tc>
          <w:tcPr>
            <w:tcW w:w="1134" w:type="dxa"/>
            <w:vAlign w:val="center"/>
          </w:tcPr>
          <w:p>
            <w:pPr>
              <w:pStyle w:val="15"/>
            </w:pPr>
            <w:r>
              <w:t>30500.00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w:t>
            </w:r>
          </w:p>
        </w:tc>
        <w:tc>
          <w:tcPr>
            <w:tcW w:w="1559" w:type="dxa"/>
            <w:vAlign w:val="center"/>
          </w:tcPr>
          <w:p>
            <w:pPr>
              <w:pStyle w:val="16"/>
            </w:pPr>
            <w:r>
              <w:rPr>
                <w:rFonts w:hint="eastAsia"/>
              </w:rPr>
              <w:t>住房保障支出</w:t>
            </w:r>
          </w:p>
        </w:tc>
        <w:tc>
          <w:tcPr>
            <w:tcW w:w="1134" w:type="dxa"/>
            <w:vAlign w:val="center"/>
          </w:tcPr>
          <w:p>
            <w:pPr>
              <w:pStyle w:val="15"/>
            </w:pPr>
            <w:r>
              <w:t>89000.00</w:t>
            </w:r>
          </w:p>
        </w:tc>
        <w:tc>
          <w:tcPr>
            <w:tcW w:w="1134" w:type="dxa"/>
            <w:vAlign w:val="center"/>
          </w:tcPr>
          <w:p>
            <w:pPr>
              <w:pStyle w:val="15"/>
            </w:pPr>
            <w:r>
              <w:t>89000.00</w:t>
            </w:r>
          </w:p>
        </w:tc>
        <w:tc>
          <w:tcPr>
            <w:tcW w:w="1134" w:type="dxa"/>
            <w:vAlign w:val="center"/>
          </w:tcPr>
          <w:p>
            <w:pPr>
              <w:pStyle w:val="15"/>
            </w:pPr>
            <w:r>
              <w:t>89000.00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22102</w:t>
            </w:r>
          </w:p>
        </w:tc>
        <w:tc>
          <w:tcPr>
            <w:tcW w:w="1559" w:type="dxa"/>
            <w:vAlign w:val="center"/>
          </w:tcPr>
          <w:p>
            <w:pPr>
              <w:pStyle w:val="16"/>
            </w:pPr>
            <w:r>
              <w:rPr>
                <w:rFonts w:hint="eastAsia"/>
              </w:rPr>
              <w:t>住房改革支出</w:t>
            </w:r>
          </w:p>
        </w:tc>
        <w:tc>
          <w:tcPr>
            <w:tcW w:w="1134" w:type="dxa"/>
            <w:vAlign w:val="center"/>
          </w:tcPr>
          <w:p>
            <w:pPr>
              <w:pStyle w:val="15"/>
            </w:pPr>
            <w:r>
              <w:t>89000.00</w:t>
            </w:r>
          </w:p>
        </w:tc>
        <w:tc>
          <w:tcPr>
            <w:tcW w:w="1134" w:type="dxa"/>
            <w:vAlign w:val="center"/>
          </w:tcPr>
          <w:p>
            <w:pPr>
              <w:pStyle w:val="15"/>
            </w:pPr>
            <w:r>
              <w:t>89000.00</w:t>
            </w:r>
          </w:p>
        </w:tc>
        <w:tc>
          <w:tcPr>
            <w:tcW w:w="1134" w:type="dxa"/>
            <w:vAlign w:val="center"/>
          </w:tcPr>
          <w:p>
            <w:pPr>
              <w:pStyle w:val="15"/>
            </w:pPr>
            <w:r>
              <w:t>89000.00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2210201</w:t>
            </w:r>
          </w:p>
        </w:tc>
        <w:tc>
          <w:tcPr>
            <w:tcW w:w="1559" w:type="dxa"/>
            <w:vAlign w:val="center"/>
          </w:tcPr>
          <w:p>
            <w:pPr>
              <w:pStyle w:val="16"/>
            </w:pPr>
            <w:r>
              <w:rPr>
                <w:rFonts w:hint="eastAsia"/>
              </w:rPr>
              <w:t>住房公积金</w:t>
            </w:r>
          </w:p>
        </w:tc>
        <w:tc>
          <w:tcPr>
            <w:tcW w:w="1134" w:type="dxa"/>
            <w:vAlign w:val="center"/>
          </w:tcPr>
          <w:p>
            <w:pPr>
              <w:pStyle w:val="15"/>
            </w:pPr>
            <w:r>
              <w:t>89000.00</w:t>
            </w:r>
          </w:p>
        </w:tc>
        <w:tc>
          <w:tcPr>
            <w:tcW w:w="1134" w:type="dxa"/>
            <w:vAlign w:val="center"/>
          </w:tcPr>
          <w:p>
            <w:pPr>
              <w:pStyle w:val="15"/>
            </w:pPr>
            <w:r>
              <w:t>89000.00</w:t>
            </w:r>
          </w:p>
        </w:tc>
        <w:tc>
          <w:tcPr>
            <w:tcW w:w="1134" w:type="dxa"/>
            <w:vAlign w:val="center"/>
          </w:tcPr>
          <w:p>
            <w:pPr>
              <w:pStyle w:val="15"/>
            </w:pPr>
            <w:r>
              <w:t>89000.00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501</w:t>
            </w:r>
            <w:r>
              <w:rPr>
                <w:rFonts w:hint="eastAsia"/>
              </w:rPr>
              <w:t>馆陶县信访局</w:t>
            </w:r>
          </w:p>
        </w:tc>
        <w:tc>
          <w:tcPr>
            <w:tcW w:w="2721" w:type="dxa"/>
            <w:gridSpan w:val="2"/>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528" w:type="dxa"/>
            <w:gridSpan w:val="2"/>
            <w:vAlign w:val="center"/>
          </w:tcPr>
          <w:p>
            <w:pPr>
              <w:pStyle w:val="14"/>
            </w:pPr>
            <w:r>
              <w:rPr>
                <w:rFonts w:hint="eastAsia"/>
              </w:rPr>
              <w:t>功能分类科目</w:t>
            </w:r>
          </w:p>
        </w:tc>
        <w:tc>
          <w:tcPr>
            <w:tcW w:w="1361" w:type="dxa"/>
            <w:vMerge w:val="restart"/>
            <w:vAlign w:val="center"/>
          </w:tcPr>
          <w:p>
            <w:pPr>
              <w:pStyle w:val="14"/>
            </w:pPr>
            <w:r>
              <w:rPr>
                <w:rFonts w:hint="eastAsia"/>
              </w:rPr>
              <w:t>合计</w:t>
            </w:r>
          </w:p>
        </w:tc>
        <w:tc>
          <w:tcPr>
            <w:tcW w:w="1361" w:type="dxa"/>
            <w:vMerge w:val="restart"/>
            <w:vAlign w:val="center"/>
          </w:tcPr>
          <w:p>
            <w:pPr>
              <w:pStyle w:val="14"/>
            </w:pPr>
            <w:r>
              <w:rPr>
                <w:rFonts w:hint="eastAsia"/>
              </w:rPr>
              <w:t>基本支出</w:t>
            </w:r>
          </w:p>
        </w:tc>
        <w:tc>
          <w:tcPr>
            <w:tcW w:w="1361" w:type="dxa"/>
            <w:vMerge w:val="restart"/>
            <w:vAlign w:val="center"/>
          </w:tcPr>
          <w:p>
            <w:pPr>
              <w:pStyle w:val="14"/>
            </w:pPr>
            <w:r>
              <w:rPr>
                <w:rFonts w:hint="eastAsia"/>
              </w:rPr>
              <w:t>项目支出</w:t>
            </w:r>
          </w:p>
        </w:tc>
        <w:tc>
          <w:tcPr>
            <w:tcW w:w="1361" w:type="dxa"/>
            <w:vMerge w:val="restart"/>
            <w:vAlign w:val="center"/>
          </w:tcPr>
          <w:p>
            <w:pPr>
              <w:pStyle w:val="14"/>
            </w:pPr>
            <w:r>
              <w:rPr>
                <w:rFonts w:hint="eastAsia"/>
              </w:rPr>
              <w:t>经营支出</w:t>
            </w:r>
          </w:p>
        </w:tc>
        <w:tc>
          <w:tcPr>
            <w:tcW w:w="1361" w:type="dxa"/>
            <w:vMerge w:val="restart"/>
            <w:vAlign w:val="center"/>
          </w:tcPr>
          <w:p>
            <w:pPr>
              <w:pStyle w:val="14"/>
            </w:pPr>
            <w:r>
              <w:rPr>
                <w:rFonts w:hint="eastAsia"/>
              </w:rPr>
              <w:t>上解上级</w:t>
            </w:r>
            <w:r>
              <w:t xml:space="preserve">     </w:t>
            </w:r>
            <w:r>
              <w:rPr>
                <w:rFonts w:hint="eastAsia"/>
              </w:rPr>
              <w:t>支出</w:t>
            </w:r>
          </w:p>
        </w:tc>
        <w:tc>
          <w:tcPr>
            <w:tcW w:w="1361" w:type="dxa"/>
            <w:vMerge w:val="restart"/>
            <w:vAlign w:val="center"/>
          </w:tcPr>
          <w:p>
            <w:pPr>
              <w:pStyle w:val="14"/>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rPr>
                <w:rFonts w:hint="eastAsia"/>
              </w:rPr>
              <w:t>科目</w:t>
            </w:r>
            <w:r>
              <w:t xml:space="preserve">    </w:t>
            </w:r>
            <w:r>
              <w:rPr>
                <w:rFonts w:hint="eastAsia"/>
              </w:rPr>
              <w:t>编码</w:t>
            </w:r>
          </w:p>
        </w:tc>
        <w:tc>
          <w:tcPr>
            <w:tcW w:w="4535" w:type="dxa"/>
            <w:vAlign w:val="center"/>
          </w:tcPr>
          <w:p>
            <w:pPr>
              <w:pStyle w:val="14"/>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rPr>
                <w:rFonts w:hint="eastAsia"/>
              </w:rPr>
              <w:t>合计</w:t>
            </w:r>
          </w:p>
        </w:tc>
        <w:tc>
          <w:tcPr>
            <w:tcW w:w="1361" w:type="dxa"/>
            <w:vAlign w:val="center"/>
          </w:tcPr>
          <w:p>
            <w:pPr>
              <w:pStyle w:val="19"/>
            </w:pPr>
            <w:r>
              <w:t>3718800.00</w:t>
            </w:r>
          </w:p>
        </w:tc>
        <w:tc>
          <w:tcPr>
            <w:tcW w:w="1361" w:type="dxa"/>
            <w:vAlign w:val="center"/>
          </w:tcPr>
          <w:p>
            <w:pPr>
              <w:pStyle w:val="19"/>
            </w:pPr>
            <w:r>
              <w:t>2590800.00</w:t>
            </w:r>
          </w:p>
        </w:tc>
        <w:tc>
          <w:tcPr>
            <w:tcW w:w="1361" w:type="dxa"/>
            <w:vAlign w:val="center"/>
          </w:tcPr>
          <w:p>
            <w:pPr>
              <w:pStyle w:val="19"/>
            </w:pPr>
            <w:r>
              <w:t>1128000.00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rPr>
                <w:rFonts w:hint="eastAsia"/>
              </w:rPr>
              <w:t>一般公共服务支出</w:t>
            </w:r>
          </w:p>
        </w:tc>
        <w:tc>
          <w:tcPr>
            <w:tcW w:w="1361" w:type="dxa"/>
            <w:vAlign w:val="center"/>
          </w:tcPr>
          <w:p>
            <w:pPr>
              <w:pStyle w:val="15"/>
            </w:pPr>
            <w:r>
              <w:t>3386000.00</w:t>
            </w:r>
          </w:p>
        </w:tc>
        <w:tc>
          <w:tcPr>
            <w:tcW w:w="1361" w:type="dxa"/>
            <w:vAlign w:val="center"/>
          </w:tcPr>
          <w:p>
            <w:pPr>
              <w:pStyle w:val="15"/>
            </w:pPr>
            <w:r>
              <w:t>2258000.00</w:t>
            </w:r>
          </w:p>
        </w:tc>
        <w:tc>
          <w:tcPr>
            <w:tcW w:w="1361" w:type="dxa"/>
            <w:vAlign w:val="center"/>
          </w:tcPr>
          <w:p>
            <w:pPr>
              <w:pStyle w:val="15"/>
            </w:pPr>
            <w:r>
              <w:t>1128000.00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20103</w:t>
            </w:r>
          </w:p>
        </w:tc>
        <w:tc>
          <w:tcPr>
            <w:tcW w:w="4535" w:type="dxa"/>
            <w:vAlign w:val="center"/>
          </w:tcPr>
          <w:p>
            <w:pPr>
              <w:pStyle w:val="16"/>
            </w:pPr>
            <w:r>
              <w:rPr>
                <w:rFonts w:hint="eastAsia"/>
              </w:rPr>
              <w:t>政府办公厅（室）及相关机构事务</w:t>
            </w:r>
          </w:p>
        </w:tc>
        <w:tc>
          <w:tcPr>
            <w:tcW w:w="1361" w:type="dxa"/>
            <w:vAlign w:val="center"/>
          </w:tcPr>
          <w:p>
            <w:pPr>
              <w:pStyle w:val="15"/>
            </w:pPr>
            <w:r>
              <w:t>3386000.00</w:t>
            </w:r>
          </w:p>
        </w:tc>
        <w:tc>
          <w:tcPr>
            <w:tcW w:w="1361" w:type="dxa"/>
            <w:vAlign w:val="center"/>
          </w:tcPr>
          <w:p>
            <w:pPr>
              <w:pStyle w:val="15"/>
            </w:pPr>
            <w:r>
              <w:t>2258000.00</w:t>
            </w:r>
          </w:p>
        </w:tc>
        <w:tc>
          <w:tcPr>
            <w:tcW w:w="1361" w:type="dxa"/>
            <w:vAlign w:val="center"/>
          </w:tcPr>
          <w:p>
            <w:pPr>
              <w:pStyle w:val="15"/>
            </w:pPr>
            <w:r>
              <w:t>1128000.00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2010308</w:t>
            </w:r>
          </w:p>
        </w:tc>
        <w:tc>
          <w:tcPr>
            <w:tcW w:w="4535" w:type="dxa"/>
            <w:vAlign w:val="center"/>
          </w:tcPr>
          <w:p>
            <w:pPr>
              <w:pStyle w:val="16"/>
            </w:pPr>
            <w:r>
              <w:rPr>
                <w:rFonts w:hint="eastAsia"/>
              </w:rPr>
              <w:t>信访事务</w:t>
            </w:r>
          </w:p>
        </w:tc>
        <w:tc>
          <w:tcPr>
            <w:tcW w:w="1361" w:type="dxa"/>
            <w:vAlign w:val="center"/>
          </w:tcPr>
          <w:p>
            <w:pPr>
              <w:pStyle w:val="15"/>
            </w:pPr>
            <w:r>
              <w:t>3386000.00</w:t>
            </w:r>
          </w:p>
        </w:tc>
        <w:tc>
          <w:tcPr>
            <w:tcW w:w="1361" w:type="dxa"/>
            <w:vAlign w:val="center"/>
          </w:tcPr>
          <w:p>
            <w:pPr>
              <w:pStyle w:val="15"/>
            </w:pPr>
            <w:r>
              <w:t>2258000.00</w:t>
            </w:r>
          </w:p>
        </w:tc>
        <w:tc>
          <w:tcPr>
            <w:tcW w:w="1361" w:type="dxa"/>
            <w:vAlign w:val="center"/>
          </w:tcPr>
          <w:p>
            <w:pPr>
              <w:pStyle w:val="15"/>
            </w:pPr>
            <w:r>
              <w:t>1128000.00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5" w:type="dxa"/>
            <w:vAlign w:val="center"/>
          </w:tcPr>
          <w:p>
            <w:pPr>
              <w:pStyle w:val="16"/>
            </w:pPr>
            <w:r>
              <w:rPr>
                <w:rFonts w:hint="eastAsia"/>
              </w:rPr>
              <w:t>社会保障和就业支出</w:t>
            </w:r>
          </w:p>
        </w:tc>
        <w:tc>
          <w:tcPr>
            <w:tcW w:w="1361" w:type="dxa"/>
            <w:vAlign w:val="center"/>
          </w:tcPr>
          <w:p>
            <w:pPr>
              <w:pStyle w:val="15"/>
            </w:pPr>
            <w:r>
              <w:t>184500.00</w:t>
            </w:r>
          </w:p>
        </w:tc>
        <w:tc>
          <w:tcPr>
            <w:tcW w:w="1361" w:type="dxa"/>
            <w:vAlign w:val="center"/>
          </w:tcPr>
          <w:p>
            <w:pPr>
              <w:pStyle w:val="15"/>
            </w:pPr>
            <w:r>
              <w:t>184500.00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5" w:type="dxa"/>
            <w:vAlign w:val="center"/>
          </w:tcPr>
          <w:p>
            <w:pPr>
              <w:pStyle w:val="16"/>
            </w:pPr>
            <w:r>
              <w:rPr>
                <w:rFonts w:hint="eastAsia"/>
              </w:rPr>
              <w:t>行政事业单位养老支出</w:t>
            </w:r>
          </w:p>
        </w:tc>
        <w:tc>
          <w:tcPr>
            <w:tcW w:w="1361" w:type="dxa"/>
            <w:vAlign w:val="center"/>
          </w:tcPr>
          <w:p>
            <w:pPr>
              <w:pStyle w:val="15"/>
            </w:pPr>
            <w:r>
              <w:t>184500.00</w:t>
            </w:r>
          </w:p>
        </w:tc>
        <w:tc>
          <w:tcPr>
            <w:tcW w:w="1361" w:type="dxa"/>
            <w:vAlign w:val="center"/>
          </w:tcPr>
          <w:p>
            <w:pPr>
              <w:pStyle w:val="15"/>
            </w:pPr>
            <w:r>
              <w:t>184500.00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2080505</w:t>
            </w:r>
          </w:p>
        </w:tc>
        <w:tc>
          <w:tcPr>
            <w:tcW w:w="4535" w:type="dxa"/>
            <w:vAlign w:val="center"/>
          </w:tcPr>
          <w:p>
            <w:pPr>
              <w:pStyle w:val="16"/>
            </w:pPr>
            <w:r>
              <w:rPr>
                <w:rFonts w:hint="eastAsia"/>
              </w:rPr>
              <w:t>机关事业单位基本养老保险缴费支出</w:t>
            </w:r>
          </w:p>
        </w:tc>
        <w:tc>
          <w:tcPr>
            <w:tcW w:w="1361" w:type="dxa"/>
            <w:vAlign w:val="center"/>
          </w:tcPr>
          <w:p>
            <w:pPr>
              <w:pStyle w:val="15"/>
            </w:pPr>
            <w:r>
              <w:t>123000.00</w:t>
            </w:r>
          </w:p>
        </w:tc>
        <w:tc>
          <w:tcPr>
            <w:tcW w:w="1361" w:type="dxa"/>
            <w:vAlign w:val="center"/>
          </w:tcPr>
          <w:p>
            <w:pPr>
              <w:pStyle w:val="15"/>
            </w:pPr>
            <w:r>
              <w:t>123000.00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2080506</w:t>
            </w:r>
          </w:p>
        </w:tc>
        <w:tc>
          <w:tcPr>
            <w:tcW w:w="4535" w:type="dxa"/>
            <w:vAlign w:val="center"/>
          </w:tcPr>
          <w:p>
            <w:pPr>
              <w:pStyle w:val="16"/>
            </w:pPr>
            <w:r>
              <w:rPr>
                <w:rFonts w:hint="eastAsia"/>
              </w:rPr>
              <w:t>机关事业单位职业年金缴费支出</w:t>
            </w:r>
          </w:p>
        </w:tc>
        <w:tc>
          <w:tcPr>
            <w:tcW w:w="1361" w:type="dxa"/>
            <w:vAlign w:val="center"/>
          </w:tcPr>
          <w:p>
            <w:pPr>
              <w:pStyle w:val="15"/>
            </w:pPr>
            <w:r>
              <w:t>61500.00</w:t>
            </w:r>
          </w:p>
        </w:tc>
        <w:tc>
          <w:tcPr>
            <w:tcW w:w="1361" w:type="dxa"/>
            <w:vAlign w:val="center"/>
          </w:tcPr>
          <w:p>
            <w:pPr>
              <w:pStyle w:val="15"/>
            </w:pPr>
            <w:r>
              <w:t>61500.00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w:t>
            </w:r>
          </w:p>
        </w:tc>
        <w:tc>
          <w:tcPr>
            <w:tcW w:w="4535" w:type="dxa"/>
            <w:vAlign w:val="center"/>
          </w:tcPr>
          <w:p>
            <w:pPr>
              <w:pStyle w:val="16"/>
            </w:pPr>
            <w:r>
              <w:rPr>
                <w:rFonts w:hint="eastAsia"/>
              </w:rPr>
              <w:t>卫生健康支出</w:t>
            </w:r>
          </w:p>
        </w:tc>
        <w:tc>
          <w:tcPr>
            <w:tcW w:w="1361" w:type="dxa"/>
            <w:vAlign w:val="center"/>
          </w:tcPr>
          <w:p>
            <w:pPr>
              <w:pStyle w:val="15"/>
            </w:pPr>
            <w:r>
              <w:t>59300.00</w:t>
            </w:r>
          </w:p>
        </w:tc>
        <w:tc>
          <w:tcPr>
            <w:tcW w:w="1361" w:type="dxa"/>
            <w:vAlign w:val="center"/>
          </w:tcPr>
          <w:p>
            <w:pPr>
              <w:pStyle w:val="15"/>
            </w:pPr>
            <w:r>
              <w:t>59300.00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w:t>
            </w:r>
          </w:p>
        </w:tc>
        <w:tc>
          <w:tcPr>
            <w:tcW w:w="4535" w:type="dxa"/>
            <w:vAlign w:val="center"/>
          </w:tcPr>
          <w:p>
            <w:pPr>
              <w:pStyle w:val="16"/>
            </w:pPr>
            <w:r>
              <w:rPr>
                <w:rFonts w:hint="eastAsia"/>
              </w:rPr>
              <w:t>行政事业单位医疗</w:t>
            </w:r>
          </w:p>
        </w:tc>
        <w:tc>
          <w:tcPr>
            <w:tcW w:w="1361" w:type="dxa"/>
            <w:vAlign w:val="center"/>
          </w:tcPr>
          <w:p>
            <w:pPr>
              <w:pStyle w:val="15"/>
            </w:pPr>
            <w:r>
              <w:t>59300.00</w:t>
            </w:r>
          </w:p>
        </w:tc>
        <w:tc>
          <w:tcPr>
            <w:tcW w:w="1361" w:type="dxa"/>
            <w:vAlign w:val="center"/>
          </w:tcPr>
          <w:p>
            <w:pPr>
              <w:pStyle w:val="15"/>
            </w:pPr>
            <w:r>
              <w:t>59300.00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2101101</w:t>
            </w:r>
          </w:p>
        </w:tc>
        <w:tc>
          <w:tcPr>
            <w:tcW w:w="4535" w:type="dxa"/>
            <w:vAlign w:val="center"/>
          </w:tcPr>
          <w:p>
            <w:pPr>
              <w:pStyle w:val="16"/>
            </w:pPr>
            <w:r>
              <w:rPr>
                <w:rFonts w:hint="eastAsia"/>
              </w:rPr>
              <w:t>行政单位医疗</w:t>
            </w:r>
          </w:p>
        </w:tc>
        <w:tc>
          <w:tcPr>
            <w:tcW w:w="1361" w:type="dxa"/>
            <w:vAlign w:val="center"/>
          </w:tcPr>
          <w:p>
            <w:pPr>
              <w:pStyle w:val="15"/>
            </w:pPr>
            <w:r>
              <w:t>28800.00</w:t>
            </w:r>
          </w:p>
        </w:tc>
        <w:tc>
          <w:tcPr>
            <w:tcW w:w="1361" w:type="dxa"/>
            <w:vAlign w:val="center"/>
          </w:tcPr>
          <w:p>
            <w:pPr>
              <w:pStyle w:val="15"/>
            </w:pPr>
            <w:r>
              <w:t>28800.00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2101102</w:t>
            </w:r>
          </w:p>
        </w:tc>
        <w:tc>
          <w:tcPr>
            <w:tcW w:w="4535" w:type="dxa"/>
            <w:vAlign w:val="center"/>
          </w:tcPr>
          <w:p>
            <w:pPr>
              <w:pStyle w:val="16"/>
            </w:pPr>
            <w:r>
              <w:rPr>
                <w:rFonts w:hint="eastAsia"/>
              </w:rPr>
              <w:t>事业单位医疗</w:t>
            </w:r>
          </w:p>
        </w:tc>
        <w:tc>
          <w:tcPr>
            <w:tcW w:w="1361" w:type="dxa"/>
            <w:vAlign w:val="center"/>
          </w:tcPr>
          <w:p>
            <w:pPr>
              <w:pStyle w:val="15"/>
            </w:pPr>
            <w:r>
              <w:t>30500.00</w:t>
            </w:r>
          </w:p>
        </w:tc>
        <w:tc>
          <w:tcPr>
            <w:tcW w:w="1361" w:type="dxa"/>
            <w:vAlign w:val="center"/>
          </w:tcPr>
          <w:p>
            <w:pPr>
              <w:pStyle w:val="15"/>
            </w:pPr>
            <w:r>
              <w:t>30500.00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w:t>
            </w:r>
          </w:p>
        </w:tc>
        <w:tc>
          <w:tcPr>
            <w:tcW w:w="4535" w:type="dxa"/>
            <w:vAlign w:val="center"/>
          </w:tcPr>
          <w:p>
            <w:pPr>
              <w:pStyle w:val="16"/>
            </w:pPr>
            <w:r>
              <w:rPr>
                <w:rFonts w:hint="eastAsia"/>
              </w:rPr>
              <w:t>住房保障支出</w:t>
            </w:r>
          </w:p>
        </w:tc>
        <w:tc>
          <w:tcPr>
            <w:tcW w:w="1361" w:type="dxa"/>
            <w:vAlign w:val="center"/>
          </w:tcPr>
          <w:p>
            <w:pPr>
              <w:pStyle w:val="15"/>
            </w:pPr>
            <w:r>
              <w:t>89000.00</w:t>
            </w:r>
          </w:p>
        </w:tc>
        <w:tc>
          <w:tcPr>
            <w:tcW w:w="1361" w:type="dxa"/>
            <w:vAlign w:val="center"/>
          </w:tcPr>
          <w:p>
            <w:pPr>
              <w:pStyle w:val="15"/>
            </w:pPr>
            <w:r>
              <w:t>89000.00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22102</w:t>
            </w:r>
          </w:p>
        </w:tc>
        <w:tc>
          <w:tcPr>
            <w:tcW w:w="4535" w:type="dxa"/>
            <w:vAlign w:val="center"/>
          </w:tcPr>
          <w:p>
            <w:pPr>
              <w:pStyle w:val="16"/>
            </w:pPr>
            <w:r>
              <w:rPr>
                <w:rFonts w:hint="eastAsia"/>
              </w:rPr>
              <w:t>住房改革支出</w:t>
            </w:r>
          </w:p>
        </w:tc>
        <w:tc>
          <w:tcPr>
            <w:tcW w:w="1361" w:type="dxa"/>
            <w:vAlign w:val="center"/>
          </w:tcPr>
          <w:p>
            <w:pPr>
              <w:pStyle w:val="15"/>
            </w:pPr>
            <w:r>
              <w:t>89000.00</w:t>
            </w:r>
          </w:p>
        </w:tc>
        <w:tc>
          <w:tcPr>
            <w:tcW w:w="1361" w:type="dxa"/>
            <w:vAlign w:val="center"/>
          </w:tcPr>
          <w:p>
            <w:pPr>
              <w:pStyle w:val="15"/>
            </w:pPr>
            <w:r>
              <w:t>89000.00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2210201</w:t>
            </w:r>
          </w:p>
        </w:tc>
        <w:tc>
          <w:tcPr>
            <w:tcW w:w="4535" w:type="dxa"/>
            <w:vAlign w:val="center"/>
          </w:tcPr>
          <w:p>
            <w:pPr>
              <w:pStyle w:val="16"/>
            </w:pPr>
            <w:r>
              <w:rPr>
                <w:rFonts w:hint="eastAsia"/>
              </w:rPr>
              <w:t>住房公积金</w:t>
            </w:r>
          </w:p>
        </w:tc>
        <w:tc>
          <w:tcPr>
            <w:tcW w:w="1361" w:type="dxa"/>
            <w:vAlign w:val="center"/>
          </w:tcPr>
          <w:p>
            <w:pPr>
              <w:pStyle w:val="15"/>
            </w:pPr>
            <w:r>
              <w:t>89000.00</w:t>
            </w:r>
          </w:p>
        </w:tc>
        <w:tc>
          <w:tcPr>
            <w:tcW w:w="1361" w:type="dxa"/>
            <w:vAlign w:val="center"/>
          </w:tcPr>
          <w:p>
            <w:pPr>
              <w:pStyle w:val="15"/>
            </w:pPr>
            <w:r>
              <w:t>89000.00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501</w:t>
            </w:r>
            <w:r>
              <w:rPr>
                <w:rFonts w:hint="eastAsia"/>
              </w:rPr>
              <w:t>馆陶县信访局</w:t>
            </w:r>
          </w:p>
        </w:tc>
        <w:tc>
          <w:tcPr>
            <w:tcW w:w="3402"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4876" w:type="dxa"/>
            <w:gridSpan w:val="2"/>
            <w:vAlign w:val="center"/>
          </w:tcPr>
          <w:p>
            <w:pPr>
              <w:pStyle w:val="14"/>
            </w:pPr>
            <w:r>
              <w:rPr>
                <w:rFonts w:hint="eastAsia"/>
              </w:rPr>
              <w:t>收入</w:t>
            </w:r>
          </w:p>
        </w:tc>
        <w:tc>
          <w:tcPr>
            <w:tcW w:w="9298" w:type="dxa"/>
            <w:gridSpan w:val="5"/>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金额</w:t>
            </w: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合计</w:t>
            </w:r>
          </w:p>
        </w:tc>
        <w:tc>
          <w:tcPr>
            <w:tcW w:w="1474" w:type="dxa"/>
            <w:vAlign w:val="center"/>
          </w:tcPr>
          <w:p>
            <w:pPr>
              <w:pStyle w:val="14"/>
            </w:pPr>
            <w:r>
              <w:rPr>
                <w:rFonts w:hint="eastAsia"/>
              </w:rPr>
              <w:t>一般公共预算财政拨款</w:t>
            </w:r>
          </w:p>
        </w:tc>
        <w:tc>
          <w:tcPr>
            <w:tcW w:w="1474" w:type="dxa"/>
            <w:vAlign w:val="center"/>
          </w:tcPr>
          <w:p>
            <w:pPr>
              <w:pStyle w:val="14"/>
            </w:pPr>
            <w:r>
              <w:rPr>
                <w:rFonts w:hint="eastAsia"/>
              </w:rPr>
              <w:t>政府性基金预算财政</w:t>
            </w:r>
            <w:r>
              <w:t xml:space="preserve">    </w:t>
            </w:r>
            <w:r>
              <w:rPr>
                <w:rFonts w:hint="eastAsia"/>
              </w:rPr>
              <w:t>拨款</w:t>
            </w:r>
          </w:p>
        </w:tc>
        <w:tc>
          <w:tcPr>
            <w:tcW w:w="1474" w:type="dxa"/>
            <w:vAlign w:val="center"/>
          </w:tcPr>
          <w:p>
            <w:pPr>
              <w:pStyle w:val="14"/>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rPr>
                <w:rFonts w:hint="eastAsia"/>
              </w:rPr>
              <w:t>一、一般公共预算拨款</w:t>
            </w:r>
          </w:p>
        </w:tc>
        <w:tc>
          <w:tcPr>
            <w:tcW w:w="1474" w:type="dxa"/>
            <w:vAlign w:val="center"/>
          </w:tcPr>
          <w:p>
            <w:pPr>
              <w:pStyle w:val="15"/>
            </w:pPr>
            <w:r>
              <w:t>3718800.00</w:t>
            </w:r>
          </w:p>
        </w:tc>
        <w:tc>
          <w:tcPr>
            <w:tcW w:w="3402" w:type="dxa"/>
            <w:vAlign w:val="center"/>
          </w:tcPr>
          <w:p>
            <w:pPr>
              <w:pStyle w:val="16"/>
            </w:pPr>
            <w:r>
              <w:rPr>
                <w:rFonts w:hint="eastAsia"/>
              </w:rPr>
              <w:t>一、一般公共服务支出</w:t>
            </w:r>
          </w:p>
        </w:tc>
        <w:tc>
          <w:tcPr>
            <w:tcW w:w="1474" w:type="dxa"/>
            <w:vAlign w:val="center"/>
          </w:tcPr>
          <w:p>
            <w:pPr>
              <w:pStyle w:val="15"/>
            </w:pPr>
            <w:r>
              <w:t>3386000.00</w:t>
            </w:r>
          </w:p>
        </w:tc>
        <w:tc>
          <w:tcPr>
            <w:tcW w:w="1474" w:type="dxa"/>
            <w:vAlign w:val="center"/>
          </w:tcPr>
          <w:p>
            <w:pPr>
              <w:pStyle w:val="15"/>
            </w:pPr>
            <w:r>
              <w:t>3386000.00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r>
              <w:rPr>
                <w:rFonts w:hint="eastAsia"/>
              </w:rP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r>
              <w:rPr>
                <w:rFonts w:hint="eastAsia"/>
              </w:rP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八、社会保障和就业支出</w:t>
            </w:r>
          </w:p>
        </w:tc>
        <w:tc>
          <w:tcPr>
            <w:tcW w:w="1474" w:type="dxa"/>
            <w:vAlign w:val="center"/>
          </w:tcPr>
          <w:p>
            <w:pPr>
              <w:pStyle w:val="15"/>
            </w:pPr>
            <w:r>
              <w:t>184500.00</w:t>
            </w:r>
          </w:p>
        </w:tc>
        <w:tc>
          <w:tcPr>
            <w:tcW w:w="1474" w:type="dxa"/>
            <w:vAlign w:val="center"/>
          </w:tcPr>
          <w:p>
            <w:pPr>
              <w:pStyle w:val="15"/>
            </w:pPr>
            <w:r>
              <w:t>184500.00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十、卫生健康支出</w:t>
            </w:r>
          </w:p>
        </w:tc>
        <w:tc>
          <w:tcPr>
            <w:tcW w:w="1474" w:type="dxa"/>
            <w:vAlign w:val="center"/>
          </w:tcPr>
          <w:p>
            <w:pPr>
              <w:pStyle w:val="15"/>
            </w:pPr>
            <w:r>
              <w:t>59300.00</w:t>
            </w:r>
          </w:p>
        </w:tc>
        <w:tc>
          <w:tcPr>
            <w:tcW w:w="1474" w:type="dxa"/>
            <w:vAlign w:val="center"/>
          </w:tcPr>
          <w:p>
            <w:pPr>
              <w:pStyle w:val="15"/>
            </w:pPr>
            <w:r>
              <w:t>59300.00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二十、住房保障支出</w:t>
            </w:r>
          </w:p>
        </w:tc>
        <w:tc>
          <w:tcPr>
            <w:tcW w:w="1474" w:type="dxa"/>
            <w:vAlign w:val="center"/>
          </w:tcPr>
          <w:p>
            <w:pPr>
              <w:pStyle w:val="15"/>
            </w:pPr>
            <w:r>
              <w:t>89000.00</w:t>
            </w:r>
          </w:p>
        </w:tc>
        <w:tc>
          <w:tcPr>
            <w:tcW w:w="1474" w:type="dxa"/>
            <w:vAlign w:val="center"/>
          </w:tcPr>
          <w:p>
            <w:pPr>
              <w:pStyle w:val="15"/>
            </w:pPr>
            <w:r>
              <w:t>89000.00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rPr>
                <w:rFonts w:hint="eastAsia"/>
              </w:rPr>
              <w:t>本年收入合计</w:t>
            </w:r>
          </w:p>
        </w:tc>
        <w:tc>
          <w:tcPr>
            <w:tcW w:w="1474" w:type="dxa"/>
            <w:vAlign w:val="center"/>
          </w:tcPr>
          <w:p>
            <w:pPr>
              <w:pStyle w:val="19"/>
            </w:pPr>
            <w:r>
              <w:t>3718800.00</w:t>
            </w:r>
          </w:p>
        </w:tc>
        <w:tc>
          <w:tcPr>
            <w:tcW w:w="3402" w:type="dxa"/>
            <w:vAlign w:val="center"/>
          </w:tcPr>
          <w:p>
            <w:pPr>
              <w:pStyle w:val="18"/>
            </w:pPr>
            <w:r>
              <w:rPr>
                <w:rFonts w:hint="eastAsia"/>
              </w:rPr>
              <w:t>本年支出合计</w:t>
            </w:r>
          </w:p>
        </w:tc>
        <w:tc>
          <w:tcPr>
            <w:tcW w:w="1474" w:type="dxa"/>
            <w:vAlign w:val="center"/>
          </w:tcPr>
          <w:p>
            <w:pPr>
              <w:pStyle w:val="19"/>
            </w:pPr>
            <w:r>
              <w:t>3718800.00</w:t>
            </w:r>
          </w:p>
        </w:tc>
        <w:tc>
          <w:tcPr>
            <w:tcW w:w="1474" w:type="dxa"/>
            <w:vAlign w:val="center"/>
          </w:tcPr>
          <w:p>
            <w:pPr>
              <w:pStyle w:val="19"/>
            </w:pPr>
            <w:r>
              <w:t>3718800.00</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rPr>
                <w:rFonts w:hint="eastAsia"/>
              </w:rPr>
              <w:t>年初财政拨款结转和结余</w:t>
            </w:r>
          </w:p>
        </w:tc>
        <w:tc>
          <w:tcPr>
            <w:tcW w:w="1474" w:type="dxa"/>
            <w:vAlign w:val="center"/>
          </w:tcPr>
          <w:p>
            <w:pPr>
              <w:pStyle w:val="15"/>
            </w:pPr>
          </w:p>
        </w:tc>
        <w:tc>
          <w:tcPr>
            <w:tcW w:w="3402" w:type="dxa"/>
            <w:vAlign w:val="center"/>
          </w:tcPr>
          <w:p>
            <w:pPr>
              <w:pStyle w:val="16"/>
            </w:pPr>
            <w:r>
              <w:rPr>
                <w:rFonts w:hint="eastAsia"/>
              </w:rP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rPr>
                <w:rFonts w:hint="eastAsia"/>
              </w:rP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rPr>
                <w:rFonts w:hint="eastAsia"/>
              </w:rPr>
              <w:t>收入总计</w:t>
            </w:r>
          </w:p>
        </w:tc>
        <w:tc>
          <w:tcPr>
            <w:tcW w:w="1474" w:type="dxa"/>
            <w:vAlign w:val="center"/>
          </w:tcPr>
          <w:p>
            <w:pPr>
              <w:pStyle w:val="19"/>
            </w:pPr>
            <w:r>
              <w:t>3718800.00</w:t>
            </w:r>
          </w:p>
        </w:tc>
        <w:tc>
          <w:tcPr>
            <w:tcW w:w="3402" w:type="dxa"/>
            <w:vAlign w:val="center"/>
          </w:tcPr>
          <w:p>
            <w:pPr>
              <w:pStyle w:val="18"/>
            </w:pPr>
            <w:r>
              <w:rPr>
                <w:rFonts w:hint="eastAsia"/>
              </w:rPr>
              <w:t>支出总计</w:t>
            </w:r>
          </w:p>
        </w:tc>
        <w:tc>
          <w:tcPr>
            <w:tcW w:w="1474" w:type="dxa"/>
            <w:vAlign w:val="center"/>
          </w:tcPr>
          <w:p>
            <w:pPr>
              <w:pStyle w:val="19"/>
            </w:pPr>
            <w:r>
              <w:t>3718800.00</w:t>
            </w:r>
          </w:p>
        </w:tc>
        <w:tc>
          <w:tcPr>
            <w:tcW w:w="1474" w:type="dxa"/>
            <w:vAlign w:val="center"/>
          </w:tcPr>
          <w:p>
            <w:pPr>
              <w:pStyle w:val="19"/>
            </w:pPr>
            <w:r>
              <w:t>3718800.00</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501</w:t>
            </w:r>
            <w:r>
              <w:rPr>
                <w:rFonts w:hint="eastAsia"/>
              </w:rPr>
              <w:t>馆陶县信访局</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3718800.00</w:t>
            </w:r>
          </w:p>
        </w:tc>
        <w:tc>
          <w:tcPr>
            <w:tcW w:w="2551" w:type="dxa"/>
            <w:vAlign w:val="center"/>
          </w:tcPr>
          <w:p>
            <w:pPr>
              <w:pStyle w:val="19"/>
            </w:pPr>
            <w:r>
              <w:t>2590800.00</w:t>
            </w:r>
          </w:p>
        </w:tc>
        <w:tc>
          <w:tcPr>
            <w:tcW w:w="2551" w:type="dxa"/>
            <w:vAlign w:val="center"/>
          </w:tcPr>
          <w:p>
            <w:pPr>
              <w:pStyle w:val="19"/>
            </w:pPr>
            <w:r>
              <w:t>1128000.00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rPr>
                <w:rFonts w:hint="eastAsia"/>
              </w:rPr>
              <w:t>一般公共服务支出</w:t>
            </w:r>
          </w:p>
        </w:tc>
        <w:tc>
          <w:tcPr>
            <w:tcW w:w="2551" w:type="dxa"/>
            <w:vAlign w:val="center"/>
          </w:tcPr>
          <w:p>
            <w:pPr>
              <w:pStyle w:val="15"/>
            </w:pPr>
            <w:r>
              <w:t>3386000.00</w:t>
            </w:r>
          </w:p>
        </w:tc>
        <w:tc>
          <w:tcPr>
            <w:tcW w:w="2551" w:type="dxa"/>
            <w:vAlign w:val="center"/>
          </w:tcPr>
          <w:p>
            <w:pPr>
              <w:pStyle w:val="15"/>
            </w:pPr>
            <w:r>
              <w:t>2258000.00</w:t>
            </w:r>
          </w:p>
        </w:tc>
        <w:tc>
          <w:tcPr>
            <w:tcW w:w="2551" w:type="dxa"/>
            <w:vAlign w:val="center"/>
          </w:tcPr>
          <w:p>
            <w:pPr>
              <w:pStyle w:val="15"/>
            </w:pPr>
            <w:r>
              <w:t>1128000.00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20103</w:t>
            </w:r>
          </w:p>
        </w:tc>
        <w:tc>
          <w:tcPr>
            <w:tcW w:w="4535" w:type="dxa"/>
            <w:vAlign w:val="center"/>
          </w:tcPr>
          <w:p>
            <w:pPr>
              <w:pStyle w:val="16"/>
            </w:pPr>
            <w:r>
              <w:rPr>
                <w:rFonts w:hint="eastAsia"/>
              </w:rPr>
              <w:t>政府办公厅（室）及相关机构事务</w:t>
            </w:r>
          </w:p>
        </w:tc>
        <w:tc>
          <w:tcPr>
            <w:tcW w:w="2551" w:type="dxa"/>
            <w:vAlign w:val="center"/>
          </w:tcPr>
          <w:p>
            <w:pPr>
              <w:pStyle w:val="15"/>
            </w:pPr>
            <w:r>
              <w:t>3386000.00</w:t>
            </w:r>
          </w:p>
        </w:tc>
        <w:tc>
          <w:tcPr>
            <w:tcW w:w="2551" w:type="dxa"/>
            <w:vAlign w:val="center"/>
          </w:tcPr>
          <w:p>
            <w:pPr>
              <w:pStyle w:val="15"/>
            </w:pPr>
            <w:r>
              <w:t>2258000.00</w:t>
            </w:r>
          </w:p>
        </w:tc>
        <w:tc>
          <w:tcPr>
            <w:tcW w:w="2551" w:type="dxa"/>
            <w:vAlign w:val="center"/>
          </w:tcPr>
          <w:p>
            <w:pPr>
              <w:pStyle w:val="15"/>
            </w:pPr>
            <w:r>
              <w:t>1128000.00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2010308</w:t>
            </w:r>
          </w:p>
        </w:tc>
        <w:tc>
          <w:tcPr>
            <w:tcW w:w="4535" w:type="dxa"/>
            <w:vAlign w:val="center"/>
          </w:tcPr>
          <w:p>
            <w:pPr>
              <w:pStyle w:val="16"/>
            </w:pPr>
            <w:r>
              <w:rPr>
                <w:rFonts w:hint="eastAsia"/>
              </w:rPr>
              <w:t>信访事务</w:t>
            </w:r>
          </w:p>
        </w:tc>
        <w:tc>
          <w:tcPr>
            <w:tcW w:w="2551" w:type="dxa"/>
            <w:vAlign w:val="center"/>
          </w:tcPr>
          <w:p>
            <w:pPr>
              <w:pStyle w:val="15"/>
            </w:pPr>
            <w:r>
              <w:t>3386000.00</w:t>
            </w:r>
          </w:p>
        </w:tc>
        <w:tc>
          <w:tcPr>
            <w:tcW w:w="2551" w:type="dxa"/>
            <w:vAlign w:val="center"/>
          </w:tcPr>
          <w:p>
            <w:pPr>
              <w:pStyle w:val="15"/>
            </w:pPr>
            <w:r>
              <w:t>2258000.00</w:t>
            </w:r>
          </w:p>
        </w:tc>
        <w:tc>
          <w:tcPr>
            <w:tcW w:w="2551" w:type="dxa"/>
            <w:vAlign w:val="center"/>
          </w:tcPr>
          <w:p>
            <w:pPr>
              <w:pStyle w:val="15"/>
            </w:pPr>
            <w:r>
              <w:t>1128000.00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rPr>
                <w:rFonts w:hint="eastAsia"/>
              </w:rPr>
              <w:t>社会保障和就业支出</w:t>
            </w:r>
          </w:p>
        </w:tc>
        <w:tc>
          <w:tcPr>
            <w:tcW w:w="2551" w:type="dxa"/>
            <w:vAlign w:val="center"/>
          </w:tcPr>
          <w:p>
            <w:pPr>
              <w:pStyle w:val="15"/>
            </w:pPr>
            <w:r>
              <w:t>184500.00</w:t>
            </w:r>
          </w:p>
        </w:tc>
        <w:tc>
          <w:tcPr>
            <w:tcW w:w="2551" w:type="dxa"/>
            <w:vAlign w:val="center"/>
          </w:tcPr>
          <w:p>
            <w:pPr>
              <w:pStyle w:val="15"/>
            </w:pPr>
            <w:r>
              <w:t>184500.00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rPr>
                <w:rFonts w:hint="eastAsia"/>
              </w:rPr>
              <w:t>行政事业单位养老支出</w:t>
            </w:r>
          </w:p>
        </w:tc>
        <w:tc>
          <w:tcPr>
            <w:tcW w:w="2551" w:type="dxa"/>
            <w:vAlign w:val="center"/>
          </w:tcPr>
          <w:p>
            <w:pPr>
              <w:pStyle w:val="15"/>
            </w:pPr>
            <w:r>
              <w:t>184500.00</w:t>
            </w:r>
          </w:p>
        </w:tc>
        <w:tc>
          <w:tcPr>
            <w:tcW w:w="2551" w:type="dxa"/>
            <w:vAlign w:val="center"/>
          </w:tcPr>
          <w:p>
            <w:pPr>
              <w:pStyle w:val="15"/>
            </w:pPr>
            <w:r>
              <w:t>184500.00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2080505</w:t>
            </w:r>
          </w:p>
        </w:tc>
        <w:tc>
          <w:tcPr>
            <w:tcW w:w="4535" w:type="dxa"/>
            <w:vAlign w:val="center"/>
          </w:tcPr>
          <w:p>
            <w:pPr>
              <w:pStyle w:val="16"/>
            </w:pPr>
            <w:r>
              <w:rPr>
                <w:rFonts w:hint="eastAsia"/>
              </w:rPr>
              <w:t>机关事业单位基本养老保险缴费支出</w:t>
            </w:r>
          </w:p>
        </w:tc>
        <w:tc>
          <w:tcPr>
            <w:tcW w:w="2551" w:type="dxa"/>
            <w:vAlign w:val="center"/>
          </w:tcPr>
          <w:p>
            <w:pPr>
              <w:pStyle w:val="15"/>
            </w:pPr>
            <w:r>
              <w:t>123000.00</w:t>
            </w:r>
          </w:p>
        </w:tc>
        <w:tc>
          <w:tcPr>
            <w:tcW w:w="2551" w:type="dxa"/>
            <w:vAlign w:val="center"/>
          </w:tcPr>
          <w:p>
            <w:pPr>
              <w:pStyle w:val="15"/>
            </w:pPr>
            <w:r>
              <w:t>123000.00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2080506</w:t>
            </w:r>
          </w:p>
        </w:tc>
        <w:tc>
          <w:tcPr>
            <w:tcW w:w="4535" w:type="dxa"/>
            <w:vAlign w:val="center"/>
          </w:tcPr>
          <w:p>
            <w:pPr>
              <w:pStyle w:val="16"/>
            </w:pPr>
            <w:r>
              <w:rPr>
                <w:rFonts w:hint="eastAsia"/>
              </w:rPr>
              <w:t>机关事业单位职业年金缴费支出</w:t>
            </w:r>
          </w:p>
        </w:tc>
        <w:tc>
          <w:tcPr>
            <w:tcW w:w="2551" w:type="dxa"/>
            <w:vAlign w:val="center"/>
          </w:tcPr>
          <w:p>
            <w:pPr>
              <w:pStyle w:val="15"/>
            </w:pPr>
            <w:r>
              <w:t>61500.00</w:t>
            </w:r>
          </w:p>
        </w:tc>
        <w:tc>
          <w:tcPr>
            <w:tcW w:w="2551" w:type="dxa"/>
            <w:vAlign w:val="center"/>
          </w:tcPr>
          <w:p>
            <w:pPr>
              <w:pStyle w:val="15"/>
            </w:pPr>
            <w:r>
              <w:t>61500.00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w:t>
            </w:r>
          </w:p>
        </w:tc>
        <w:tc>
          <w:tcPr>
            <w:tcW w:w="4535" w:type="dxa"/>
            <w:vAlign w:val="center"/>
          </w:tcPr>
          <w:p>
            <w:pPr>
              <w:pStyle w:val="16"/>
            </w:pPr>
            <w:r>
              <w:rPr>
                <w:rFonts w:hint="eastAsia"/>
              </w:rPr>
              <w:t>卫生健康支出</w:t>
            </w:r>
          </w:p>
        </w:tc>
        <w:tc>
          <w:tcPr>
            <w:tcW w:w="2551" w:type="dxa"/>
            <w:vAlign w:val="center"/>
          </w:tcPr>
          <w:p>
            <w:pPr>
              <w:pStyle w:val="15"/>
            </w:pPr>
            <w:r>
              <w:t>59300.00</w:t>
            </w:r>
          </w:p>
        </w:tc>
        <w:tc>
          <w:tcPr>
            <w:tcW w:w="2551" w:type="dxa"/>
            <w:vAlign w:val="center"/>
          </w:tcPr>
          <w:p>
            <w:pPr>
              <w:pStyle w:val="15"/>
            </w:pPr>
            <w:r>
              <w:t>59300.00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w:t>
            </w:r>
          </w:p>
        </w:tc>
        <w:tc>
          <w:tcPr>
            <w:tcW w:w="4535" w:type="dxa"/>
            <w:vAlign w:val="center"/>
          </w:tcPr>
          <w:p>
            <w:pPr>
              <w:pStyle w:val="16"/>
            </w:pPr>
            <w:r>
              <w:rPr>
                <w:rFonts w:hint="eastAsia"/>
              </w:rPr>
              <w:t>行政事业单位医疗</w:t>
            </w:r>
          </w:p>
        </w:tc>
        <w:tc>
          <w:tcPr>
            <w:tcW w:w="2551" w:type="dxa"/>
            <w:vAlign w:val="center"/>
          </w:tcPr>
          <w:p>
            <w:pPr>
              <w:pStyle w:val="15"/>
            </w:pPr>
            <w:r>
              <w:t>59300.00</w:t>
            </w:r>
          </w:p>
        </w:tc>
        <w:tc>
          <w:tcPr>
            <w:tcW w:w="2551" w:type="dxa"/>
            <w:vAlign w:val="center"/>
          </w:tcPr>
          <w:p>
            <w:pPr>
              <w:pStyle w:val="15"/>
            </w:pPr>
            <w:r>
              <w:t>59300.00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2101101</w:t>
            </w:r>
          </w:p>
        </w:tc>
        <w:tc>
          <w:tcPr>
            <w:tcW w:w="4535" w:type="dxa"/>
            <w:vAlign w:val="center"/>
          </w:tcPr>
          <w:p>
            <w:pPr>
              <w:pStyle w:val="16"/>
            </w:pPr>
            <w:r>
              <w:rPr>
                <w:rFonts w:hint="eastAsia"/>
              </w:rPr>
              <w:t>行政单位医疗</w:t>
            </w:r>
          </w:p>
        </w:tc>
        <w:tc>
          <w:tcPr>
            <w:tcW w:w="2551" w:type="dxa"/>
            <w:vAlign w:val="center"/>
          </w:tcPr>
          <w:p>
            <w:pPr>
              <w:pStyle w:val="15"/>
            </w:pPr>
            <w:r>
              <w:t>28800.00</w:t>
            </w:r>
          </w:p>
        </w:tc>
        <w:tc>
          <w:tcPr>
            <w:tcW w:w="2551" w:type="dxa"/>
            <w:vAlign w:val="center"/>
          </w:tcPr>
          <w:p>
            <w:pPr>
              <w:pStyle w:val="15"/>
            </w:pPr>
            <w:r>
              <w:t>28800.00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2101102</w:t>
            </w:r>
          </w:p>
        </w:tc>
        <w:tc>
          <w:tcPr>
            <w:tcW w:w="4535" w:type="dxa"/>
            <w:vAlign w:val="center"/>
          </w:tcPr>
          <w:p>
            <w:pPr>
              <w:pStyle w:val="16"/>
            </w:pPr>
            <w:r>
              <w:rPr>
                <w:rFonts w:hint="eastAsia"/>
              </w:rPr>
              <w:t>事业单位医疗</w:t>
            </w:r>
          </w:p>
        </w:tc>
        <w:tc>
          <w:tcPr>
            <w:tcW w:w="2551" w:type="dxa"/>
            <w:vAlign w:val="center"/>
          </w:tcPr>
          <w:p>
            <w:pPr>
              <w:pStyle w:val="15"/>
            </w:pPr>
            <w:r>
              <w:t>30500.00</w:t>
            </w:r>
          </w:p>
        </w:tc>
        <w:tc>
          <w:tcPr>
            <w:tcW w:w="2551" w:type="dxa"/>
            <w:vAlign w:val="center"/>
          </w:tcPr>
          <w:p>
            <w:pPr>
              <w:pStyle w:val="15"/>
            </w:pPr>
            <w:r>
              <w:t>30500.00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w:t>
            </w:r>
          </w:p>
        </w:tc>
        <w:tc>
          <w:tcPr>
            <w:tcW w:w="4535" w:type="dxa"/>
            <w:vAlign w:val="center"/>
          </w:tcPr>
          <w:p>
            <w:pPr>
              <w:pStyle w:val="16"/>
            </w:pPr>
            <w:r>
              <w:rPr>
                <w:rFonts w:hint="eastAsia"/>
              </w:rPr>
              <w:t>住房保障支出</w:t>
            </w:r>
          </w:p>
        </w:tc>
        <w:tc>
          <w:tcPr>
            <w:tcW w:w="2551" w:type="dxa"/>
            <w:vAlign w:val="center"/>
          </w:tcPr>
          <w:p>
            <w:pPr>
              <w:pStyle w:val="15"/>
            </w:pPr>
            <w:r>
              <w:t>89000.00</w:t>
            </w:r>
          </w:p>
        </w:tc>
        <w:tc>
          <w:tcPr>
            <w:tcW w:w="2551" w:type="dxa"/>
            <w:vAlign w:val="center"/>
          </w:tcPr>
          <w:p>
            <w:pPr>
              <w:pStyle w:val="15"/>
            </w:pPr>
            <w:r>
              <w:t>89000.00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22102</w:t>
            </w:r>
          </w:p>
        </w:tc>
        <w:tc>
          <w:tcPr>
            <w:tcW w:w="4535" w:type="dxa"/>
            <w:vAlign w:val="center"/>
          </w:tcPr>
          <w:p>
            <w:pPr>
              <w:pStyle w:val="16"/>
            </w:pPr>
            <w:r>
              <w:rPr>
                <w:rFonts w:hint="eastAsia"/>
              </w:rPr>
              <w:t>住房改革支出</w:t>
            </w:r>
          </w:p>
        </w:tc>
        <w:tc>
          <w:tcPr>
            <w:tcW w:w="2551" w:type="dxa"/>
            <w:vAlign w:val="center"/>
          </w:tcPr>
          <w:p>
            <w:pPr>
              <w:pStyle w:val="15"/>
            </w:pPr>
            <w:r>
              <w:t>89000.00</w:t>
            </w:r>
          </w:p>
        </w:tc>
        <w:tc>
          <w:tcPr>
            <w:tcW w:w="2551" w:type="dxa"/>
            <w:vAlign w:val="center"/>
          </w:tcPr>
          <w:p>
            <w:pPr>
              <w:pStyle w:val="15"/>
            </w:pPr>
            <w:r>
              <w:t>89000.00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2210201</w:t>
            </w:r>
          </w:p>
        </w:tc>
        <w:tc>
          <w:tcPr>
            <w:tcW w:w="4535" w:type="dxa"/>
            <w:vAlign w:val="center"/>
          </w:tcPr>
          <w:p>
            <w:pPr>
              <w:pStyle w:val="16"/>
            </w:pPr>
            <w:r>
              <w:rPr>
                <w:rFonts w:hint="eastAsia"/>
              </w:rPr>
              <w:t>住房公积金</w:t>
            </w:r>
          </w:p>
        </w:tc>
        <w:tc>
          <w:tcPr>
            <w:tcW w:w="2551" w:type="dxa"/>
            <w:vAlign w:val="center"/>
          </w:tcPr>
          <w:p>
            <w:pPr>
              <w:pStyle w:val="15"/>
            </w:pPr>
            <w:r>
              <w:t>89000.00</w:t>
            </w:r>
          </w:p>
        </w:tc>
        <w:tc>
          <w:tcPr>
            <w:tcW w:w="2551" w:type="dxa"/>
            <w:vAlign w:val="center"/>
          </w:tcPr>
          <w:p>
            <w:pPr>
              <w:pStyle w:val="15"/>
            </w:pPr>
            <w:r>
              <w:t>89000.00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501</w:t>
            </w:r>
            <w:r>
              <w:rPr>
                <w:rFonts w:hint="eastAsia"/>
              </w:rPr>
              <w:t>馆陶县信访局</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支出部门经济分类科目</w:t>
            </w:r>
          </w:p>
        </w:tc>
        <w:tc>
          <w:tcPr>
            <w:tcW w:w="7654" w:type="dxa"/>
            <w:gridSpan w:val="3"/>
            <w:vAlign w:val="center"/>
          </w:tcPr>
          <w:p>
            <w:pPr>
              <w:pStyle w:val="14"/>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Align w:val="center"/>
          </w:tcPr>
          <w:p>
            <w:pPr>
              <w:pStyle w:val="14"/>
            </w:pPr>
            <w:r>
              <w:rPr>
                <w:rFonts w:hint="eastAsia"/>
              </w:rPr>
              <w:t>合计</w:t>
            </w:r>
          </w:p>
        </w:tc>
        <w:tc>
          <w:tcPr>
            <w:tcW w:w="2551" w:type="dxa"/>
            <w:vAlign w:val="center"/>
          </w:tcPr>
          <w:p>
            <w:pPr>
              <w:pStyle w:val="14"/>
            </w:pPr>
            <w:r>
              <w:rPr>
                <w:rFonts w:hint="eastAsia"/>
              </w:rPr>
              <w:t>人员经费</w:t>
            </w:r>
          </w:p>
        </w:tc>
        <w:tc>
          <w:tcPr>
            <w:tcW w:w="2551" w:type="dxa"/>
            <w:vAlign w:val="center"/>
          </w:tcPr>
          <w:p>
            <w:pPr>
              <w:pStyle w:val="14"/>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2590800.00</w:t>
            </w:r>
          </w:p>
        </w:tc>
        <w:tc>
          <w:tcPr>
            <w:tcW w:w="2551" w:type="dxa"/>
            <w:vAlign w:val="center"/>
          </w:tcPr>
          <w:p>
            <w:pPr>
              <w:pStyle w:val="19"/>
            </w:pPr>
            <w:r>
              <w:t>2494100.00</w:t>
            </w:r>
          </w:p>
        </w:tc>
        <w:tc>
          <w:tcPr>
            <w:tcW w:w="2551" w:type="dxa"/>
            <w:vAlign w:val="center"/>
          </w:tcPr>
          <w:p>
            <w:pPr>
              <w:pStyle w:val="19"/>
            </w:pPr>
            <w:r>
              <w:t>96700.00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rPr>
                <w:rFonts w:hint="eastAsia"/>
              </w:rPr>
              <w:t>工资福利支出</w:t>
            </w:r>
          </w:p>
        </w:tc>
        <w:tc>
          <w:tcPr>
            <w:tcW w:w="2551" w:type="dxa"/>
            <w:vAlign w:val="center"/>
          </w:tcPr>
          <w:p>
            <w:pPr>
              <w:pStyle w:val="15"/>
            </w:pPr>
            <w:r>
              <w:t>2379100.00</w:t>
            </w:r>
          </w:p>
        </w:tc>
        <w:tc>
          <w:tcPr>
            <w:tcW w:w="2551" w:type="dxa"/>
            <w:vAlign w:val="center"/>
          </w:tcPr>
          <w:p>
            <w:pPr>
              <w:pStyle w:val="15"/>
            </w:pPr>
            <w:r>
              <w:t>2379100.00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rPr>
                <w:rFonts w:hint="eastAsia"/>
              </w:rPr>
              <w:t>基本工资</w:t>
            </w:r>
          </w:p>
        </w:tc>
        <w:tc>
          <w:tcPr>
            <w:tcW w:w="2551" w:type="dxa"/>
            <w:vAlign w:val="center"/>
          </w:tcPr>
          <w:p>
            <w:pPr>
              <w:pStyle w:val="15"/>
            </w:pPr>
            <w:r>
              <w:t>1425300.00</w:t>
            </w:r>
          </w:p>
        </w:tc>
        <w:tc>
          <w:tcPr>
            <w:tcW w:w="2551" w:type="dxa"/>
            <w:vAlign w:val="center"/>
          </w:tcPr>
          <w:p>
            <w:pPr>
              <w:pStyle w:val="15"/>
            </w:pPr>
            <w:r>
              <w:t>1425300.00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rPr>
                <w:rFonts w:hint="eastAsia"/>
              </w:rPr>
              <w:t>津贴补贴</w:t>
            </w:r>
          </w:p>
        </w:tc>
        <w:tc>
          <w:tcPr>
            <w:tcW w:w="2551" w:type="dxa"/>
            <w:vAlign w:val="center"/>
          </w:tcPr>
          <w:p>
            <w:pPr>
              <w:pStyle w:val="15"/>
            </w:pPr>
            <w:r>
              <w:t>191000.00</w:t>
            </w:r>
          </w:p>
        </w:tc>
        <w:tc>
          <w:tcPr>
            <w:tcW w:w="2551" w:type="dxa"/>
            <w:vAlign w:val="center"/>
          </w:tcPr>
          <w:p>
            <w:pPr>
              <w:pStyle w:val="15"/>
            </w:pPr>
            <w:r>
              <w:t>191000.00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rPr>
                <w:rFonts w:hint="eastAsia"/>
              </w:rPr>
              <w:t>奖金</w:t>
            </w:r>
          </w:p>
        </w:tc>
        <w:tc>
          <w:tcPr>
            <w:tcW w:w="2551" w:type="dxa"/>
            <w:vAlign w:val="center"/>
          </w:tcPr>
          <w:p>
            <w:pPr>
              <w:pStyle w:val="15"/>
            </w:pPr>
            <w:r>
              <w:t>288000.00</w:t>
            </w:r>
          </w:p>
        </w:tc>
        <w:tc>
          <w:tcPr>
            <w:tcW w:w="2551" w:type="dxa"/>
            <w:vAlign w:val="center"/>
          </w:tcPr>
          <w:p>
            <w:pPr>
              <w:pStyle w:val="15"/>
            </w:pPr>
            <w:r>
              <w:t>288000.00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rPr>
                <w:rFonts w:hint="eastAsia"/>
              </w:rPr>
              <w:t>绩效工资</w:t>
            </w:r>
          </w:p>
        </w:tc>
        <w:tc>
          <w:tcPr>
            <w:tcW w:w="2551" w:type="dxa"/>
            <w:vAlign w:val="center"/>
          </w:tcPr>
          <w:p>
            <w:pPr>
              <w:pStyle w:val="15"/>
            </w:pPr>
            <w:r>
              <w:t>138000.00</w:t>
            </w:r>
          </w:p>
        </w:tc>
        <w:tc>
          <w:tcPr>
            <w:tcW w:w="2551" w:type="dxa"/>
            <w:vAlign w:val="center"/>
          </w:tcPr>
          <w:p>
            <w:pPr>
              <w:pStyle w:val="15"/>
            </w:pPr>
            <w:r>
              <w:t>138000.00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rPr>
                <w:rFonts w:hint="eastAsia"/>
              </w:rPr>
              <w:t>机关事业单位基本养老保险缴费</w:t>
            </w:r>
          </w:p>
        </w:tc>
        <w:tc>
          <w:tcPr>
            <w:tcW w:w="2551" w:type="dxa"/>
            <w:vAlign w:val="center"/>
          </w:tcPr>
          <w:p>
            <w:pPr>
              <w:pStyle w:val="15"/>
            </w:pPr>
            <w:r>
              <w:t>123000.00</w:t>
            </w:r>
          </w:p>
        </w:tc>
        <w:tc>
          <w:tcPr>
            <w:tcW w:w="2551" w:type="dxa"/>
            <w:vAlign w:val="center"/>
          </w:tcPr>
          <w:p>
            <w:pPr>
              <w:pStyle w:val="15"/>
            </w:pPr>
            <w:r>
              <w:t>123000.00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rPr>
                <w:rFonts w:hint="eastAsia"/>
              </w:rPr>
              <w:t>职业年金缴费</w:t>
            </w:r>
          </w:p>
        </w:tc>
        <w:tc>
          <w:tcPr>
            <w:tcW w:w="2551" w:type="dxa"/>
            <w:vAlign w:val="center"/>
          </w:tcPr>
          <w:p>
            <w:pPr>
              <w:pStyle w:val="15"/>
            </w:pPr>
            <w:r>
              <w:t>61500.00</w:t>
            </w:r>
          </w:p>
        </w:tc>
        <w:tc>
          <w:tcPr>
            <w:tcW w:w="2551" w:type="dxa"/>
            <w:vAlign w:val="center"/>
          </w:tcPr>
          <w:p>
            <w:pPr>
              <w:pStyle w:val="15"/>
            </w:pPr>
            <w:r>
              <w:t>61500.00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rPr>
                <w:rFonts w:hint="eastAsia"/>
              </w:rPr>
              <w:t>城镇职工基本医疗保险缴费</w:t>
            </w:r>
          </w:p>
        </w:tc>
        <w:tc>
          <w:tcPr>
            <w:tcW w:w="2551" w:type="dxa"/>
            <w:vAlign w:val="center"/>
          </w:tcPr>
          <w:p>
            <w:pPr>
              <w:pStyle w:val="15"/>
            </w:pPr>
            <w:r>
              <w:t>58000.00</w:t>
            </w:r>
          </w:p>
        </w:tc>
        <w:tc>
          <w:tcPr>
            <w:tcW w:w="2551" w:type="dxa"/>
            <w:vAlign w:val="center"/>
          </w:tcPr>
          <w:p>
            <w:pPr>
              <w:pStyle w:val="15"/>
            </w:pPr>
            <w:r>
              <w:t>58000.00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rPr>
                <w:rFonts w:hint="eastAsia"/>
              </w:rPr>
              <w:t>其他社会保障缴费</w:t>
            </w:r>
          </w:p>
        </w:tc>
        <w:tc>
          <w:tcPr>
            <w:tcW w:w="2551" w:type="dxa"/>
            <w:vAlign w:val="center"/>
          </w:tcPr>
          <w:p>
            <w:pPr>
              <w:pStyle w:val="15"/>
            </w:pPr>
            <w:r>
              <w:t>5300.00</w:t>
            </w:r>
          </w:p>
        </w:tc>
        <w:tc>
          <w:tcPr>
            <w:tcW w:w="2551" w:type="dxa"/>
            <w:vAlign w:val="center"/>
          </w:tcPr>
          <w:p>
            <w:pPr>
              <w:pStyle w:val="15"/>
            </w:pPr>
            <w:r>
              <w:t>5300.00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rPr>
                <w:rFonts w:hint="eastAsia"/>
              </w:rPr>
              <w:t>住房公积金</w:t>
            </w:r>
          </w:p>
        </w:tc>
        <w:tc>
          <w:tcPr>
            <w:tcW w:w="2551" w:type="dxa"/>
            <w:vAlign w:val="center"/>
          </w:tcPr>
          <w:p>
            <w:pPr>
              <w:pStyle w:val="15"/>
            </w:pPr>
            <w:r>
              <w:t>89000.00</w:t>
            </w:r>
          </w:p>
        </w:tc>
        <w:tc>
          <w:tcPr>
            <w:tcW w:w="2551" w:type="dxa"/>
            <w:vAlign w:val="center"/>
          </w:tcPr>
          <w:p>
            <w:pPr>
              <w:pStyle w:val="15"/>
            </w:pPr>
            <w:r>
              <w:t>89000.00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rPr>
                <w:rFonts w:hint="eastAsia"/>
              </w:rPr>
              <w:t>商品和服务支出</w:t>
            </w:r>
          </w:p>
        </w:tc>
        <w:tc>
          <w:tcPr>
            <w:tcW w:w="2551" w:type="dxa"/>
            <w:vAlign w:val="center"/>
          </w:tcPr>
          <w:p>
            <w:pPr>
              <w:pStyle w:val="15"/>
            </w:pPr>
            <w:r>
              <w:t>96700.00</w:t>
            </w:r>
          </w:p>
        </w:tc>
        <w:tc>
          <w:tcPr>
            <w:tcW w:w="2551" w:type="dxa"/>
            <w:vAlign w:val="center"/>
          </w:tcPr>
          <w:p>
            <w:pPr>
              <w:pStyle w:val="15"/>
            </w:pPr>
          </w:p>
        </w:tc>
        <w:tc>
          <w:tcPr>
            <w:tcW w:w="2551" w:type="dxa"/>
            <w:vAlign w:val="center"/>
          </w:tcPr>
          <w:p>
            <w:pPr>
              <w:pStyle w:val="15"/>
            </w:pPr>
            <w:r>
              <w:t>96700.00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rPr>
                <w:rFonts w:hint="eastAsia"/>
              </w:rPr>
              <w:t>办公费</w:t>
            </w:r>
          </w:p>
        </w:tc>
        <w:tc>
          <w:tcPr>
            <w:tcW w:w="2551" w:type="dxa"/>
            <w:vAlign w:val="center"/>
          </w:tcPr>
          <w:p>
            <w:pPr>
              <w:pStyle w:val="15"/>
            </w:pPr>
            <w:r>
              <w:t>7800.00</w:t>
            </w:r>
          </w:p>
        </w:tc>
        <w:tc>
          <w:tcPr>
            <w:tcW w:w="2551" w:type="dxa"/>
            <w:vAlign w:val="center"/>
          </w:tcPr>
          <w:p>
            <w:pPr>
              <w:pStyle w:val="15"/>
            </w:pPr>
          </w:p>
        </w:tc>
        <w:tc>
          <w:tcPr>
            <w:tcW w:w="2551" w:type="dxa"/>
            <w:vAlign w:val="center"/>
          </w:tcPr>
          <w:p>
            <w:pPr>
              <w:pStyle w:val="15"/>
            </w:pPr>
            <w:r>
              <w:t>7800.00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30202</w:t>
            </w:r>
          </w:p>
        </w:tc>
        <w:tc>
          <w:tcPr>
            <w:tcW w:w="4535" w:type="dxa"/>
            <w:vAlign w:val="center"/>
          </w:tcPr>
          <w:p>
            <w:pPr>
              <w:pStyle w:val="16"/>
            </w:pPr>
            <w:r>
              <w:rPr>
                <w:rFonts w:hint="eastAsia"/>
              </w:rPr>
              <w:t>印刷费</w:t>
            </w:r>
          </w:p>
        </w:tc>
        <w:tc>
          <w:tcPr>
            <w:tcW w:w="2551" w:type="dxa"/>
            <w:vAlign w:val="center"/>
          </w:tcPr>
          <w:p>
            <w:pPr>
              <w:pStyle w:val="15"/>
            </w:pPr>
            <w:r>
              <w:t>6000.00</w:t>
            </w:r>
          </w:p>
        </w:tc>
        <w:tc>
          <w:tcPr>
            <w:tcW w:w="2551" w:type="dxa"/>
            <w:vAlign w:val="center"/>
          </w:tcPr>
          <w:p>
            <w:pPr>
              <w:pStyle w:val="15"/>
            </w:pPr>
          </w:p>
        </w:tc>
        <w:tc>
          <w:tcPr>
            <w:tcW w:w="2551" w:type="dxa"/>
            <w:vAlign w:val="center"/>
          </w:tcPr>
          <w:p>
            <w:pPr>
              <w:pStyle w:val="15"/>
            </w:pPr>
            <w:r>
              <w:t>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30205</w:t>
            </w:r>
          </w:p>
        </w:tc>
        <w:tc>
          <w:tcPr>
            <w:tcW w:w="4535" w:type="dxa"/>
            <w:vAlign w:val="center"/>
          </w:tcPr>
          <w:p>
            <w:pPr>
              <w:pStyle w:val="16"/>
            </w:pPr>
            <w:r>
              <w:rPr>
                <w:rFonts w:hint="eastAsia"/>
              </w:rPr>
              <w:t>水费</w:t>
            </w:r>
          </w:p>
        </w:tc>
        <w:tc>
          <w:tcPr>
            <w:tcW w:w="2551" w:type="dxa"/>
            <w:vAlign w:val="center"/>
          </w:tcPr>
          <w:p>
            <w:pPr>
              <w:pStyle w:val="15"/>
            </w:pPr>
            <w:r>
              <w:t>1600.00</w:t>
            </w:r>
          </w:p>
        </w:tc>
        <w:tc>
          <w:tcPr>
            <w:tcW w:w="2551" w:type="dxa"/>
            <w:vAlign w:val="center"/>
          </w:tcPr>
          <w:p>
            <w:pPr>
              <w:pStyle w:val="15"/>
            </w:pPr>
          </w:p>
        </w:tc>
        <w:tc>
          <w:tcPr>
            <w:tcW w:w="2551" w:type="dxa"/>
            <w:vAlign w:val="center"/>
          </w:tcPr>
          <w:p>
            <w:pPr>
              <w:pStyle w:val="15"/>
            </w:pPr>
            <w:r>
              <w:t>1600.00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30206</w:t>
            </w:r>
          </w:p>
        </w:tc>
        <w:tc>
          <w:tcPr>
            <w:tcW w:w="4535" w:type="dxa"/>
            <w:vAlign w:val="center"/>
          </w:tcPr>
          <w:p>
            <w:pPr>
              <w:pStyle w:val="16"/>
            </w:pPr>
            <w:r>
              <w:rPr>
                <w:rFonts w:hint="eastAsia"/>
              </w:rPr>
              <w:t>电费</w:t>
            </w:r>
          </w:p>
        </w:tc>
        <w:tc>
          <w:tcPr>
            <w:tcW w:w="2551" w:type="dxa"/>
            <w:vAlign w:val="center"/>
          </w:tcPr>
          <w:p>
            <w:pPr>
              <w:pStyle w:val="15"/>
            </w:pPr>
            <w:r>
              <w:t>3700.00</w:t>
            </w:r>
          </w:p>
        </w:tc>
        <w:tc>
          <w:tcPr>
            <w:tcW w:w="2551" w:type="dxa"/>
            <w:vAlign w:val="center"/>
          </w:tcPr>
          <w:p>
            <w:pPr>
              <w:pStyle w:val="15"/>
            </w:pPr>
          </w:p>
        </w:tc>
        <w:tc>
          <w:tcPr>
            <w:tcW w:w="2551" w:type="dxa"/>
            <w:vAlign w:val="center"/>
          </w:tcPr>
          <w:p>
            <w:pPr>
              <w:pStyle w:val="15"/>
            </w:pPr>
            <w:r>
              <w:t>3700.00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30207</w:t>
            </w:r>
          </w:p>
        </w:tc>
        <w:tc>
          <w:tcPr>
            <w:tcW w:w="4535" w:type="dxa"/>
            <w:vAlign w:val="center"/>
          </w:tcPr>
          <w:p>
            <w:pPr>
              <w:pStyle w:val="16"/>
            </w:pPr>
            <w:r>
              <w:rPr>
                <w:rFonts w:hint="eastAsia"/>
              </w:rPr>
              <w:t>邮电费</w:t>
            </w:r>
          </w:p>
        </w:tc>
        <w:tc>
          <w:tcPr>
            <w:tcW w:w="2551" w:type="dxa"/>
            <w:vAlign w:val="center"/>
          </w:tcPr>
          <w:p>
            <w:pPr>
              <w:pStyle w:val="15"/>
            </w:pPr>
            <w:r>
              <w:t>21500.00</w:t>
            </w:r>
          </w:p>
        </w:tc>
        <w:tc>
          <w:tcPr>
            <w:tcW w:w="2551" w:type="dxa"/>
            <w:vAlign w:val="center"/>
          </w:tcPr>
          <w:p>
            <w:pPr>
              <w:pStyle w:val="15"/>
            </w:pPr>
          </w:p>
        </w:tc>
        <w:tc>
          <w:tcPr>
            <w:tcW w:w="2551" w:type="dxa"/>
            <w:vAlign w:val="center"/>
          </w:tcPr>
          <w:p>
            <w:pPr>
              <w:pStyle w:val="15"/>
            </w:pPr>
            <w:r>
              <w:t>21500.00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30213</w:t>
            </w:r>
          </w:p>
        </w:tc>
        <w:tc>
          <w:tcPr>
            <w:tcW w:w="4535" w:type="dxa"/>
            <w:vAlign w:val="center"/>
          </w:tcPr>
          <w:p>
            <w:pPr>
              <w:pStyle w:val="16"/>
            </w:pPr>
            <w:r>
              <w:rPr>
                <w:rFonts w:hint="eastAsia"/>
              </w:rPr>
              <w:t>维修</w:t>
            </w:r>
            <w:r>
              <w:t>(</w:t>
            </w:r>
            <w:r>
              <w:rPr>
                <w:rFonts w:hint="eastAsia"/>
              </w:rPr>
              <w:t>护</w:t>
            </w:r>
            <w:r>
              <w:t>)</w:t>
            </w:r>
            <w:r>
              <w:rPr>
                <w:rFonts w:hint="eastAsia"/>
              </w:rPr>
              <w:t>费</w:t>
            </w:r>
          </w:p>
        </w:tc>
        <w:tc>
          <w:tcPr>
            <w:tcW w:w="2551" w:type="dxa"/>
            <w:vAlign w:val="center"/>
          </w:tcPr>
          <w:p>
            <w:pPr>
              <w:pStyle w:val="15"/>
            </w:pPr>
            <w:r>
              <w:t>5500.00</w:t>
            </w:r>
          </w:p>
        </w:tc>
        <w:tc>
          <w:tcPr>
            <w:tcW w:w="2551" w:type="dxa"/>
            <w:vAlign w:val="center"/>
          </w:tcPr>
          <w:p>
            <w:pPr>
              <w:pStyle w:val="15"/>
            </w:pPr>
          </w:p>
        </w:tc>
        <w:tc>
          <w:tcPr>
            <w:tcW w:w="2551" w:type="dxa"/>
            <w:vAlign w:val="center"/>
          </w:tcPr>
          <w:p>
            <w:pPr>
              <w:pStyle w:val="15"/>
            </w:pPr>
            <w:r>
              <w:t>5500.00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30215</w:t>
            </w:r>
          </w:p>
        </w:tc>
        <w:tc>
          <w:tcPr>
            <w:tcW w:w="4535" w:type="dxa"/>
            <w:vAlign w:val="center"/>
          </w:tcPr>
          <w:p>
            <w:pPr>
              <w:pStyle w:val="16"/>
            </w:pPr>
            <w:r>
              <w:rPr>
                <w:rFonts w:hint="eastAsia"/>
              </w:rPr>
              <w:t>会议费</w:t>
            </w:r>
          </w:p>
        </w:tc>
        <w:tc>
          <w:tcPr>
            <w:tcW w:w="2551" w:type="dxa"/>
            <w:vAlign w:val="center"/>
          </w:tcPr>
          <w:p>
            <w:pPr>
              <w:pStyle w:val="15"/>
            </w:pPr>
            <w:r>
              <w:t>600.00</w:t>
            </w:r>
          </w:p>
        </w:tc>
        <w:tc>
          <w:tcPr>
            <w:tcW w:w="2551" w:type="dxa"/>
            <w:vAlign w:val="center"/>
          </w:tcPr>
          <w:p>
            <w:pPr>
              <w:pStyle w:val="15"/>
            </w:pPr>
          </w:p>
        </w:tc>
        <w:tc>
          <w:tcPr>
            <w:tcW w:w="2551" w:type="dxa"/>
            <w:vAlign w:val="center"/>
          </w:tcPr>
          <w:p>
            <w:pPr>
              <w:pStyle w:val="15"/>
            </w:pPr>
            <w: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30216</w:t>
            </w:r>
          </w:p>
        </w:tc>
        <w:tc>
          <w:tcPr>
            <w:tcW w:w="4535" w:type="dxa"/>
            <w:vAlign w:val="center"/>
          </w:tcPr>
          <w:p>
            <w:pPr>
              <w:pStyle w:val="16"/>
            </w:pPr>
            <w:r>
              <w:rPr>
                <w:rFonts w:hint="eastAsia"/>
              </w:rPr>
              <w:t>培训费</w:t>
            </w:r>
          </w:p>
        </w:tc>
        <w:tc>
          <w:tcPr>
            <w:tcW w:w="2551" w:type="dxa"/>
            <w:vAlign w:val="center"/>
          </w:tcPr>
          <w:p>
            <w:pPr>
              <w:pStyle w:val="15"/>
            </w:pPr>
            <w:r>
              <w:t>1000.00</w:t>
            </w:r>
          </w:p>
        </w:tc>
        <w:tc>
          <w:tcPr>
            <w:tcW w:w="2551" w:type="dxa"/>
            <w:vAlign w:val="center"/>
          </w:tcPr>
          <w:p>
            <w:pPr>
              <w:pStyle w:val="15"/>
            </w:pPr>
          </w:p>
        </w:tc>
        <w:tc>
          <w:tcPr>
            <w:tcW w:w="2551" w:type="dxa"/>
            <w:vAlign w:val="center"/>
          </w:tcPr>
          <w:p>
            <w:pPr>
              <w:pStyle w:val="15"/>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30217</w:t>
            </w:r>
          </w:p>
        </w:tc>
        <w:tc>
          <w:tcPr>
            <w:tcW w:w="4535" w:type="dxa"/>
            <w:vAlign w:val="center"/>
          </w:tcPr>
          <w:p>
            <w:pPr>
              <w:pStyle w:val="16"/>
            </w:pPr>
            <w:r>
              <w:rPr>
                <w:rFonts w:hint="eastAsia"/>
              </w:rPr>
              <w:t>公务接待费</w:t>
            </w:r>
          </w:p>
        </w:tc>
        <w:tc>
          <w:tcPr>
            <w:tcW w:w="2551" w:type="dxa"/>
            <w:vAlign w:val="center"/>
          </w:tcPr>
          <w:p>
            <w:pPr>
              <w:pStyle w:val="15"/>
            </w:pPr>
            <w:r>
              <w:t>1000.00</w:t>
            </w:r>
          </w:p>
        </w:tc>
        <w:tc>
          <w:tcPr>
            <w:tcW w:w="2551" w:type="dxa"/>
            <w:vAlign w:val="center"/>
          </w:tcPr>
          <w:p>
            <w:pPr>
              <w:pStyle w:val="15"/>
            </w:pPr>
          </w:p>
        </w:tc>
        <w:tc>
          <w:tcPr>
            <w:tcW w:w="2551" w:type="dxa"/>
            <w:vAlign w:val="center"/>
          </w:tcPr>
          <w:p>
            <w:pPr>
              <w:pStyle w:val="15"/>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30231</w:t>
            </w:r>
          </w:p>
        </w:tc>
        <w:tc>
          <w:tcPr>
            <w:tcW w:w="4535" w:type="dxa"/>
            <w:vAlign w:val="center"/>
          </w:tcPr>
          <w:p>
            <w:pPr>
              <w:pStyle w:val="16"/>
            </w:pPr>
            <w:r>
              <w:rPr>
                <w:rFonts w:hint="eastAsia"/>
              </w:rPr>
              <w:t>公务用车运行维护费</w:t>
            </w:r>
          </w:p>
        </w:tc>
        <w:tc>
          <w:tcPr>
            <w:tcW w:w="2551" w:type="dxa"/>
            <w:vAlign w:val="center"/>
          </w:tcPr>
          <w:p>
            <w:pPr>
              <w:pStyle w:val="15"/>
            </w:pPr>
            <w:r>
              <w:t>18000.00</w:t>
            </w:r>
          </w:p>
        </w:tc>
        <w:tc>
          <w:tcPr>
            <w:tcW w:w="2551" w:type="dxa"/>
            <w:vAlign w:val="center"/>
          </w:tcPr>
          <w:p>
            <w:pPr>
              <w:pStyle w:val="15"/>
            </w:pPr>
          </w:p>
        </w:tc>
        <w:tc>
          <w:tcPr>
            <w:tcW w:w="2551" w:type="dxa"/>
            <w:vAlign w:val="center"/>
          </w:tcPr>
          <w:p>
            <w:pPr>
              <w:pStyle w:val="15"/>
            </w:pPr>
            <w:r>
              <w:t>18000.00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30239</w:t>
            </w:r>
          </w:p>
        </w:tc>
        <w:tc>
          <w:tcPr>
            <w:tcW w:w="4535" w:type="dxa"/>
            <w:vAlign w:val="center"/>
          </w:tcPr>
          <w:p>
            <w:pPr>
              <w:pStyle w:val="16"/>
            </w:pPr>
            <w:r>
              <w:rPr>
                <w:rFonts w:hint="eastAsia"/>
              </w:rPr>
              <w:t>其他交通费用</w:t>
            </w:r>
          </w:p>
        </w:tc>
        <w:tc>
          <w:tcPr>
            <w:tcW w:w="2551" w:type="dxa"/>
            <w:vAlign w:val="center"/>
          </w:tcPr>
          <w:p>
            <w:pPr>
              <w:pStyle w:val="15"/>
            </w:pPr>
            <w:r>
              <w:t>30000.00</w:t>
            </w:r>
          </w:p>
        </w:tc>
        <w:tc>
          <w:tcPr>
            <w:tcW w:w="2551" w:type="dxa"/>
            <w:vAlign w:val="center"/>
          </w:tcPr>
          <w:p>
            <w:pPr>
              <w:pStyle w:val="15"/>
            </w:pPr>
          </w:p>
        </w:tc>
        <w:tc>
          <w:tcPr>
            <w:tcW w:w="2551" w:type="dxa"/>
            <w:vAlign w:val="center"/>
          </w:tcPr>
          <w:p>
            <w:pPr>
              <w:pStyle w:val="15"/>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303</w:t>
            </w:r>
          </w:p>
        </w:tc>
        <w:tc>
          <w:tcPr>
            <w:tcW w:w="4535" w:type="dxa"/>
            <w:vAlign w:val="center"/>
          </w:tcPr>
          <w:p>
            <w:pPr>
              <w:pStyle w:val="16"/>
            </w:pPr>
            <w:r>
              <w:rPr>
                <w:rFonts w:hint="eastAsia"/>
              </w:rPr>
              <w:t>对个人和家庭的补助</w:t>
            </w:r>
          </w:p>
        </w:tc>
        <w:tc>
          <w:tcPr>
            <w:tcW w:w="2551" w:type="dxa"/>
            <w:vAlign w:val="center"/>
          </w:tcPr>
          <w:p>
            <w:pPr>
              <w:pStyle w:val="15"/>
            </w:pPr>
            <w:r>
              <w:t>115000.00</w:t>
            </w:r>
          </w:p>
        </w:tc>
        <w:tc>
          <w:tcPr>
            <w:tcW w:w="2551" w:type="dxa"/>
            <w:vAlign w:val="center"/>
          </w:tcPr>
          <w:p>
            <w:pPr>
              <w:pStyle w:val="15"/>
            </w:pPr>
            <w:r>
              <w:t>115000.00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30305</w:t>
            </w:r>
          </w:p>
        </w:tc>
        <w:tc>
          <w:tcPr>
            <w:tcW w:w="4535" w:type="dxa"/>
            <w:vAlign w:val="center"/>
          </w:tcPr>
          <w:p>
            <w:pPr>
              <w:pStyle w:val="16"/>
            </w:pPr>
            <w:r>
              <w:rPr>
                <w:rFonts w:hint="eastAsia"/>
              </w:rPr>
              <w:t>生活补助</w:t>
            </w:r>
          </w:p>
        </w:tc>
        <w:tc>
          <w:tcPr>
            <w:tcW w:w="2551" w:type="dxa"/>
            <w:vAlign w:val="center"/>
          </w:tcPr>
          <w:p>
            <w:pPr>
              <w:pStyle w:val="15"/>
            </w:pPr>
            <w:r>
              <w:t>10000.00</w:t>
            </w:r>
          </w:p>
        </w:tc>
        <w:tc>
          <w:tcPr>
            <w:tcW w:w="2551" w:type="dxa"/>
            <w:vAlign w:val="center"/>
          </w:tcPr>
          <w:p>
            <w:pPr>
              <w:pStyle w:val="15"/>
            </w:pPr>
            <w:r>
              <w:t>10000.00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30309</w:t>
            </w:r>
          </w:p>
        </w:tc>
        <w:tc>
          <w:tcPr>
            <w:tcW w:w="4535" w:type="dxa"/>
            <w:vAlign w:val="center"/>
          </w:tcPr>
          <w:p>
            <w:pPr>
              <w:pStyle w:val="16"/>
            </w:pPr>
            <w:r>
              <w:rPr>
                <w:rFonts w:hint="eastAsia"/>
              </w:rPr>
              <w:t>奖励金</w:t>
            </w:r>
          </w:p>
        </w:tc>
        <w:tc>
          <w:tcPr>
            <w:tcW w:w="2551" w:type="dxa"/>
            <w:vAlign w:val="center"/>
          </w:tcPr>
          <w:p>
            <w:pPr>
              <w:pStyle w:val="15"/>
            </w:pPr>
            <w:r>
              <w:t>105000.00</w:t>
            </w:r>
          </w:p>
        </w:tc>
        <w:tc>
          <w:tcPr>
            <w:tcW w:w="2551" w:type="dxa"/>
            <w:vAlign w:val="center"/>
          </w:tcPr>
          <w:p>
            <w:pPr>
              <w:pStyle w:val="15"/>
            </w:pPr>
            <w:r>
              <w:t>105000.00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rPr>
        <w:t>部门预算政府基金预算财政拨款支出表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501</w:t>
            </w:r>
            <w:r>
              <w:rPr>
                <w:rFonts w:hint="eastAsia"/>
              </w:rPr>
              <w:t>馆陶县信访局</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501</w:t>
            </w:r>
            <w:r>
              <w:rPr>
                <w:rFonts w:hint="eastAsia"/>
              </w:rPr>
              <w:t>馆陶县信访局</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p>
      <w:pPr>
        <w:ind w:firstLine="420"/>
        <w:rPr>
          <w:lang w:eastAsia="zh-CN"/>
        </w:rPr>
      </w:pPr>
      <w:r>
        <w:rPr>
          <w:lang w:eastAsia="zh-CN"/>
        </w:rPr>
        <w:t xml:space="preserve">       </w:t>
      </w:r>
    </w:p>
    <w:p>
      <w:pPr>
        <w:ind w:firstLine="1020" w:firstLineChars="425"/>
        <w:rPr>
          <w:lang w:eastAsia="zh-CN"/>
        </w:rPr>
      </w:pPr>
      <w:r>
        <w:rPr>
          <w:lang w:eastAsia="zh-CN"/>
        </w:rPr>
        <w:t xml:space="preserve"> </w:t>
      </w:r>
      <w:r>
        <w:t>501</w:t>
      </w:r>
      <w:r>
        <w:rPr>
          <w:rFonts w:hint="eastAsia"/>
        </w:rPr>
        <w:t>馆陶县信访局</w:t>
      </w:r>
      <w:r>
        <w:rPr>
          <w:lang w:eastAsia="zh-CN"/>
        </w:rPr>
        <w:t xml:space="preserve">                                 </w:t>
      </w:r>
      <w:r>
        <w:rPr>
          <w:rFonts w:hint="eastAsia"/>
        </w:rPr>
        <w:t>预算年度：</w:t>
      </w:r>
      <w:r>
        <w:t>2022</w:t>
      </w:r>
      <w:r>
        <w:rPr>
          <w:lang w:eastAsia="zh-CN"/>
        </w:rPr>
        <w:t xml:space="preserve">                                                                  </w:t>
      </w:r>
      <w:r>
        <w:rPr>
          <w:rFonts w:hint="eastAsia"/>
        </w:rPr>
        <w:t>单位：元</w:t>
      </w:r>
    </w:p>
    <w:tbl>
      <w:tblPr>
        <w:tblStyle w:val="7"/>
        <w:tblpPr w:leftFromText="180" w:rightFromText="180" w:vertAnchor="page" w:horzAnchor="page" w:tblpX="1993" w:tblpY="2622"/>
        <w:tblW w:w="11100" w:type="dxa"/>
        <w:tblInd w:w="0" w:type="dxa"/>
        <w:tblLayout w:type="autofit"/>
        <w:tblCellMar>
          <w:top w:w="0" w:type="dxa"/>
          <w:left w:w="108" w:type="dxa"/>
          <w:bottom w:w="0" w:type="dxa"/>
          <w:right w:w="108" w:type="dxa"/>
        </w:tblCellMar>
      </w:tblPr>
      <w:tblGrid>
        <w:gridCol w:w="1080"/>
        <w:gridCol w:w="3040"/>
        <w:gridCol w:w="2440"/>
        <w:gridCol w:w="1540"/>
        <w:gridCol w:w="1460"/>
        <w:gridCol w:w="1540"/>
      </w:tblGrid>
      <w:tr>
        <w:tblPrEx>
          <w:tblCellMar>
            <w:top w:w="0" w:type="dxa"/>
            <w:left w:w="108" w:type="dxa"/>
            <w:bottom w:w="0" w:type="dxa"/>
            <w:right w:w="108" w:type="dxa"/>
          </w:tblCellMar>
        </w:tblPrEx>
        <w:trPr>
          <w:trHeight w:val="285" w:hRule="atLeast"/>
        </w:trPr>
        <w:tc>
          <w:tcPr>
            <w:tcW w:w="108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18"/>
                <w:szCs w:val="18"/>
                <w:lang w:eastAsia="zh-CN"/>
              </w:rPr>
            </w:pPr>
            <w:r>
              <w:rPr>
                <w:rFonts w:hint="eastAsia" w:ascii="宋体" w:hAnsi="宋体" w:cs="宋体"/>
                <w:sz w:val="18"/>
                <w:szCs w:val="18"/>
                <w:lang w:eastAsia="zh-CN"/>
              </w:rPr>
              <w:t>序号</w:t>
            </w:r>
          </w:p>
        </w:tc>
        <w:tc>
          <w:tcPr>
            <w:tcW w:w="304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18"/>
                <w:szCs w:val="18"/>
                <w:lang w:eastAsia="zh-CN"/>
              </w:rPr>
            </w:pPr>
            <w:r>
              <w:rPr>
                <w:rFonts w:hint="eastAsia" w:ascii="宋体" w:hAnsi="宋体" w:cs="宋体"/>
                <w:sz w:val="18"/>
                <w:szCs w:val="18"/>
                <w:lang w:eastAsia="zh-CN"/>
              </w:rPr>
              <w:t>项</w:t>
            </w:r>
            <w:r>
              <w:rPr>
                <w:rFonts w:ascii="宋体" w:hAnsi="宋体" w:cs="宋体"/>
                <w:sz w:val="18"/>
                <w:szCs w:val="18"/>
                <w:lang w:eastAsia="zh-CN"/>
              </w:rPr>
              <w:t xml:space="preserve">  </w:t>
            </w:r>
            <w:r>
              <w:rPr>
                <w:rFonts w:hint="eastAsia" w:ascii="宋体" w:hAnsi="宋体" w:cs="宋体"/>
                <w:sz w:val="18"/>
                <w:szCs w:val="18"/>
                <w:lang w:eastAsia="zh-CN"/>
              </w:rPr>
              <w:t>目</w:t>
            </w:r>
          </w:p>
        </w:tc>
        <w:tc>
          <w:tcPr>
            <w:tcW w:w="6980" w:type="dxa"/>
            <w:gridSpan w:val="4"/>
            <w:tcBorders>
              <w:top w:val="single" w:color="auto" w:sz="4" w:space="0"/>
              <w:left w:val="nil"/>
              <w:bottom w:val="single" w:color="auto" w:sz="4" w:space="0"/>
              <w:right w:val="single" w:color="auto" w:sz="4" w:space="0"/>
            </w:tcBorders>
            <w:vAlign w:val="center"/>
          </w:tcPr>
          <w:p>
            <w:pPr>
              <w:jc w:val="center"/>
              <w:rPr>
                <w:rFonts w:ascii="宋体" w:cs="宋体"/>
                <w:sz w:val="18"/>
                <w:szCs w:val="18"/>
                <w:lang w:eastAsia="zh-CN"/>
              </w:rPr>
            </w:pPr>
            <w:r>
              <w:rPr>
                <w:rFonts w:hint="eastAsia" w:ascii="宋体" w:hAnsi="宋体" w:cs="宋体"/>
                <w:sz w:val="18"/>
                <w:szCs w:val="18"/>
                <w:lang w:eastAsia="zh-CN"/>
              </w:rPr>
              <w:t>资金性质</w:t>
            </w:r>
          </w:p>
        </w:tc>
      </w:tr>
      <w:tr>
        <w:tblPrEx>
          <w:tblCellMar>
            <w:top w:w="0" w:type="dxa"/>
            <w:left w:w="108" w:type="dxa"/>
            <w:bottom w:w="0" w:type="dxa"/>
            <w:right w:w="108" w:type="dxa"/>
          </w:tblCellMar>
        </w:tblPrEx>
        <w:trPr>
          <w:trHeight w:val="450"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18"/>
                <w:szCs w:val="18"/>
                <w:lang w:eastAsia="zh-CN"/>
              </w:rPr>
            </w:pPr>
          </w:p>
        </w:tc>
        <w:tc>
          <w:tcPr>
            <w:tcW w:w="304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18"/>
                <w:szCs w:val="18"/>
                <w:lang w:eastAsia="zh-CN"/>
              </w:rPr>
            </w:pPr>
          </w:p>
        </w:tc>
        <w:tc>
          <w:tcPr>
            <w:tcW w:w="2440" w:type="dxa"/>
            <w:tcBorders>
              <w:top w:val="nil"/>
              <w:left w:val="nil"/>
              <w:bottom w:val="single" w:color="auto" w:sz="4" w:space="0"/>
              <w:right w:val="single" w:color="auto" w:sz="4" w:space="0"/>
            </w:tcBorders>
            <w:vAlign w:val="center"/>
          </w:tcPr>
          <w:p>
            <w:pPr>
              <w:jc w:val="center"/>
              <w:rPr>
                <w:rFonts w:ascii="宋体" w:cs="宋体"/>
                <w:sz w:val="18"/>
                <w:szCs w:val="18"/>
                <w:lang w:eastAsia="zh-CN"/>
              </w:rPr>
            </w:pPr>
            <w:r>
              <w:rPr>
                <w:rFonts w:hint="eastAsia" w:ascii="宋体" w:hAnsi="宋体" w:cs="宋体"/>
                <w:sz w:val="18"/>
                <w:szCs w:val="18"/>
                <w:lang w:eastAsia="zh-CN"/>
              </w:rPr>
              <w:t>合计</w:t>
            </w:r>
          </w:p>
        </w:tc>
        <w:tc>
          <w:tcPr>
            <w:tcW w:w="1540" w:type="dxa"/>
            <w:tcBorders>
              <w:top w:val="nil"/>
              <w:left w:val="nil"/>
              <w:bottom w:val="single" w:color="auto" w:sz="4" w:space="0"/>
              <w:right w:val="single" w:color="auto" w:sz="4" w:space="0"/>
            </w:tcBorders>
            <w:vAlign w:val="center"/>
          </w:tcPr>
          <w:p>
            <w:pPr>
              <w:jc w:val="center"/>
              <w:rPr>
                <w:rFonts w:ascii="宋体" w:cs="宋体"/>
                <w:sz w:val="18"/>
                <w:szCs w:val="18"/>
                <w:lang w:eastAsia="zh-CN"/>
              </w:rPr>
            </w:pPr>
            <w:r>
              <w:rPr>
                <w:rFonts w:hint="eastAsia" w:ascii="宋体" w:hAnsi="宋体" w:cs="宋体"/>
                <w:sz w:val="18"/>
                <w:szCs w:val="18"/>
                <w:lang w:eastAsia="zh-CN"/>
              </w:rPr>
              <w:t>一般公共预算财政拨款</w:t>
            </w:r>
          </w:p>
        </w:tc>
        <w:tc>
          <w:tcPr>
            <w:tcW w:w="1460" w:type="dxa"/>
            <w:tcBorders>
              <w:top w:val="nil"/>
              <w:left w:val="nil"/>
              <w:bottom w:val="single" w:color="auto" w:sz="4" w:space="0"/>
              <w:right w:val="single" w:color="auto" w:sz="4" w:space="0"/>
            </w:tcBorders>
            <w:vAlign w:val="center"/>
          </w:tcPr>
          <w:p>
            <w:pPr>
              <w:jc w:val="center"/>
              <w:rPr>
                <w:rFonts w:ascii="宋体" w:cs="宋体"/>
                <w:sz w:val="18"/>
                <w:szCs w:val="18"/>
                <w:lang w:eastAsia="zh-CN"/>
              </w:rPr>
            </w:pPr>
            <w:r>
              <w:rPr>
                <w:rFonts w:hint="eastAsia" w:ascii="宋体" w:hAnsi="宋体" w:cs="宋体"/>
                <w:sz w:val="18"/>
                <w:szCs w:val="18"/>
                <w:lang w:eastAsia="zh-CN"/>
              </w:rPr>
              <w:t>政府性基金财政拨款</w:t>
            </w:r>
          </w:p>
        </w:tc>
        <w:tc>
          <w:tcPr>
            <w:tcW w:w="1540" w:type="dxa"/>
            <w:tcBorders>
              <w:top w:val="nil"/>
              <w:left w:val="nil"/>
              <w:bottom w:val="single" w:color="auto" w:sz="4" w:space="0"/>
              <w:right w:val="single" w:color="auto" w:sz="4" w:space="0"/>
            </w:tcBorders>
            <w:vAlign w:val="center"/>
          </w:tcPr>
          <w:p>
            <w:pPr>
              <w:jc w:val="center"/>
              <w:rPr>
                <w:rFonts w:ascii="宋体" w:cs="宋体"/>
                <w:sz w:val="18"/>
                <w:szCs w:val="18"/>
                <w:lang w:eastAsia="zh-CN"/>
              </w:rPr>
            </w:pPr>
            <w:r>
              <w:rPr>
                <w:rFonts w:hint="eastAsia" w:ascii="宋体" w:hAnsi="宋体" w:cs="宋体"/>
                <w:sz w:val="18"/>
                <w:szCs w:val="18"/>
                <w:lang w:eastAsia="zh-CN"/>
              </w:rPr>
              <w:t>国有资本经营预算财政拨款</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vAlign w:val="center"/>
          </w:tcPr>
          <w:p>
            <w:pPr>
              <w:jc w:val="center"/>
              <w:rPr>
                <w:rFonts w:ascii="宋体" w:cs="宋体"/>
                <w:sz w:val="18"/>
                <w:szCs w:val="18"/>
                <w:lang w:eastAsia="zh-CN"/>
              </w:rPr>
            </w:pPr>
            <w:r>
              <w:rPr>
                <w:rFonts w:hint="eastAsia" w:ascii="宋体" w:hAnsi="宋体" w:cs="宋体"/>
                <w:sz w:val="18"/>
                <w:szCs w:val="18"/>
                <w:lang w:eastAsia="zh-CN"/>
              </w:rPr>
              <w:t>栏次</w:t>
            </w:r>
          </w:p>
        </w:tc>
        <w:tc>
          <w:tcPr>
            <w:tcW w:w="3040" w:type="dxa"/>
            <w:tcBorders>
              <w:top w:val="nil"/>
              <w:left w:val="nil"/>
              <w:bottom w:val="single" w:color="auto" w:sz="4" w:space="0"/>
              <w:right w:val="single" w:color="auto" w:sz="4" w:space="0"/>
            </w:tcBorders>
            <w:vAlign w:val="center"/>
          </w:tcPr>
          <w:p>
            <w:pPr>
              <w:jc w:val="center"/>
              <w:rPr>
                <w:rFonts w:ascii="宋体" w:cs="宋体"/>
                <w:sz w:val="18"/>
                <w:szCs w:val="18"/>
                <w:lang w:eastAsia="zh-CN"/>
              </w:rPr>
            </w:pPr>
            <w:r>
              <w:rPr>
                <w:rFonts w:ascii="宋体" w:hAnsi="宋体" w:cs="宋体"/>
                <w:sz w:val="18"/>
                <w:szCs w:val="18"/>
                <w:lang w:eastAsia="zh-CN"/>
              </w:rPr>
              <w:t>1</w:t>
            </w:r>
          </w:p>
        </w:tc>
        <w:tc>
          <w:tcPr>
            <w:tcW w:w="2440" w:type="dxa"/>
            <w:tcBorders>
              <w:top w:val="nil"/>
              <w:left w:val="nil"/>
              <w:bottom w:val="single" w:color="auto" w:sz="4" w:space="0"/>
              <w:right w:val="single" w:color="auto" w:sz="4" w:space="0"/>
            </w:tcBorders>
            <w:vAlign w:val="center"/>
          </w:tcPr>
          <w:p>
            <w:pPr>
              <w:jc w:val="center"/>
              <w:rPr>
                <w:rFonts w:ascii="宋体" w:cs="宋体"/>
                <w:sz w:val="18"/>
                <w:szCs w:val="18"/>
                <w:lang w:eastAsia="zh-CN"/>
              </w:rPr>
            </w:pPr>
            <w:r>
              <w:rPr>
                <w:rFonts w:ascii="宋体" w:hAnsi="宋体" w:cs="宋体"/>
                <w:sz w:val="18"/>
                <w:szCs w:val="18"/>
                <w:lang w:eastAsia="zh-CN"/>
              </w:rPr>
              <w:t>2</w:t>
            </w:r>
          </w:p>
        </w:tc>
        <w:tc>
          <w:tcPr>
            <w:tcW w:w="1540" w:type="dxa"/>
            <w:tcBorders>
              <w:top w:val="nil"/>
              <w:left w:val="nil"/>
              <w:bottom w:val="single" w:color="auto" w:sz="4" w:space="0"/>
              <w:right w:val="single" w:color="auto" w:sz="4" w:space="0"/>
            </w:tcBorders>
            <w:vAlign w:val="center"/>
          </w:tcPr>
          <w:p>
            <w:pPr>
              <w:jc w:val="center"/>
              <w:rPr>
                <w:rFonts w:ascii="宋体" w:cs="宋体"/>
                <w:sz w:val="18"/>
                <w:szCs w:val="18"/>
                <w:lang w:eastAsia="zh-CN"/>
              </w:rPr>
            </w:pPr>
            <w:r>
              <w:rPr>
                <w:rFonts w:ascii="宋体" w:hAnsi="宋体" w:cs="宋体"/>
                <w:sz w:val="18"/>
                <w:szCs w:val="18"/>
                <w:lang w:eastAsia="zh-CN"/>
              </w:rPr>
              <w:t>3</w:t>
            </w:r>
          </w:p>
        </w:tc>
        <w:tc>
          <w:tcPr>
            <w:tcW w:w="1460" w:type="dxa"/>
            <w:tcBorders>
              <w:top w:val="nil"/>
              <w:left w:val="nil"/>
              <w:bottom w:val="single" w:color="auto" w:sz="4" w:space="0"/>
              <w:right w:val="single" w:color="auto" w:sz="4" w:space="0"/>
            </w:tcBorders>
            <w:vAlign w:val="center"/>
          </w:tcPr>
          <w:p>
            <w:pPr>
              <w:jc w:val="center"/>
              <w:rPr>
                <w:rFonts w:ascii="宋体" w:cs="宋体"/>
                <w:sz w:val="18"/>
                <w:szCs w:val="18"/>
                <w:lang w:eastAsia="zh-CN"/>
              </w:rPr>
            </w:pPr>
            <w:r>
              <w:rPr>
                <w:rFonts w:ascii="宋体" w:hAnsi="宋体" w:cs="宋体"/>
                <w:sz w:val="18"/>
                <w:szCs w:val="18"/>
                <w:lang w:eastAsia="zh-CN"/>
              </w:rPr>
              <w:t>4</w:t>
            </w:r>
          </w:p>
        </w:tc>
        <w:tc>
          <w:tcPr>
            <w:tcW w:w="1540" w:type="dxa"/>
            <w:tcBorders>
              <w:top w:val="nil"/>
              <w:left w:val="nil"/>
              <w:bottom w:val="single" w:color="auto" w:sz="4" w:space="0"/>
              <w:right w:val="single" w:color="auto" w:sz="4" w:space="0"/>
            </w:tcBorders>
            <w:vAlign w:val="center"/>
          </w:tcPr>
          <w:p>
            <w:pPr>
              <w:jc w:val="center"/>
              <w:rPr>
                <w:rFonts w:ascii="宋体" w:cs="宋体"/>
                <w:sz w:val="18"/>
                <w:szCs w:val="18"/>
                <w:lang w:eastAsia="zh-CN"/>
              </w:rPr>
            </w:pPr>
            <w:r>
              <w:rPr>
                <w:rFonts w:ascii="宋体" w:hAnsi="宋体" w:cs="宋体"/>
                <w:sz w:val="18"/>
                <w:szCs w:val="18"/>
                <w:lang w:eastAsia="zh-CN"/>
              </w:rPr>
              <w:t>5</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noWrap/>
            <w:vAlign w:val="center"/>
          </w:tcPr>
          <w:p>
            <w:pPr>
              <w:jc w:val="center"/>
              <w:rPr>
                <w:rFonts w:ascii="宋体" w:cs="宋体"/>
                <w:sz w:val="18"/>
                <w:szCs w:val="18"/>
                <w:lang w:eastAsia="zh-CN"/>
              </w:rPr>
            </w:pPr>
            <w:r>
              <w:rPr>
                <w:rFonts w:ascii="宋体" w:hAnsi="宋体" w:cs="宋体"/>
                <w:sz w:val="18"/>
                <w:szCs w:val="18"/>
                <w:lang w:eastAsia="zh-CN"/>
              </w:rPr>
              <w:t>1</w:t>
            </w:r>
          </w:p>
        </w:tc>
        <w:tc>
          <w:tcPr>
            <w:tcW w:w="3040" w:type="dxa"/>
            <w:tcBorders>
              <w:top w:val="nil"/>
              <w:left w:val="nil"/>
              <w:bottom w:val="single" w:color="auto" w:sz="4" w:space="0"/>
              <w:right w:val="single" w:color="auto" w:sz="4" w:space="0"/>
            </w:tcBorders>
            <w:noWrap/>
            <w:vAlign w:val="bottom"/>
          </w:tcPr>
          <w:p>
            <w:pPr>
              <w:rPr>
                <w:rFonts w:ascii="宋体" w:cs="宋体"/>
                <w:sz w:val="18"/>
                <w:szCs w:val="18"/>
                <w:lang w:eastAsia="zh-CN"/>
              </w:rPr>
            </w:pPr>
            <w:r>
              <w:rPr>
                <w:rFonts w:hint="eastAsia" w:ascii="宋体" w:hAnsi="宋体" w:cs="宋体"/>
                <w:sz w:val="18"/>
                <w:szCs w:val="18"/>
                <w:lang w:eastAsia="zh-CN"/>
              </w:rPr>
              <w:t>合计</w:t>
            </w:r>
          </w:p>
        </w:tc>
        <w:tc>
          <w:tcPr>
            <w:tcW w:w="2440" w:type="dxa"/>
            <w:tcBorders>
              <w:top w:val="nil"/>
              <w:left w:val="nil"/>
              <w:bottom w:val="single" w:color="auto" w:sz="4" w:space="0"/>
              <w:right w:val="single" w:color="auto" w:sz="4" w:space="0"/>
            </w:tcBorders>
            <w:noWrap/>
            <w:vAlign w:val="center"/>
          </w:tcPr>
          <w:p>
            <w:pPr>
              <w:jc w:val="center"/>
              <w:rPr>
                <w:rFonts w:ascii="宋体" w:cs="宋体"/>
                <w:sz w:val="18"/>
                <w:szCs w:val="18"/>
                <w:lang w:eastAsia="zh-CN"/>
              </w:rPr>
            </w:pPr>
            <w:r>
              <w:rPr>
                <w:rFonts w:ascii="宋体" w:hAnsi="宋体" w:cs="宋体"/>
                <w:sz w:val="18"/>
                <w:szCs w:val="18"/>
                <w:lang w:eastAsia="zh-CN"/>
              </w:rPr>
              <w:t>19000.00</w:t>
            </w:r>
          </w:p>
        </w:tc>
        <w:tc>
          <w:tcPr>
            <w:tcW w:w="1540" w:type="dxa"/>
            <w:tcBorders>
              <w:top w:val="nil"/>
              <w:left w:val="nil"/>
              <w:bottom w:val="single" w:color="auto" w:sz="4" w:space="0"/>
              <w:right w:val="single" w:color="auto" w:sz="4" w:space="0"/>
            </w:tcBorders>
            <w:noWrap/>
            <w:vAlign w:val="center"/>
          </w:tcPr>
          <w:p>
            <w:pPr>
              <w:jc w:val="center"/>
              <w:rPr>
                <w:rFonts w:ascii="宋体" w:cs="宋体"/>
                <w:sz w:val="18"/>
                <w:szCs w:val="18"/>
                <w:lang w:eastAsia="zh-CN"/>
              </w:rPr>
            </w:pPr>
            <w:r>
              <w:rPr>
                <w:rFonts w:ascii="宋体" w:hAnsi="宋体" w:cs="宋体"/>
                <w:sz w:val="18"/>
                <w:szCs w:val="18"/>
                <w:lang w:eastAsia="zh-CN"/>
              </w:rPr>
              <w:t>19000.00</w:t>
            </w:r>
          </w:p>
        </w:tc>
        <w:tc>
          <w:tcPr>
            <w:tcW w:w="1460" w:type="dxa"/>
            <w:tcBorders>
              <w:top w:val="nil"/>
              <w:left w:val="nil"/>
              <w:bottom w:val="single" w:color="auto" w:sz="4" w:space="0"/>
              <w:right w:val="single" w:color="auto" w:sz="4" w:space="0"/>
            </w:tcBorders>
            <w:noWrap/>
            <w:vAlign w:val="center"/>
          </w:tcPr>
          <w:p>
            <w:pPr>
              <w:jc w:val="center"/>
              <w:rPr>
                <w:rFonts w:ascii="宋体" w:cs="宋体"/>
                <w:sz w:val="18"/>
                <w:szCs w:val="18"/>
                <w:lang w:eastAsia="zh-CN"/>
              </w:rPr>
            </w:pPr>
            <w:r>
              <w:rPr>
                <w:rFonts w:hint="eastAsia" w:ascii="宋体" w:hAnsi="宋体" w:cs="宋体"/>
                <w:sz w:val="18"/>
                <w:szCs w:val="18"/>
                <w:lang w:eastAsia="zh-CN"/>
              </w:rPr>
              <w:t>　</w:t>
            </w:r>
          </w:p>
        </w:tc>
        <w:tc>
          <w:tcPr>
            <w:tcW w:w="1540" w:type="dxa"/>
            <w:tcBorders>
              <w:top w:val="nil"/>
              <w:left w:val="nil"/>
              <w:bottom w:val="single" w:color="auto" w:sz="4" w:space="0"/>
              <w:right w:val="single" w:color="auto" w:sz="4" w:space="0"/>
            </w:tcBorders>
            <w:noWrap/>
            <w:vAlign w:val="center"/>
          </w:tcPr>
          <w:p>
            <w:pPr>
              <w:jc w:val="center"/>
              <w:rPr>
                <w:rFonts w:ascii="宋体" w:cs="宋体"/>
                <w:sz w:val="18"/>
                <w:szCs w:val="18"/>
                <w:lang w:eastAsia="zh-CN"/>
              </w:rPr>
            </w:pPr>
            <w:r>
              <w:rPr>
                <w:rFonts w:hint="eastAsia" w:ascii="宋体" w:hAnsi="宋体" w:cs="宋体"/>
                <w:sz w:val="18"/>
                <w:szCs w:val="18"/>
                <w:lang w:eastAsia="zh-CN"/>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noWrap/>
            <w:vAlign w:val="center"/>
          </w:tcPr>
          <w:p>
            <w:pPr>
              <w:jc w:val="center"/>
              <w:rPr>
                <w:rFonts w:ascii="宋体" w:cs="宋体"/>
                <w:sz w:val="18"/>
                <w:szCs w:val="18"/>
                <w:lang w:eastAsia="zh-CN"/>
              </w:rPr>
            </w:pPr>
            <w:r>
              <w:rPr>
                <w:rFonts w:ascii="宋体" w:hAnsi="宋体" w:cs="宋体"/>
                <w:sz w:val="18"/>
                <w:szCs w:val="18"/>
                <w:lang w:eastAsia="zh-CN"/>
              </w:rPr>
              <w:t>2</w:t>
            </w:r>
          </w:p>
        </w:tc>
        <w:tc>
          <w:tcPr>
            <w:tcW w:w="3040" w:type="dxa"/>
            <w:tcBorders>
              <w:top w:val="nil"/>
              <w:left w:val="nil"/>
              <w:bottom w:val="single" w:color="auto" w:sz="4" w:space="0"/>
              <w:right w:val="single" w:color="auto" w:sz="4" w:space="0"/>
            </w:tcBorders>
            <w:noWrap/>
            <w:vAlign w:val="bottom"/>
          </w:tcPr>
          <w:p>
            <w:pPr>
              <w:rPr>
                <w:rFonts w:ascii="宋体" w:cs="宋体"/>
                <w:sz w:val="18"/>
                <w:szCs w:val="18"/>
                <w:lang w:eastAsia="zh-CN"/>
              </w:rPr>
            </w:pPr>
            <w:r>
              <w:rPr>
                <w:rFonts w:hint="eastAsia" w:ascii="宋体" w:hAnsi="宋体" w:cs="宋体"/>
                <w:sz w:val="18"/>
                <w:szCs w:val="18"/>
                <w:lang w:eastAsia="zh-CN"/>
              </w:rPr>
              <w:t>一、因公出国（境）费</w:t>
            </w:r>
          </w:p>
        </w:tc>
        <w:tc>
          <w:tcPr>
            <w:tcW w:w="2440" w:type="dxa"/>
            <w:tcBorders>
              <w:top w:val="nil"/>
              <w:left w:val="nil"/>
              <w:bottom w:val="single" w:color="auto" w:sz="4" w:space="0"/>
              <w:right w:val="single" w:color="auto" w:sz="4" w:space="0"/>
            </w:tcBorders>
            <w:noWrap/>
            <w:vAlign w:val="center"/>
          </w:tcPr>
          <w:p>
            <w:pPr>
              <w:jc w:val="center"/>
              <w:rPr>
                <w:rFonts w:ascii="宋体" w:cs="宋体"/>
                <w:sz w:val="18"/>
                <w:szCs w:val="18"/>
                <w:lang w:eastAsia="zh-CN"/>
              </w:rPr>
            </w:pPr>
            <w:r>
              <w:rPr>
                <w:rFonts w:hint="eastAsia" w:ascii="宋体" w:hAnsi="宋体" w:cs="宋体"/>
                <w:sz w:val="18"/>
                <w:szCs w:val="18"/>
                <w:lang w:eastAsia="zh-CN"/>
              </w:rPr>
              <w:t>　</w:t>
            </w:r>
          </w:p>
        </w:tc>
        <w:tc>
          <w:tcPr>
            <w:tcW w:w="1540" w:type="dxa"/>
            <w:tcBorders>
              <w:top w:val="nil"/>
              <w:left w:val="nil"/>
              <w:bottom w:val="single" w:color="auto" w:sz="4" w:space="0"/>
              <w:right w:val="single" w:color="auto" w:sz="4" w:space="0"/>
            </w:tcBorders>
            <w:noWrap/>
            <w:vAlign w:val="center"/>
          </w:tcPr>
          <w:p>
            <w:pPr>
              <w:jc w:val="center"/>
              <w:rPr>
                <w:rFonts w:ascii="宋体" w:cs="宋体"/>
                <w:sz w:val="18"/>
                <w:szCs w:val="18"/>
                <w:lang w:eastAsia="zh-CN"/>
              </w:rPr>
            </w:pPr>
            <w:r>
              <w:rPr>
                <w:rFonts w:hint="eastAsia" w:ascii="宋体" w:hAnsi="宋体" w:cs="宋体"/>
                <w:sz w:val="18"/>
                <w:szCs w:val="18"/>
                <w:lang w:eastAsia="zh-CN"/>
              </w:rPr>
              <w:t>　</w:t>
            </w:r>
          </w:p>
        </w:tc>
        <w:tc>
          <w:tcPr>
            <w:tcW w:w="1460" w:type="dxa"/>
            <w:tcBorders>
              <w:top w:val="nil"/>
              <w:left w:val="nil"/>
              <w:bottom w:val="single" w:color="auto" w:sz="4" w:space="0"/>
              <w:right w:val="single" w:color="auto" w:sz="4" w:space="0"/>
            </w:tcBorders>
            <w:noWrap/>
            <w:vAlign w:val="center"/>
          </w:tcPr>
          <w:p>
            <w:pPr>
              <w:jc w:val="center"/>
              <w:rPr>
                <w:rFonts w:ascii="宋体" w:cs="宋体"/>
                <w:sz w:val="18"/>
                <w:szCs w:val="18"/>
                <w:lang w:eastAsia="zh-CN"/>
              </w:rPr>
            </w:pPr>
            <w:r>
              <w:rPr>
                <w:rFonts w:hint="eastAsia" w:ascii="宋体" w:hAnsi="宋体" w:cs="宋体"/>
                <w:sz w:val="18"/>
                <w:szCs w:val="18"/>
                <w:lang w:eastAsia="zh-CN"/>
              </w:rPr>
              <w:t>　</w:t>
            </w:r>
          </w:p>
        </w:tc>
        <w:tc>
          <w:tcPr>
            <w:tcW w:w="1540" w:type="dxa"/>
            <w:tcBorders>
              <w:top w:val="nil"/>
              <w:left w:val="nil"/>
              <w:bottom w:val="single" w:color="auto" w:sz="4" w:space="0"/>
              <w:right w:val="single" w:color="auto" w:sz="4" w:space="0"/>
            </w:tcBorders>
            <w:noWrap/>
            <w:vAlign w:val="center"/>
          </w:tcPr>
          <w:p>
            <w:pPr>
              <w:jc w:val="center"/>
              <w:rPr>
                <w:rFonts w:ascii="宋体" w:cs="宋体"/>
                <w:sz w:val="18"/>
                <w:szCs w:val="18"/>
                <w:lang w:eastAsia="zh-CN"/>
              </w:rPr>
            </w:pPr>
            <w:r>
              <w:rPr>
                <w:rFonts w:hint="eastAsia" w:ascii="宋体" w:hAnsi="宋体" w:cs="宋体"/>
                <w:sz w:val="18"/>
                <w:szCs w:val="18"/>
                <w:lang w:eastAsia="zh-CN"/>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noWrap/>
            <w:vAlign w:val="center"/>
          </w:tcPr>
          <w:p>
            <w:pPr>
              <w:jc w:val="center"/>
              <w:rPr>
                <w:rFonts w:ascii="宋体" w:cs="宋体"/>
                <w:sz w:val="18"/>
                <w:szCs w:val="18"/>
                <w:lang w:eastAsia="zh-CN"/>
              </w:rPr>
            </w:pPr>
            <w:r>
              <w:rPr>
                <w:rFonts w:ascii="宋体" w:hAnsi="宋体" w:cs="宋体"/>
                <w:sz w:val="18"/>
                <w:szCs w:val="18"/>
                <w:lang w:eastAsia="zh-CN"/>
              </w:rPr>
              <w:t>3</w:t>
            </w:r>
          </w:p>
        </w:tc>
        <w:tc>
          <w:tcPr>
            <w:tcW w:w="3040" w:type="dxa"/>
            <w:tcBorders>
              <w:top w:val="nil"/>
              <w:left w:val="nil"/>
              <w:bottom w:val="single" w:color="auto" w:sz="4" w:space="0"/>
              <w:right w:val="single" w:color="auto" w:sz="4" w:space="0"/>
            </w:tcBorders>
            <w:noWrap/>
            <w:vAlign w:val="bottom"/>
          </w:tcPr>
          <w:p>
            <w:pPr>
              <w:rPr>
                <w:rFonts w:ascii="宋体" w:cs="宋体"/>
                <w:sz w:val="18"/>
                <w:szCs w:val="18"/>
                <w:lang w:eastAsia="zh-CN"/>
              </w:rPr>
            </w:pPr>
            <w:r>
              <w:rPr>
                <w:rFonts w:hint="eastAsia" w:ascii="宋体" w:hAnsi="宋体" w:cs="宋体"/>
                <w:sz w:val="18"/>
                <w:szCs w:val="18"/>
                <w:lang w:eastAsia="zh-CN"/>
              </w:rPr>
              <w:t>二、公务用车购置及运维费</w:t>
            </w:r>
          </w:p>
        </w:tc>
        <w:tc>
          <w:tcPr>
            <w:tcW w:w="2440" w:type="dxa"/>
            <w:tcBorders>
              <w:top w:val="nil"/>
              <w:left w:val="nil"/>
              <w:bottom w:val="single" w:color="auto" w:sz="4" w:space="0"/>
              <w:right w:val="single" w:color="auto" w:sz="4" w:space="0"/>
            </w:tcBorders>
            <w:noWrap/>
            <w:vAlign w:val="center"/>
          </w:tcPr>
          <w:p>
            <w:pPr>
              <w:jc w:val="center"/>
              <w:rPr>
                <w:rFonts w:ascii="宋体" w:cs="宋体"/>
                <w:sz w:val="18"/>
                <w:szCs w:val="18"/>
                <w:lang w:eastAsia="zh-CN"/>
              </w:rPr>
            </w:pPr>
            <w:r>
              <w:rPr>
                <w:rFonts w:ascii="宋体" w:hAnsi="宋体" w:cs="宋体"/>
                <w:sz w:val="18"/>
                <w:szCs w:val="18"/>
                <w:lang w:eastAsia="zh-CN"/>
              </w:rPr>
              <w:t>18000.00</w:t>
            </w:r>
          </w:p>
        </w:tc>
        <w:tc>
          <w:tcPr>
            <w:tcW w:w="1540" w:type="dxa"/>
            <w:tcBorders>
              <w:top w:val="nil"/>
              <w:left w:val="nil"/>
              <w:bottom w:val="single" w:color="auto" w:sz="4" w:space="0"/>
              <w:right w:val="single" w:color="auto" w:sz="4" w:space="0"/>
            </w:tcBorders>
            <w:noWrap/>
            <w:vAlign w:val="center"/>
          </w:tcPr>
          <w:p>
            <w:pPr>
              <w:jc w:val="center"/>
              <w:rPr>
                <w:rFonts w:ascii="宋体" w:cs="宋体"/>
                <w:sz w:val="18"/>
                <w:szCs w:val="18"/>
                <w:lang w:eastAsia="zh-CN"/>
              </w:rPr>
            </w:pPr>
            <w:r>
              <w:rPr>
                <w:rFonts w:ascii="宋体" w:hAnsi="宋体" w:cs="宋体"/>
                <w:sz w:val="18"/>
                <w:szCs w:val="18"/>
                <w:lang w:eastAsia="zh-CN"/>
              </w:rPr>
              <w:t>18000.00</w:t>
            </w:r>
          </w:p>
        </w:tc>
        <w:tc>
          <w:tcPr>
            <w:tcW w:w="1460" w:type="dxa"/>
            <w:tcBorders>
              <w:top w:val="nil"/>
              <w:left w:val="nil"/>
              <w:bottom w:val="single" w:color="auto" w:sz="4" w:space="0"/>
              <w:right w:val="single" w:color="auto" w:sz="4" w:space="0"/>
            </w:tcBorders>
            <w:noWrap/>
            <w:vAlign w:val="center"/>
          </w:tcPr>
          <w:p>
            <w:pPr>
              <w:jc w:val="center"/>
              <w:rPr>
                <w:rFonts w:ascii="宋体" w:cs="宋体"/>
                <w:sz w:val="18"/>
                <w:szCs w:val="18"/>
                <w:lang w:eastAsia="zh-CN"/>
              </w:rPr>
            </w:pPr>
            <w:r>
              <w:rPr>
                <w:rFonts w:hint="eastAsia" w:ascii="宋体" w:hAnsi="宋体" w:cs="宋体"/>
                <w:sz w:val="18"/>
                <w:szCs w:val="18"/>
                <w:lang w:eastAsia="zh-CN"/>
              </w:rPr>
              <w:t>　</w:t>
            </w:r>
          </w:p>
        </w:tc>
        <w:tc>
          <w:tcPr>
            <w:tcW w:w="1540" w:type="dxa"/>
            <w:tcBorders>
              <w:top w:val="nil"/>
              <w:left w:val="nil"/>
              <w:bottom w:val="single" w:color="auto" w:sz="4" w:space="0"/>
              <w:right w:val="single" w:color="auto" w:sz="4" w:space="0"/>
            </w:tcBorders>
            <w:noWrap/>
            <w:vAlign w:val="center"/>
          </w:tcPr>
          <w:p>
            <w:pPr>
              <w:jc w:val="center"/>
              <w:rPr>
                <w:rFonts w:ascii="宋体" w:cs="宋体"/>
                <w:sz w:val="18"/>
                <w:szCs w:val="18"/>
                <w:lang w:eastAsia="zh-CN"/>
              </w:rPr>
            </w:pPr>
            <w:r>
              <w:rPr>
                <w:rFonts w:hint="eastAsia" w:ascii="宋体" w:hAnsi="宋体" w:cs="宋体"/>
                <w:sz w:val="18"/>
                <w:szCs w:val="18"/>
                <w:lang w:eastAsia="zh-CN"/>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noWrap/>
            <w:vAlign w:val="center"/>
          </w:tcPr>
          <w:p>
            <w:pPr>
              <w:jc w:val="center"/>
              <w:rPr>
                <w:rFonts w:ascii="宋体" w:cs="宋体"/>
                <w:sz w:val="18"/>
                <w:szCs w:val="18"/>
                <w:lang w:eastAsia="zh-CN"/>
              </w:rPr>
            </w:pPr>
            <w:r>
              <w:rPr>
                <w:rFonts w:ascii="宋体" w:hAnsi="宋体" w:cs="宋体"/>
                <w:sz w:val="18"/>
                <w:szCs w:val="18"/>
                <w:lang w:eastAsia="zh-CN"/>
              </w:rPr>
              <w:t>4</w:t>
            </w:r>
          </w:p>
        </w:tc>
        <w:tc>
          <w:tcPr>
            <w:tcW w:w="3040" w:type="dxa"/>
            <w:tcBorders>
              <w:top w:val="nil"/>
              <w:left w:val="nil"/>
              <w:bottom w:val="single" w:color="auto" w:sz="4" w:space="0"/>
              <w:right w:val="single" w:color="auto" w:sz="4" w:space="0"/>
            </w:tcBorders>
            <w:noWrap/>
            <w:vAlign w:val="bottom"/>
          </w:tcPr>
          <w:p>
            <w:pPr>
              <w:rPr>
                <w:rFonts w:ascii="宋体" w:cs="宋体"/>
                <w:sz w:val="18"/>
                <w:szCs w:val="18"/>
                <w:lang w:eastAsia="zh-CN"/>
              </w:rPr>
            </w:pPr>
            <w:r>
              <w:rPr>
                <w:rFonts w:ascii="宋体" w:hAnsi="宋体" w:cs="宋体"/>
                <w:sz w:val="18"/>
                <w:szCs w:val="18"/>
                <w:lang w:eastAsia="zh-CN"/>
              </w:rPr>
              <w:t xml:space="preserve">    </w:t>
            </w:r>
            <w:r>
              <w:rPr>
                <w:rFonts w:hint="eastAsia" w:ascii="宋体" w:hAnsi="宋体" w:cs="宋体"/>
                <w:sz w:val="18"/>
                <w:szCs w:val="18"/>
                <w:lang w:eastAsia="zh-CN"/>
              </w:rPr>
              <w:t>其中：公务用车购置费</w:t>
            </w:r>
          </w:p>
        </w:tc>
        <w:tc>
          <w:tcPr>
            <w:tcW w:w="2440" w:type="dxa"/>
            <w:tcBorders>
              <w:top w:val="nil"/>
              <w:left w:val="nil"/>
              <w:bottom w:val="single" w:color="auto" w:sz="4" w:space="0"/>
              <w:right w:val="single" w:color="auto" w:sz="4" w:space="0"/>
            </w:tcBorders>
            <w:noWrap/>
            <w:vAlign w:val="center"/>
          </w:tcPr>
          <w:p>
            <w:pPr>
              <w:jc w:val="center"/>
              <w:rPr>
                <w:rFonts w:ascii="宋体" w:cs="宋体"/>
                <w:sz w:val="18"/>
                <w:szCs w:val="18"/>
                <w:lang w:eastAsia="zh-CN"/>
              </w:rPr>
            </w:pPr>
            <w:r>
              <w:rPr>
                <w:rFonts w:hint="eastAsia" w:ascii="宋体" w:hAnsi="宋体" w:cs="宋体"/>
                <w:sz w:val="18"/>
                <w:szCs w:val="18"/>
                <w:lang w:eastAsia="zh-CN"/>
              </w:rPr>
              <w:t>　</w:t>
            </w:r>
          </w:p>
        </w:tc>
        <w:tc>
          <w:tcPr>
            <w:tcW w:w="1540" w:type="dxa"/>
            <w:tcBorders>
              <w:top w:val="nil"/>
              <w:left w:val="nil"/>
              <w:bottom w:val="single" w:color="auto" w:sz="4" w:space="0"/>
              <w:right w:val="single" w:color="auto" w:sz="4" w:space="0"/>
            </w:tcBorders>
            <w:noWrap/>
            <w:vAlign w:val="center"/>
          </w:tcPr>
          <w:p>
            <w:pPr>
              <w:jc w:val="center"/>
              <w:rPr>
                <w:rFonts w:ascii="宋体" w:cs="宋体"/>
                <w:sz w:val="18"/>
                <w:szCs w:val="18"/>
                <w:lang w:eastAsia="zh-CN"/>
              </w:rPr>
            </w:pPr>
            <w:r>
              <w:rPr>
                <w:rFonts w:hint="eastAsia" w:ascii="宋体" w:hAnsi="宋体" w:cs="宋体"/>
                <w:sz w:val="18"/>
                <w:szCs w:val="18"/>
                <w:lang w:eastAsia="zh-CN"/>
              </w:rPr>
              <w:t>　</w:t>
            </w:r>
          </w:p>
        </w:tc>
        <w:tc>
          <w:tcPr>
            <w:tcW w:w="1460" w:type="dxa"/>
            <w:tcBorders>
              <w:top w:val="nil"/>
              <w:left w:val="nil"/>
              <w:bottom w:val="single" w:color="auto" w:sz="4" w:space="0"/>
              <w:right w:val="single" w:color="auto" w:sz="4" w:space="0"/>
            </w:tcBorders>
            <w:noWrap/>
            <w:vAlign w:val="center"/>
          </w:tcPr>
          <w:p>
            <w:pPr>
              <w:jc w:val="center"/>
              <w:rPr>
                <w:rFonts w:ascii="宋体" w:cs="宋体"/>
                <w:sz w:val="18"/>
                <w:szCs w:val="18"/>
                <w:lang w:eastAsia="zh-CN"/>
              </w:rPr>
            </w:pPr>
            <w:r>
              <w:rPr>
                <w:rFonts w:hint="eastAsia" w:ascii="宋体" w:hAnsi="宋体" w:cs="宋体"/>
                <w:sz w:val="18"/>
                <w:szCs w:val="18"/>
                <w:lang w:eastAsia="zh-CN"/>
              </w:rPr>
              <w:t>　</w:t>
            </w:r>
          </w:p>
        </w:tc>
        <w:tc>
          <w:tcPr>
            <w:tcW w:w="1540" w:type="dxa"/>
            <w:tcBorders>
              <w:top w:val="nil"/>
              <w:left w:val="nil"/>
              <w:bottom w:val="single" w:color="auto" w:sz="4" w:space="0"/>
              <w:right w:val="single" w:color="auto" w:sz="4" w:space="0"/>
            </w:tcBorders>
            <w:noWrap/>
            <w:vAlign w:val="center"/>
          </w:tcPr>
          <w:p>
            <w:pPr>
              <w:jc w:val="center"/>
              <w:rPr>
                <w:rFonts w:ascii="宋体" w:cs="宋体"/>
                <w:sz w:val="18"/>
                <w:szCs w:val="18"/>
                <w:lang w:eastAsia="zh-CN"/>
              </w:rPr>
            </w:pPr>
            <w:r>
              <w:rPr>
                <w:rFonts w:hint="eastAsia" w:ascii="宋体" w:hAnsi="宋体" w:cs="宋体"/>
                <w:sz w:val="18"/>
                <w:szCs w:val="18"/>
                <w:lang w:eastAsia="zh-CN"/>
              </w:rPr>
              <w:t>　</w:t>
            </w:r>
          </w:p>
        </w:tc>
      </w:tr>
      <w:tr>
        <w:tblPrEx>
          <w:tblCellMar>
            <w:top w:w="0" w:type="dxa"/>
            <w:left w:w="108" w:type="dxa"/>
            <w:bottom w:w="0" w:type="dxa"/>
            <w:right w:w="108" w:type="dxa"/>
          </w:tblCellMar>
        </w:tblPrEx>
        <w:trPr>
          <w:trHeight w:val="315" w:hRule="atLeast"/>
        </w:trPr>
        <w:tc>
          <w:tcPr>
            <w:tcW w:w="1080" w:type="dxa"/>
            <w:tcBorders>
              <w:top w:val="nil"/>
              <w:left w:val="single" w:color="auto" w:sz="4" w:space="0"/>
              <w:bottom w:val="single" w:color="auto" w:sz="4" w:space="0"/>
              <w:right w:val="single" w:color="auto" w:sz="4" w:space="0"/>
            </w:tcBorders>
            <w:noWrap/>
            <w:vAlign w:val="center"/>
          </w:tcPr>
          <w:p>
            <w:pPr>
              <w:jc w:val="center"/>
              <w:rPr>
                <w:rFonts w:ascii="宋体" w:cs="宋体"/>
                <w:sz w:val="18"/>
                <w:szCs w:val="18"/>
                <w:lang w:eastAsia="zh-CN"/>
              </w:rPr>
            </w:pPr>
            <w:r>
              <w:rPr>
                <w:rFonts w:ascii="宋体" w:hAnsi="宋体" w:cs="宋体"/>
                <w:sz w:val="18"/>
                <w:szCs w:val="18"/>
                <w:lang w:eastAsia="zh-CN"/>
              </w:rPr>
              <w:t>5</w:t>
            </w:r>
          </w:p>
        </w:tc>
        <w:tc>
          <w:tcPr>
            <w:tcW w:w="3040" w:type="dxa"/>
            <w:tcBorders>
              <w:top w:val="nil"/>
              <w:left w:val="nil"/>
              <w:bottom w:val="single" w:color="auto" w:sz="4" w:space="0"/>
              <w:right w:val="single" w:color="auto" w:sz="4" w:space="0"/>
            </w:tcBorders>
            <w:noWrap/>
            <w:vAlign w:val="bottom"/>
          </w:tcPr>
          <w:p>
            <w:pPr>
              <w:rPr>
                <w:rFonts w:ascii="宋体" w:cs="宋体"/>
                <w:sz w:val="18"/>
                <w:szCs w:val="18"/>
                <w:lang w:eastAsia="zh-CN"/>
              </w:rPr>
            </w:pPr>
            <w:r>
              <w:rPr>
                <w:rFonts w:ascii="宋体" w:hAnsi="宋体" w:cs="宋体"/>
                <w:sz w:val="18"/>
                <w:szCs w:val="18"/>
                <w:lang w:eastAsia="zh-CN"/>
              </w:rPr>
              <w:t xml:space="preserve">          </w:t>
            </w:r>
            <w:r>
              <w:rPr>
                <w:rFonts w:hint="eastAsia" w:ascii="宋体" w:hAnsi="宋体" w:cs="宋体"/>
                <w:sz w:val="18"/>
                <w:szCs w:val="18"/>
                <w:lang w:eastAsia="zh-CN"/>
              </w:rPr>
              <w:t>公务用车运行维护费</w:t>
            </w:r>
          </w:p>
        </w:tc>
        <w:tc>
          <w:tcPr>
            <w:tcW w:w="2440" w:type="dxa"/>
            <w:tcBorders>
              <w:top w:val="nil"/>
              <w:left w:val="nil"/>
              <w:bottom w:val="single" w:color="auto" w:sz="4" w:space="0"/>
              <w:right w:val="single" w:color="auto" w:sz="4" w:space="0"/>
            </w:tcBorders>
            <w:noWrap/>
            <w:vAlign w:val="center"/>
          </w:tcPr>
          <w:p>
            <w:pPr>
              <w:jc w:val="center"/>
              <w:rPr>
                <w:rFonts w:ascii="宋体" w:cs="宋体"/>
                <w:sz w:val="18"/>
                <w:szCs w:val="18"/>
                <w:lang w:eastAsia="zh-CN"/>
              </w:rPr>
            </w:pPr>
            <w:r>
              <w:rPr>
                <w:rFonts w:ascii="宋体" w:hAnsi="宋体" w:cs="宋体"/>
                <w:sz w:val="18"/>
                <w:szCs w:val="18"/>
                <w:lang w:eastAsia="zh-CN"/>
              </w:rPr>
              <w:t>18000.00</w:t>
            </w:r>
          </w:p>
        </w:tc>
        <w:tc>
          <w:tcPr>
            <w:tcW w:w="1540" w:type="dxa"/>
            <w:tcBorders>
              <w:top w:val="nil"/>
              <w:left w:val="nil"/>
              <w:bottom w:val="single" w:color="auto" w:sz="4" w:space="0"/>
              <w:right w:val="single" w:color="auto" w:sz="4" w:space="0"/>
            </w:tcBorders>
            <w:noWrap/>
            <w:vAlign w:val="center"/>
          </w:tcPr>
          <w:p>
            <w:pPr>
              <w:jc w:val="center"/>
              <w:rPr>
                <w:rFonts w:ascii="宋体" w:cs="宋体"/>
                <w:sz w:val="18"/>
                <w:szCs w:val="18"/>
                <w:lang w:eastAsia="zh-CN"/>
              </w:rPr>
            </w:pPr>
            <w:r>
              <w:rPr>
                <w:rFonts w:ascii="宋体" w:hAnsi="宋体" w:cs="宋体"/>
                <w:sz w:val="18"/>
                <w:szCs w:val="18"/>
                <w:lang w:eastAsia="zh-CN"/>
              </w:rPr>
              <w:t>18000.00</w:t>
            </w:r>
          </w:p>
        </w:tc>
        <w:tc>
          <w:tcPr>
            <w:tcW w:w="1460" w:type="dxa"/>
            <w:tcBorders>
              <w:top w:val="nil"/>
              <w:left w:val="nil"/>
              <w:bottom w:val="single" w:color="auto" w:sz="4" w:space="0"/>
              <w:right w:val="single" w:color="auto" w:sz="4" w:space="0"/>
            </w:tcBorders>
            <w:noWrap/>
            <w:vAlign w:val="center"/>
          </w:tcPr>
          <w:p>
            <w:pPr>
              <w:jc w:val="center"/>
              <w:rPr>
                <w:rFonts w:ascii="宋体" w:cs="宋体"/>
                <w:sz w:val="18"/>
                <w:szCs w:val="18"/>
                <w:lang w:eastAsia="zh-CN"/>
              </w:rPr>
            </w:pPr>
            <w:r>
              <w:rPr>
                <w:rFonts w:hint="eastAsia" w:ascii="宋体" w:hAnsi="宋体" w:cs="宋体"/>
                <w:sz w:val="18"/>
                <w:szCs w:val="18"/>
                <w:lang w:eastAsia="zh-CN"/>
              </w:rPr>
              <w:t>　</w:t>
            </w:r>
          </w:p>
        </w:tc>
        <w:tc>
          <w:tcPr>
            <w:tcW w:w="1540" w:type="dxa"/>
            <w:tcBorders>
              <w:top w:val="nil"/>
              <w:left w:val="nil"/>
              <w:bottom w:val="single" w:color="auto" w:sz="4" w:space="0"/>
              <w:right w:val="single" w:color="auto" w:sz="4" w:space="0"/>
            </w:tcBorders>
            <w:noWrap/>
            <w:vAlign w:val="center"/>
          </w:tcPr>
          <w:p>
            <w:pPr>
              <w:jc w:val="center"/>
              <w:rPr>
                <w:rFonts w:ascii="宋体" w:cs="宋体"/>
                <w:sz w:val="18"/>
                <w:szCs w:val="18"/>
                <w:lang w:eastAsia="zh-CN"/>
              </w:rPr>
            </w:pPr>
            <w:r>
              <w:rPr>
                <w:rFonts w:hint="eastAsia" w:ascii="宋体" w:hAnsi="宋体" w:cs="宋体"/>
                <w:sz w:val="18"/>
                <w:szCs w:val="18"/>
                <w:lang w:eastAsia="zh-CN"/>
              </w:rPr>
              <w:t>　</w:t>
            </w:r>
          </w:p>
        </w:tc>
      </w:tr>
      <w:tr>
        <w:tblPrEx>
          <w:tblCellMar>
            <w:top w:w="0" w:type="dxa"/>
            <w:left w:w="108" w:type="dxa"/>
            <w:bottom w:w="0" w:type="dxa"/>
            <w:right w:w="108" w:type="dxa"/>
          </w:tblCellMar>
        </w:tblPrEx>
        <w:trPr>
          <w:trHeight w:val="330" w:hRule="atLeast"/>
        </w:trPr>
        <w:tc>
          <w:tcPr>
            <w:tcW w:w="1080" w:type="dxa"/>
            <w:tcBorders>
              <w:top w:val="nil"/>
              <w:left w:val="single" w:color="auto" w:sz="4" w:space="0"/>
              <w:bottom w:val="single" w:color="auto" w:sz="4" w:space="0"/>
              <w:right w:val="single" w:color="auto" w:sz="4" w:space="0"/>
            </w:tcBorders>
            <w:noWrap/>
            <w:vAlign w:val="center"/>
          </w:tcPr>
          <w:p>
            <w:pPr>
              <w:jc w:val="center"/>
              <w:rPr>
                <w:rFonts w:ascii="宋体" w:cs="宋体"/>
                <w:sz w:val="18"/>
                <w:szCs w:val="18"/>
                <w:lang w:eastAsia="zh-CN"/>
              </w:rPr>
            </w:pPr>
            <w:r>
              <w:rPr>
                <w:rFonts w:ascii="宋体" w:hAnsi="宋体" w:cs="宋体"/>
                <w:sz w:val="18"/>
                <w:szCs w:val="18"/>
                <w:lang w:eastAsia="zh-CN"/>
              </w:rPr>
              <w:t>6</w:t>
            </w:r>
          </w:p>
        </w:tc>
        <w:tc>
          <w:tcPr>
            <w:tcW w:w="3040" w:type="dxa"/>
            <w:tcBorders>
              <w:top w:val="nil"/>
              <w:left w:val="nil"/>
              <w:bottom w:val="single" w:color="auto" w:sz="4" w:space="0"/>
              <w:right w:val="single" w:color="auto" w:sz="4" w:space="0"/>
            </w:tcBorders>
            <w:noWrap/>
            <w:vAlign w:val="bottom"/>
          </w:tcPr>
          <w:p>
            <w:pPr>
              <w:rPr>
                <w:rFonts w:ascii="宋体" w:cs="宋体"/>
                <w:sz w:val="18"/>
                <w:szCs w:val="18"/>
                <w:lang w:eastAsia="zh-CN"/>
              </w:rPr>
            </w:pPr>
            <w:r>
              <w:rPr>
                <w:rFonts w:hint="eastAsia" w:ascii="宋体" w:hAnsi="宋体" w:cs="宋体"/>
                <w:sz w:val="18"/>
                <w:szCs w:val="18"/>
                <w:lang w:eastAsia="zh-CN"/>
              </w:rPr>
              <w:t>三、公务接待费</w:t>
            </w:r>
          </w:p>
        </w:tc>
        <w:tc>
          <w:tcPr>
            <w:tcW w:w="2440" w:type="dxa"/>
            <w:tcBorders>
              <w:top w:val="nil"/>
              <w:left w:val="nil"/>
              <w:bottom w:val="single" w:color="auto" w:sz="4" w:space="0"/>
              <w:right w:val="single" w:color="auto" w:sz="4" w:space="0"/>
            </w:tcBorders>
            <w:noWrap/>
            <w:vAlign w:val="center"/>
          </w:tcPr>
          <w:p>
            <w:pPr>
              <w:jc w:val="center"/>
              <w:rPr>
                <w:rFonts w:ascii="宋体" w:cs="宋体"/>
                <w:sz w:val="18"/>
                <w:szCs w:val="18"/>
                <w:lang w:eastAsia="zh-CN"/>
              </w:rPr>
            </w:pPr>
            <w:r>
              <w:rPr>
                <w:rFonts w:ascii="宋体" w:hAnsi="宋体" w:cs="宋体"/>
                <w:sz w:val="18"/>
                <w:szCs w:val="18"/>
                <w:lang w:eastAsia="zh-CN"/>
              </w:rPr>
              <w:t>1000.00</w:t>
            </w:r>
          </w:p>
        </w:tc>
        <w:tc>
          <w:tcPr>
            <w:tcW w:w="1540" w:type="dxa"/>
            <w:tcBorders>
              <w:top w:val="nil"/>
              <w:left w:val="nil"/>
              <w:bottom w:val="single" w:color="auto" w:sz="4" w:space="0"/>
              <w:right w:val="single" w:color="auto" w:sz="4" w:space="0"/>
            </w:tcBorders>
            <w:noWrap/>
            <w:vAlign w:val="center"/>
          </w:tcPr>
          <w:p>
            <w:pPr>
              <w:jc w:val="center"/>
              <w:rPr>
                <w:rFonts w:ascii="宋体" w:cs="宋体"/>
                <w:sz w:val="18"/>
                <w:szCs w:val="18"/>
                <w:lang w:eastAsia="zh-CN"/>
              </w:rPr>
            </w:pPr>
            <w:r>
              <w:rPr>
                <w:rFonts w:ascii="宋体" w:hAnsi="宋体" w:cs="宋体"/>
                <w:sz w:val="18"/>
                <w:szCs w:val="18"/>
                <w:lang w:eastAsia="zh-CN"/>
              </w:rPr>
              <w:t>1000.00</w:t>
            </w:r>
          </w:p>
        </w:tc>
        <w:tc>
          <w:tcPr>
            <w:tcW w:w="1460" w:type="dxa"/>
            <w:tcBorders>
              <w:top w:val="nil"/>
              <w:left w:val="nil"/>
              <w:bottom w:val="single" w:color="auto" w:sz="4" w:space="0"/>
              <w:right w:val="single" w:color="auto" w:sz="4" w:space="0"/>
            </w:tcBorders>
            <w:noWrap/>
            <w:vAlign w:val="center"/>
          </w:tcPr>
          <w:p>
            <w:pPr>
              <w:jc w:val="center"/>
              <w:rPr>
                <w:rFonts w:ascii="宋体" w:cs="宋体"/>
                <w:sz w:val="18"/>
                <w:szCs w:val="18"/>
                <w:lang w:eastAsia="zh-CN"/>
              </w:rPr>
            </w:pPr>
            <w:r>
              <w:rPr>
                <w:rFonts w:hint="eastAsia" w:ascii="宋体" w:hAnsi="宋体" w:cs="宋体"/>
                <w:sz w:val="18"/>
                <w:szCs w:val="18"/>
                <w:lang w:eastAsia="zh-CN"/>
              </w:rPr>
              <w:t>　</w:t>
            </w:r>
          </w:p>
        </w:tc>
        <w:tc>
          <w:tcPr>
            <w:tcW w:w="1540" w:type="dxa"/>
            <w:tcBorders>
              <w:top w:val="nil"/>
              <w:left w:val="nil"/>
              <w:bottom w:val="single" w:color="auto" w:sz="4" w:space="0"/>
              <w:right w:val="single" w:color="auto" w:sz="4" w:space="0"/>
            </w:tcBorders>
            <w:noWrap/>
            <w:vAlign w:val="center"/>
          </w:tcPr>
          <w:p>
            <w:pPr>
              <w:jc w:val="center"/>
              <w:rPr>
                <w:rFonts w:ascii="宋体" w:cs="宋体"/>
                <w:sz w:val="18"/>
                <w:szCs w:val="18"/>
                <w:lang w:eastAsia="zh-CN"/>
              </w:rPr>
            </w:pPr>
            <w:r>
              <w:rPr>
                <w:rFonts w:hint="eastAsia" w:ascii="宋体" w:hAnsi="宋体" w:cs="宋体"/>
                <w:sz w:val="18"/>
                <w:szCs w:val="18"/>
                <w:lang w:eastAsia="zh-CN"/>
              </w:rPr>
              <w:t>　</w:t>
            </w:r>
          </w:p>
        </w:tc>
      </w:tr>
    </w:tbl>
    <w:p>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馆陶县信访局</w:t>
      </w:r>
      <w:r>
        <w:rPr>
          <w:rFonts w:ascii="方正书宋_GBK" w:hAnsi="方正书宋_GBK" w:eastAsia="方正书宋_GBK" w:cs="方正书宋_GBK"/>
          <w:color w:val="FFFFFF"/>
          <w:sz w:val="21"/>
        </w:rPr>
        <w:t>2022</w:t>
      </w:r>
      <w:r>
        <w:rPr>
          <w:rFonts w:hint="eastAsia" w:ascii="方正书宋_GBK" w:hAnsi="方正书宋_GBK" w:eastAsia="方正书宋_GBK" w:cs="方正书宋_GBK"/>
          <w:color w:val="FFFFFF"/>
          <w:sz w:val="21"/>
        </w:rPr>
        <w:t>年部门预算信息公开情况说明</w:t>
      </w:r>
    </w:p>
    <w:p>
      <w:pPr>
        <w:jc w:val="center"/>
      </w:pPr>
      <w:r>
        <w:rPr>
          <w:rFonts w:hint="eastAsia" w:ascii="方正小标宋_GBK" w:hAnsi="方正小标宋_GBK" w:eastAsia="方正小标宋_GBK" w:cs="方正小标宋_GBK"/>
          <w:color w:val="000000"/>
          <w:sz w:val="44"/>
        </w:rPr>
        <w:t>馆陶县信访局</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年部门预算信息公开情况说明</w:t>
      </w:r>
    </w:p>
    <w:p>
      <w:pPr>
        <w:spacing w:line="500" w:lineRule="exact"/>
        <w:ind w:firstLine="560"/>
        <w:rPr>
          <w:rFonts w:ascii="仿宋" w:hAnsi="仿宋" w:eastAsia="仿宋"/>
          <w:sz w:val="32"/>
          <w:szCs w:val="32"/>
        </w:rPr>
      </w:pPr>
      <w:r>
        <w:rPr>
          <w:rFonts w:hint="eastAsia" w:ascii="仿宋" w:hAnsi="仿宋" w:eastAsia="仿宋"/>
          <w:color w:val="000000"/>
          <w:sz w:val="32"/>
          <w:szCs w:val="32"/>
        </w:rPr>
        <w:t>按照《中华人民共和国</w:t>
      </w:r>
      <w:bookmarkStart w:id="18" w:name="_GoBack"/>
      <w:bookmarkEnd w:id="18"/>
      <w:r>
        <w:rPr>
          <w:rFonts w:hint="eastAsia" w:ascii="仿宋" w:hAnsi="仿宋" w:eastAsia="仿宋"/>
          <w:color w:val="000000"/>
          <w:sz w:val="32"/>
          <w:szCs w:val="32"/>
        </w:rPr>
        <w:t>预算法》、《地方预决算公开操作规程》和《关于进一步推进预算公开工作的实施意见》规定，现将馆陶县信访局</w:t>
      </w:r>
      <w:r>
        <w:rPr>
          <w:rFonts w:ascii="仿宋" w:hAnsi="仿宋" w:eastAsia="仿宋"/>
          <w:color w:val="000000"/>
          <w:sz w:val="32"/>
          <w:szCs w:val="32"/>
        </w:rPr>
        <w:t>2022</w:t>
      </w:r>
      <w:r>
        <w:rPr>
          <w:rFonts w:hint="eastAsia" w:ascii="仿宋" w:hAnsi="仿宋" w:eastAsia="仿宋"/>
          <w:color w:val="000000"/>
          <w:sz w:val="32"/>
          <w:szCs w:val="32"/>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pPr>
        <w:ind w:firstLine="640"/>
      </w:pPr>
      <w:r>
        <w:rPr>
          <w:rFonts w:hint="eastAsia" w:ascii="方正楷体_GBK" w:hAnsi="方正楷体_GBK" w:eastAsia="方正楷体_GBK" w:cs="方正楷体_GBK"/>
          <w:b/>
          <w:color w:val="000000"/>
          <w:sz w:val="32"/>
        </w:rPr>
        <w:t>部门职责：</w:t>
      </w:r>
    </w:p>
    <w:p>
      <w:pPr>
        <w:spacing w:line="500" w:lineRule="exact"/>
        <w:ind w:firstLine="560"/>
        <w:rPr>
          <w:rFonts w:ascii="仿宋" w:hAnsi="仿宋" w:eastAsia="仿宋"/>
          <w:color w:val="000000"/>
          <w:sz w:val="32"/>
          <w:szCs w:val="32"/>
        </w:rPr>
      </w:pPr>
      <w:r>
        <w:rPr>
          <w:rFonts w:hint="eastAsia" w:ascii="仿宋" w:hAnsi="仿宋" w:eastAsia="仿宋"/>
          <w:color w:val="000000"/>
          <w:sz w:val="32"/>
          <w:szCs w:val="32"/>
        </w:rPr>
        <w:t>县信访局的主要职责如下：</w:t>
      </w:r>
    </w:p>
    <w:p>
      <w:pPr>
        <w:spacing w:line="500" w:lineRule="exact"/>
        <w:ind w:firstLine="560"/>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、研究提出全县信访工作的思路，拟定信访工作意见、制度。</w:t>
      </w:r>
    </w:p>
    <w:p>
      <w:pPr>
        <w:spacing w:line="500" w:lineRule="exact"/>
        <w:ind w:firstLine="560"/>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、办理人民群众来信来访，接待群众来访，受理群众网上投诉；查办信访案件，负责人民群众建议征集工作。</w:t>
      </w:r>
    </w:p>
    <w:p>
      <w:pPr>
        <w:spacing w:line="500" w:lineRule="exact"/>
        <w:ind w:firstLine="560"/>
        <w:rPr>
          <w:rFonts w:ascii="仿宋" w:hAnsi="仿宋" w:eastAsia="仿宋"/>
          <w:color w:val="000000"/>
          <w:sz w:val="32"/>
          <w:szCs w:val="32"/>
        </w:rPr>
      </w:pPr>
      <w:r>
        <w:rPr>
          <w:rFonts w:ascii="仿宋" w:hAnsi="仿宋" w:eastAsia="仿宋"/>
          <w:color w:val="000000"/>
          <w:sz w:val="32"/>
          <w:szCs w:val="32"/>
        </w:rPr>
        <w:t>3</w:t>
      </w:r>
      <w:r>
        <w:rPr>
          <w:rFonts w:hint="eastAsia" w:ascii="仿宋" w:hAnsi="仿宋" w:eastAsia="仿宋"/>
          <w:color w:val="000000"/>
          <w:sz w:val="32"/>
          <w:szCs w:val="32"/>
        </w:rPr>
        <w:t>、调查研究和综合分析全县信访形势及信访工作状况，综合推广各乡镇、县直各部门信访工作经验，提出改进和加强信访工作的意见和建议。</w:t>
      </w:r>
    </w:p>
    <w:p>
      <w:pPr>
        <w:spacing w:line="500" w:lineRule="exact"/>
        <w:ind w:firstLine="560"/>
        <w:rPr>
          <w:rFonts w:ascii="仿宋" w:hAnsi="仿宋" w:eastAsia="仿宋"/>
          <w:color w:val="000000"/>
          <w:sz w:val="32"/>
          <w:szCs w:val="32"/>
        </w:rPr>
      </w:pPr>
      <w:r>
        <w:rPr>
          <w:rFonts w:ascii="仿宋" w:hAnsi="仿宋" w:eastAsia="仿宋"/>
          <w:color w:val="000000"/>
          <w:sz w:val="32"/>
          <w:szCs w:val="32"/>
        </w:rPr>
        <w:t>4</w:t>
      </w:r>
      <w:r>
        <w:rPr>
          <w:rFonts w:hint="eastAsia" w:ascii="仿宋" w:hAnsi="仿宋" w:eastAsia="仿宋"/>
          <w:color w:val="000000"/>
          <w:sz w:val="32"/>
          <w:szCs w:val="32"/>
        </w:rPr>
        <w:t>、参与组织、协调、指导全县社会治安综合治理和维护社会政治稳定工作，协助保障国家、省、市和县重大活动顺利进行，参与处理影响社会政治稳定的突发性、群体性事件。</w:t>
      </w:r>
    </w:p>
    <w:p>
      <w:pPr>
        <w:spacing w:line="500" w:lineRule="exact"/>
        <w:ind w:firstLine="560"/>
        <w:rPr>
          <w:rFonts w:ascii="仿宋" w:hAnsi="仿宋" w:eastAsia="仿宋"/>
          <w:color w:val="000000"/>
          <w:sz w:val="32"/>
          <w:szCs w:val="32"/>
        </w:rPr>
      </w:pPr>
      <w:r>
        <w:rPr>
          <w:rFonts w:ascii="仿宋" w:hAnsi="仿宋" w:eastAsia="仿宋"/>
          <w:color w:val="000000"/>
          <w:sz w:val="32"/>
          <w:szCs w:val="32"/>
        </w:rPr>
        <w:t>5</w:t>
      </w:r>
      <w:r>
        <w:rPr>
          <w:rFonts w:hint="eastAsia" w:ascii="仿宋" w:hAnsi="仿宋" w:eastAsia="仿宋"/>
          <w:color w:val="000000"/>
          <w:sz w:val="32"/>
          <w:szCs w:val="32"/>
        </w:rPr>
        <w:t>、督促检查和指导乡镇党委政府和县直部门的信访工作，指导全县信访工作的业务建设。对乡镇党委政府和县直有关部门信访工作年度责任目标进行考核，对全县社会治安综合治理和维护社会政治稳定年度目标中有关信访工作进行考核。</w:t>
      </w:r>
    </w:p>
    <w:p>
      <w:pPr>
        <w:spacing w:line="500" w:lineRule="exact"/>
        <w:ind w:firstLine="560"/>
        <w:rPr>
          <w:rFonts w:ascii="仿宋" w:hAnsi="仿宋" w:eastAsia="仿宋"/>
          <w:color w:val="000000"/>
          <w:sz w:val="32"/>
          <w:szCs w:val="32"/>
        </w:rPr>
      </w:pPr>
      <w:r>
        <w:rPr>
          <w:rFonts w:ascii="仿宋" w:hAnsi="仿宋" w:eastAsia="仿宋"/>
          <w:color w:val="000000"/>
          <w:sz w:val="32"/>
          <w:szCs w:val="32"/>
        </w:rPr>
        <w:t>6</w:t>
      </w:r>
      <w:r>
        <w:rPr>
          <w:rFonts w:hint="eastAsia" w:ascii="仿宋" w:hAnsi="仿宋" w:eastAsia="仿宋"/>
          <w:color w:val="000000"/>
          <w:sz w:val="32"/>
          <w:szCs w:val="32"/>
        </w:rPr>
        <w:t>、协助国家、省、市信访局处理馆陶县群众进京、赴省、到市上访工作；综合协调处理跨地区、跨部门、跨行业的重要信访问题，协助公安机关维护县委、县政府机关正常工作秩序。</w:t>
      </w:r>
    </w:p>
    <w:p>
      <w:pPr>
        <w:spacing w:line="500" w:lineRule="exact"/>
        <w:ind w:firstLine="560"/>
        <w:rPr>
          <w:rFonts w:ascii="仿宋" w:hAnsi="仿宋" w:eastAsia="仿宋"/>
          <w:color w:val="000000"/>
          <w:sz w:val="32"/>
          <w:szCs w:val="32"/>
        </w:rPr>
      </w:pPr>
      <w:r>
        <w:rPr>
          <w:rFonts w:ascii="仿宋" w:hAnsi="仿宋" w:eastAsia="仿宋"/>
          <w:color w:val="000000"/>
          <w:sz w:val="32"/>
          <w:szCs w:val="32"/>
        </w:rPr>
        <w:t>7</w:t>
      </w:r>
      <w:r>
        <w:rPr>
          <w:rFonts w:hint="eastAsia" w:ascii="仿宋" w:hAnsi="仿宋" w:eastAsia="仿宋"/>
          <w:color w:val="000000"/>
          <w:sz w:val="32"/>
          <w:szCs w:val="32"/>
        </w:rPr>
        <w:t>、负责县级领导和县直部门公开接访和包联案件的组织协调工作。</w:t>
      </w:r>
    </w:p>
    <w:p>
      <w:pPr>
        <w:spacing w:line="500" w:lineRule="exact"/>
        <w:ind w:firstLine="560"/>
        <w:rPr>
          <w:rFonts w:ascii="仿宋" w:hAnsi="仿宋" w:eastAsia="仿宋"/>
          <w:color w:val="000000"/>
          <w:sz w:val="32"/>
          <w:szCs w:val="32"/>
        </w:rPr>
      </w:pPr>
      <w:r>
        <w:rPr>
          <w:rFonts w:ascii="仿宋" w:hAnsi="仿宋" w:eastAsia="仿宋"/>
          <w:color w:val="000000"/>
          <w:sz w:val="32"/>
          <w:szCs w:val="32"/>
        </w:rPr>
        <w:t>8</w:t>
      </w:r>
      <w:r>
        <w:rPr>
          <w:rFonts w:hint="eastAsia" w:ascii="仿宋" w:hAnsi="仿宋" w:eastAsia="仿宋"/>
          <w:color w:val="000000"/>
          <w:sz w:val="32"/>
          <w:szCs w:val="32"/>
        </w:rPr>
        <w:t>、承担馆陶县信访工作联席会议的日常工作，督促落实联席会议决定的事项。</w:t>
      </w:r>
    </w:p>
    <w:p>
      <w:pPr>
        <w:spacing w:line="500" w:lineRule="exact"/>
        <w:ind w:firstLine="560"/>
        <w:rPr>
          <w:rFonts w:ascii="仿宋" w:hAnsi="仿宋" w:eastAsia="仿宋"/>
          <w:color w:val="000000"/>
          <w:sz w:val="32"/>
          <w:szCs w:val="32"/>
        </w:rPr>
      </w:pPr>
      <w:r>
        <w:rPr>
          <w:rFonts w:ascii="仿宋" w:hAnsi="仿宋" w:eastAsia="仿宋"/>
          <w:color w:val="000000"/>
          <w:sz w:val="32"/>
          <w:szCs w:val="32"/>
        </w:rPr>
        <w:t>9</w:t>
      </w:r>
      <w:r>
        <w:rPr>
          <w:rFonts w:hint="eastAsia" w:ascii="仿宋" w:hAnsi="仿宋" w:eastAsia="仿宋"/>
          <w:color w:val="000000"/>
          <w:sz w:val="32"/>
          <w:szCs w:val="32"/>
        </w:rPr>
        <w:t>、完成县委县政府以及国家、省、市信访局交办的其他任务。</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部门机构设置情况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rPr>
                <w:rFonts w:hint="eastAsia"/>
              </w:rPr>
              <w:t>单位名称</w:t>
            </w:r>
          </w:p>
        </w:tc>
        <w:tc>
          <w:tcPr>
            <w:tcW w:w="1843" w:type="dxa"/>
            <w:vAlign w:val="center"/>
          </w:tcPr>
          <w:p>
            <w:pPr>
              <w:pStyle w:val="14"/>
            </w:pPr>
            <w:r>
              <w:rPr>
                <w:rFonts w:hint="eastAsia"/>
              </w:rPr>
              <w:t>单位性质</w:t>
            </w:r>
          </w:p>
        </w:tc>
        <w:tc>
          <w:tcPr>
            <w:tcW w:w="2126" w:type="dxa"/>
            <w:vAlign w:val="center"/>
          </w:tcPr>
          <w:p>
            <w:pPr>
              <w:pStyle w:val="14"/>
            </w:pPr>
            <w:r>
              <w:rPr>
                <w:rFonts w:hint="eastAsia"/>
              </w:rPr>
              <w:t>单位规格</w:t>
            </w:r>
          </w:p>
        </w:tc>
        <w:tc>
          <w:tcPr>
            <w:tcW w:w="3827" w:type="dxa"/>
            <w:vAlign w:val="center"/>
          </w:tcPr>
          <w:p>
            <w:pPr>
              <w:pStyle w:val="14"/>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馆陶县信访局本级</w:t>
            </w:r>
          </w:p>
        </w:tc>
        <w:tc>
          <w:tcPr>
            <w:tcW w:w="1843" w:type="dxa"/>
            <w:vAlign w:val="center"/>
          </w:tcPr>
          <w:p>
            <w:pPr>
              <w:pStyle w:val="17"/>
            </w:pPr>
            <w:r>
              <w:rPr>
                <w:rFonts w:hint="eastAsia"/>
              </w:rPr>
              <w:t>行政</w:t>
            </w:r>
          </w:p>
        </w:tc>
        <w:tc>
          <w:tcPr>
            <w:tcW w:w="2126" w:type="dxa"/>
            <w:vAlign w:val="center"/>
          </w:tcPr>
          <w:p>
            <w:pPr>
              <w:pStyle w:val="17"/>
            </w:pPr>
            <w:r>
              <w:rPr>
                <w:rFonts w:hint="eastAsia"/>
              </w:rPr>
              <w:t>正科级</w:t>
            </w:r>
          </w:p>
        </w:tc>
        <w:tc>
          <w:tcPr>
            <w:tcW w:w="3827" w:type="dxa"/>
            <w:vAlign w:val="center"/>
          </w:tcPr>
          <w:p>
            <w:pPr>
              <w:pStyle w:val="17"/>
            </w:pPr>
            <w:r>
              <w:rPr>
                <w:rFonts w:hint="eastAsia"/>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馆陶县信访局（事业）</w:t>
            </w:r>
          </w:p>
        </w:tc>
        <w:tc>
          <w:tcPr>
            <w:tcW w:w="1843" w:type="dxa"/>
            <w:vAlign w:val="center"/>
          </w:tcPr>
          <w:p>
            <w:pPr>
              <w:pStyle w:val="17"/>
            </w:pPr>
            <w:r>
              <w:rPr>
                <w:rFonts w:hint="eastAsia"/>
              </w:rPr>
              <w:t>事业</w:t>
            </w:r>
          </w:p>
        </w:tc>
        <w:tc>
          <w:tcPr>
            <w:tcW w:w="2126" w:type="dxa"/>
            <w:vAlign w:val="center"/>
          </w:tcPr>
          <w:p>
            <w:pPr>
              <w:pStyle w:val="17"/>
            </w:pPr>
            <w:r>
              <w:rPr>
                <w:rFonts w:hint="eastAsia"/>
              </w:rPr>
              <w:t>正科级</w:t>
            </w:r>
          </w:p>
        </w:tc>
        <w:tc>
          <w:tcPr>
            <w:tcW w:w="3827" w:type="dxa"/>
            <w:vAlign w:val="center"/>
          </w:tcPr>
          <w:p>
            <w:pPr>
              <w:pStyle w:val="17"/>
            </w:pPr>
            <w:r>
              <w:rPr>
                <w:rFonts w:hint="eastAsia"/>
              </w:rPr>
              <w:t>财政性资金基本保证</w:t>
            </w:r>
          </w:p>
        </w:tc>
      </w:tr>
    </w:tbl>
    <w:p>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pPr>
        <w:spacing w:line="500" w:lineRule="exact"/>
        <w:ind w:firstLine="560"/>
        <w:rPr>
          <w:rFonts w:ascii="仿宋" w:hAnsi="仿宋" w:eastAsia="仿宋"/>
          <w:color w:val="000000"/>
          <w:sz w:val="32"/>
          <w:szCs w:val="32"/>
        </w:rPr>
      </w:pPr>
      <w:r>
        <w:rPr>
          <w:rFonts w:hint="eastAsia" w:ascii="仿宋" w:hAnsi="仿宋" w:eastAsia="仿宋"/>
          <w:color w:val="000000"/>
          <w:sz w:val="32"/>
          <w:szCs w:val="32"/>
        </w:rPr>
        <w:t>按照预算管理有关规定，目前我省部门预算的编制实行综合预算管理，即全部收入和支出都反映在预算中。馆陶县信访局机关及所属事业单位的收支包含在部门预算中。</w:t>
      </w:r>
    </w:p>
    <w:p>
      <w:pPr>
        <w:spacing w:line="500" w:lineRule="exact"/>
        <w:ind w:firstLine="560"/>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、收入说明</w:t>
      </w:r>
    </w:p>
    <w:p>
      <w:pPr>
        <w:spacing w:line="500" w:lineRule="exact"/>
        <w:ind w:firstLine="560"/>
        <w:rPr>
          <w:rFonts w:ascii="仿宋" w:hAnsi="仿宋" w:eastAsia="仿宋"/>
          <w:color w:val="000000"/>
          <w:sz w:val="32"/>
          <w:szCs w:val="32"/>
        </w:rPr>
      </w:pPr>
      <w:r>
        <w:rPr>
          <w:rFonts w:hint="eastAsia" w:ascii="仿宋" w:hAnsi="仿宋" w:eastAsia="仿宋"/>
          <w:color w:val="000000"/>
          <w:sz w:val="32"/>
          <w:szCs w:val="32"/>
        </w:rPr>
        <w:t>反映本部门当年全部收入。</w:t>
      </w:r>
      <w:r>
        <w:rPr>
          <w:rFonts w:ascii="仿宋" w:hAnsi="仿宋" w:eastAsia="仿宋"/>
          <w:color w:val="000000"/>
          <w:sz w:val="32"/>
          <w:szCs w:val="32"/>
        </w:rPr>
        <w:t>2022</w:t>
      </w:r>
      <w:r>
        <w:rPr>
          <w:rFonts w:hint="eastAsia" w:ascii="仿宋" w:hAnsi="仿宋" w:eastAsia="仿宋"/>
          <w:color w:val="000000"/>
          <w:sz w:val="32"/>
          <w:szCs w:val="32"/>
        </w:rPr>
        <w:t>年预算收入</w:t>
      </w:r>
      <w:r>
        <w:rPr>
          <w:rFonts w:ascii="仿宋" w:hAnsi="仿宋" w:eastAsia="仿宋"/>
          <w:color w:val="000000"/>
          <w:sz w:val="32"/>
          <w:szCs w:val="32"/>
        </w:rPr>
        <w:t>371.88</w:t>
      </w:r>
      <w:r>
        <w:rPr>
          <w:rFonts w:hint="eastAsia" w:ascii="仿宋" w:hAnsi="仿宋" w:eastAsia="仿宋"/>
          <w:color w:val="000000"/>
          <w:sz w:val="32"/>
          <w:szCs w:val="32"/>
        </w:rPr>
        <w:t>万元。其中：一般公共预算收入</w:t>
      </w:r>
      <w:r>
        <w:rPr>
          <w:rFonts w:ascii="仿宋" w:hAnsi="仿宋" w:eastAsia="仿宋"/>
          <w:color w:val="000000"/>
          <w:sz w:val="32"/>
          <w:szCs w:val="32"/>
        </w:rPr>
        <w:t>371.88</w:t>
      </w:r>
      <w:r>
        <w:rPr>
          <w:rFonts w:hint="eastAsia" w:ascii="仿宋" w:hAnsi="仿宋" w:eastAsia="仿宋"/>
          <w:color w:val="000000"/>
          <w:sz w:val="32"/>
          <w:szCs w:val="32"/>
        </w:rPr>
        <w:t>万元，基金预算收入</w:t>
      </w:r>
      <w:r>
        <w:rPr>
          <w:rFonts w:ascii="仿宋" w:hAnsi="仿宋" w:eastAsia="仿宋"/>
          <w:color w:val="000000"/>
          <w:sz w:val="32"/>
          <w:szCs w:val="32"/>
        </w:rPr>
        <w:t>0</w:t>
      </w:r>
      <w:r>
        <w:rPr>
          <w:rFonts w:hint="eastAsia" w:ascii="仿宋" w:hAnsi="仿宋" w:eastAsia="仿宋"/>
          <w:color w:val="000000"/>
          <w:sz w:val="32"/>
          <w:szCs w:val="32"/>
        </w:rPr>
        <w:t>万元，其他来源收入</w:t>
      </w:r>
      <w:r>
        <w:rPr>
          <w:rFonts w:ascii="仿宋" w:hAnsi="仿宋" w:eastAsia="仿宋"/>
          <w:color w:val="000000"/>
          <w:sz w:val="32"/>
          <w:szCs w:val="32"/>
        </w:rPr>
        <w:t>0</w:t>
      </w:r>
      <w:r>
        <w:rPr>
          <w:rFonts w:hint="eastAsia" w:ascii="仿宋" w:hAnsi="仿宋" w:eastAsia="仿宋"/>
          <w:color w:val="000000"/>
          <w:sz w:val="32"/>
          <w:szCs w:val="32"/>
        </w:rPr>
        <w:t>万元。</w:t>
      </w:r>
    </w:p>
    <w:p>
      <w:pPr>
        <w:spacing w:line="500" w:lineRule="exact"/>
        <w:ind w:firstLine="560"/>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、支出说明</w:t>
      </w:r>
    </w:p>
    <w:p>
      <w:pPr>
        <w:spacing w:line="500" w:lineRule="exact"/>
        <w:ind w:firstLine="560"/>
        <w:rPr>
          <w:rFonts w:ascii="仿宋" w:hAnsi="仿宋" w:eastAsia="仿宋"/>
          <w:color w:val="000000"/>
          <w:sz w:val="32"/>
          <w:szCs w:val="32"/>
        </w:rPr>
      </w:pPr>
      <w:r>
        <w:rPr>
          <w:rFonts w:hint="eastAsia" w:ascii="仿宋" w:hAnsi="仿宋" w:eastAsia="仿宋"/>
          <w:color w:val="000000"/>
          <w:sz w:val="32"/>
          <w:szCs w:val="32"/>
        </w:rPr>
        <w:t>收支预算总表支出栏、基本支出表、项目支出表按经济分类和支出功能分类科目编制，反映馆陶县信访局年度部门预算中支出预算的总体情况。</w:t>
      </w:r>
      <w:r>
        <w:rPr>
          <w:rFonts w:ascii="仿宋" w:hAnsi="仿宋" w:eastAsia="仿宋"/>
          <w:color w:val="000000"/>
          <w:sz w:val="32"/>
          <w:szCs w:val="32"/>
        </w:rPr>
        <w:t>2022</w:t>
      </w:r>
      <w:r>
        <w:rPr>
          <w:rFonts w:hint="eastAsia" w:ascii="仿宋" w:hAnsi="仿宋" w:eastAsia="仿宋"/>
          <w:color w:val="000000"/>
          <w:sz w:val="32"/>
          <w:szCs w:val="32"/>
        </w:rPr>
        <w:t>年部门支出预算为</w:t>
      </w:r>
      <w:r>
        <w:rPr>
          <w:rFonts w:ascii="仿宋" w:hAnsi="仿宋" w:eastAsia="仿宋"/>
          <w:color w:val="000000"/>
          <w:sz w:val="32"/>
          <w:szCs w:val="32"/>
        </w:rPr>
        <w:t>371.88</w:t>
      </w:r>
      <w:r>
        <w:rPr>
          <w:rFonts w:hint="eastAsia" w:ascii="仿宋" w:hAnsi="仿宋" w:eastAsia="仿宋"/>
          <w:color w:val="000000"/>
          <w:sz w:val="32"/>
          <w:szCs w:val="32"/>
        </w:rPr>
        <w:t>万元，其中基本支出</w:t>
      </w:r>
      <w:r>
        <w:rPr>
          <w:rFonts w:ascii="仿宋" w:hAnsi="仿宋" w:eastAsia="仿宋"/>
          <w:color w:val="000000"/>
          <w:sz w:val="32"/>
          <w:szCs w:val="32"/>
        </w:rPr>
        <w:t>259.</w:t>
      </w:r>
      <w:r>
        <w:rPr>
          <w:rFonts w:ascii="仿宋" w:hAnsi="仿宋" w:eastAsia="仿宋"/>
          <w:color w:val="000000"/>
          <w:sz w:val="32"/>
          <w:szCs w:val="32"/>
          <w:lang w:eastAsia="zh-CN"/>
        </w:rPr>
        <w:t>0</w:t>
      </w:r>
      <w:r>
        <w:rPr>
          <w:rFonts w:ascii="仿宋" w:hAnsi="仿宋" w:eastAsia="仿宋"/>
          <w:color w:val="000000"/>
          <w:sz w:val="32"/>
          <w:szCs w:val="32"/>
        </w:rPr>
        <w:t>8</w:t>
      </w:r>
      <w:r>
        <w:rPr>
          <w:rFonts w:hint="eastAsia" w:ascii="仿宋" w:hAnsi="仿宋" w:eastAsia="仿宋"/>
          <w:color w:val="000000"/>
          <w:sz w:val="32"/>
          <w:szCs w:val="32"/>
        </w:rPr>
        <w:t>万元，包括人员经费</w:t>
      </w:r>
      <w:r>
        <w:rPr>
          <w:rFonts w:ascii="仿宋" w:hAnsi="仿宋" w:eastAsia="仿宋"/>
          <w:color w:val="000000"/>
          <w:sz w:val="32"/>
          <w:szCs w:val="32"/>
        </w:rPr>
        <w:t>249.41</w:t>
      </w:r>
      <w:r>
        <w:rPr>
          <w:rFonts w:hint="eastAsia" w:ascii="仿宋" w:hAnsi="仿宋" w:eastAsia="仿宋"/>
          <w:color w:val="000000"/>
          <w:sz w:val="32"/>
          <w:szCs w:val="32"/>
        </w:rPr>
        <w:t>万元和公用经费</w:t>
      </w:r>
      <w:r>
        <w:rPr>
          <w:rFonts w:ascii="仿宋" w:hAnsi="仿宋" w:eastAsia="仿宋"/>
          <w:color w:val="000000"/>
          <w:sz w:val="32"/>
          <w:szCs w:val="32"/>
        </w:rPr>
        <w:t>9.67</w:t>
      </w:r>
      <w:r>
        <w:rPr>
          <w:rFonts w:hint="eastAsia" w:ascii="仿宋" w:hAnsi="仿宋" w:eastAsia="仿宋"/>
          <w:color w:val="000000"/>
          <w:sz w:val="32"/>
          <w:szCs w:val="32"/>
        </w:rPr>
        <w:t>万元；项目支出</w:t>
      </w:r>
      <w:r>
        <w:rPr>
          <w:rFonts w:ascii="仿宋" w:hAnsi="仿宋" w:eastAsia="仿宋"/>
          <w:color w:val="000000"/>
          <w:sz w:val="32"/>
          <w:szCs w:val="32"/>
        </w:rPr>
        <w:t>112.8</w:t>
      </w:r>
      <w:r>
        <w:rPr>
          <w:rFonts w:hint="eastAsia" w:ascii="仿宋" w:hAnsi="仿宋" w:eastAsia="仿宋"/>
          <w:color w:val="000000"/>
          <w:sz w:val="32"/>
          <w:szCs w:val="32"/>
        </w:rPr>
        <w:t>万元，主要为驻京、省信访常态化值班支出</w:t>
      </w:r>
      <w:r>
        <w:rPr>
          <w:rFonts w:ascii="仿宋" w:hAnsi="仿宋" w:eastAsia="仿宋"/>
          <w:color w:val="000000"/>
          <w:sz w:val="32"/>
          <w:szCs w:val="32"/>
        </w:rPr>
        <w:t>50</w:t>
      </w:r>
      <w:r>
        <w:rPr>
          <w:rFonts w:hint="eastAsia" w:ascii="仿宋" w:hAnsi="仿宋" w:eastAsia="仿宋"/>
          <w:color w:val="000000"/>
          <w:sz w:val="32"/>
          <w:szCs w:val="32"/>
        </w:rPr>
        <w:t>万元，律师陪同接访支出</w:t>
      </w:r>
      <w:r>
        <w:rPr>
          <w:rFonts w:ascii="仿宋" w:hAnsi="仿宋" w:eastAsia="仿宋"/>
          <w:color w:val="000000"/>
          <w:sz w:val="32"/>
          <w:szCs w:val="32"/>
        </w:rPr>
        <w:t>7.8</w:t>
      </w:r>
      <w:r>
        <w:rPr>
          <w:rFonts w:hint="eastAsia" w:ascii="仿宋" w:hAnsi="仿宋" w:eastAsia="仿宋"/>
          <w:color w:val="000000"/>
          <w:sz w:val="32"/>
          <w:szCs w:val="32"/>
        </w:rPr>
        <w:t>万元，信访维稳救助基金支出</w:t>
      </w:r>
      <w:r>
        <w:rPr>
          <w:rFonts w:ascii="仿宋" w:hAnsi="仿宋" w:eastAsia="仿宋"/>
          <w:color w:val="000000"/>
          <w:sz w:val="32"/>
          <w:szCs w:val="32"/>
        </w:rPr>
        <w:t>50</w:t>
      </w:r>
      <w:r>
        <w:rPr>
          <w:rFonts w:hint="eastAsia" w:ascii="仿宋" w:hAnsi="仿宋" w:eastAsia="仿宋"/>
          <w:color w:val="000000"/>
          <w:sz w:val="32"/>
          <w:szCs w:val="32"/>
        </w:rPr>
        <w:t>万元，群众工作中心运维经费</w:t>
      </w:r>
      <w:r>
        <w:rPr>
          <w:rFonts w:ascii="仿宋" w:hAnsi="仿宋" w:eastAsia="仿宋"/>
          <w:color w:val="000000"/>
          <w:sz w:val="32"/>
          <w:szCs w:val="32"/>
        </w:rPr>
        <w:t>5</w:t>
      </w:r>
      <w:r>
        <w:rPr>
          <w:rFonts w:hint="eastAsia" w:ascii="仿宋" w:hAnsi="仿宋" w:eastAsia="仿宋"/>
          <w:color w:val="000000"/>
          <w:sz w:val="32"/>
          <w:szCs w:val="32"/>
        </w:rPr>
        <w:t>万元。</w:t>
      </w:r>
    </w:p>
    <w:p>
      <w:pPr>
        <w:spacing w:line="500" w:lineRule="exact"/>
        <w:ind w:firstLine="560"/>
        <w:rPr>
          <w:rFonts w:ascii="仿宋" w:hAnsi="仿宋" w:eastAsia="仿宋"/>
          <w:color w:val="000000"/>
          <w:sz w:val="32"/>
          <w:szCs w:val="32"/>
        </w:rPr>
      </w:pPr>
      <w:r>
        <w:rPr>
          <w:rFonts w:ascii="仿宋" w:hAnsi="仿宋" w:eastAsia="仿宋"/>
          <w:color w:val="000000"/>
          <w:sz w:val="32"/>
          <w:szCs w:val="32"/>
        </w:rPr>
        <w:t>3</w:t>
      </w:r>
      <w:r>
        <w:rPr>
          <w:rFonts w:hint="eastAsia" w:ascii="仿宋" w:hAnsi="仿宋" w:eastAsia="仿宋"/>
          <w:color w:val="000000"/>
          <w:sz w:val="32"/>
          <w:szCs w:val="32"/>
        </w:rPr>
        <w:t>、比上年增减情况</w:t>
      </w:r>
    </w:p>
    <w:p>
      <w:pPr>
        <w:spacing w:line="500" w:lineRule="exact"/>
        <w:ind w:firstLine="560"/>
        <w:rPr>
          <w:rFonts w:ascii="仿宋" w:hAnsi="仿宋" w:eastAsia="仿宋"/>
          <w:color w:val="000000"/>
          <w:sz w:val="32"/>
          <w:szCs w:val="32"/>
        </w:rPr>
      </w:pPr>
      <w:r>
        <w:rPr>
          <w:rFonts w:ascii="仿宋" w:hAnsi="仿宋" w:eastAsia="仿宋"/>
          <w:color w:val="000000"/>
          <w:sz w:val="32"/>
          <w:szCs w:val="32"/>
        </w:rPr>
        <w:t>2022</w:t>
      </w:r>
      <w:r>
        <w:rPr>
          <w:rFonts w:hint="eastAsia" w:ascii="仿宋" w:hAnsi="仿宋" w:eastAsia="仿宋"/>
          <w:color w:val="000000"/>
          <w:sz w:val="32"/>
          <w:szCs w:val="32"/>
        </w:rPr>
        <w:t>年预算收支安排</w:t>
      </w:r>
      <w:r>
        <w:rPr>
          <w:rFonts w:ascii="仿宋" w:hAnsi="仿宋" w:eastAsia="仿宋"/>
          <w:color w:val="000000"/>
          <w:sz w:val="32"/>
          <w:szCs w:val="32"/>
        </w:rPr>
        <w:t>371.88</w:t>
      </w:r>
      <w:r>
        <w:rPr>
          <w:rFonts w:hint="eastAsia" w:ascii="仿宋" w:hAnsi="仿宋" w:eastAsia="仿宋"/>
          <w:color w:val="000000"/>
          <w:sz w:val="32"/>
          <w:szCs w:val="32"/>
        </w:rPr>
        <w:t>万元，较</w:t>
      </w:r>
      <w:r>
        <w:rPr>
          <w:rFonts w:ascii="仿宋" w:hAnsi="仿宋" w:eastAsia="仿宋"/>
          <w:color w:val="000000"/>
          <w:sz w:val="32"/>
          <w:szCs w:val="32"/>
        </w:rPr>
        <w:t>2021</w:t>
      </w:r>
      <w:r>
        <w:rPr>
          <w:rFonts w:hint="eastAsia" w:ascii="仿宋" w:hAnsi="仿宋" w:eastAsia="仿宋"/>
          <w:color w:val="000000"/>
          <w:sz w:val="32"/>
          <w:szCs w:val="32"/>
        </w:rPr>
        <w:t>年预算增加</w:t>
      </w:r>
      <w:r>
        <w:rPr>
          <w:rFonts w:ascii="仿宋" w:hAnsi="仿宋" w:eastAsia="仿宋"/>
          <w:color w:val="000000"/>
          <w:sz w:val="32"/>
          <w:szCs w:val="32"/>
        </w:rPr>
        <w:t>93.17</w:t>
      </w:r>
      <w:r>
        <w:rPr>
          <w:rFonts w:hint="eastAsia" w:ascii="仿宋" w:hAnsi="仿宋" w:eastAsia="仿宋"/>
          <w:color w:val="000000"/>
          <w:sz w:val="32"/>
          <w:szCs w:val="32"/>
        </w:rPr>
        <w:t>万元，其中：基本支出增加</w:t>
      </w:r>
      <w:r>
        <w:rPr>
          <w:rFonts w:ascii="仿宋" w:hAnsi="仿宋" w:eastAsia="仿宋"/>
          <w:color w:val="000000"/>
          <w:sz w:val="32"/>
          <w:szCs w:val="32"/>
          <w:lang w:eastAsia="zh-CN"/>
        </w:rPr>
        <w:t>98.67</w:t>
      </w:r>
      <w:r>
        <w:rPr>
          <w:rFonts w:hint="eastAsia" w:ascii="仿宋" w:hAnsi="仿宋" w:eastAsia="仿宋"/>
          <w:color w:val="000000"/>
          <w:sz w:val="32"/>
          <w:szCs w:val="32"/>
        </w:rPr>
        <w:t>万元，主要是新招录</w:t>
      </w:r>
      <w:r>
        <w:rPr>
          <w:rFonts w:ascii="仿宋" w:hAnsi="仿宋" w:eastAsia="仿宋"/>
          <w:color w:val="000000"/>
          <w:sz w:val="32"/>
          <w:szCs w:val="32"/>
        </w:rPr>
        <w:t>3</w:t>
      </w:r>
      <w:r>
        <w:rPr>
          <w:rFonts w:hint="eastAsia" w:ascii="仿宋" w:hAnsi="仿宋" w:eastAsia="仿宋"/>
          <w:color w:val="000000"/>
          <w:sz w:val="32"/>
          <w:szCs w:val="32"/>
        </w:rPr>
        <w:t>名公务员、</w:t>
      </w:r>
      <w:r>
        <w:rPr>
          <w:rFonts w:ascii="仿宋" w:hAnsi="仿宋" w:eastAsia="仿宋"/>
          <w:color w:val="000000"/>
          <w:sz w:val="32"/>
          <w:szCs w:val="32"/>
        </w:rPr>
        <w:t>3</w:t>
      </w:r>
      <w:r>
        <w:rPr>
          <w:rFonts w:hint="eastAsia" w:ascii="仿宋" w:hAnsi="仿宋" w:eastAsia="仿宋"/>
          <w:color w:val="000000"/>
          <w:sz w:val="32"/>
          <w:szCs w:val="32"/>
        </w:rPr>
        <w:t>名人事代理人员及</w:t>
      </w:r>
      <w:r>
        <w:rPr>
          <w:rFonts w:ascii="仿宋" w:hAnsi="仿宋" w:eastAsia="仿宋"/>
          <w:color w:val="000000"/>
          <w:sz w:val="32"/>
          <w:szCs w:val="32"/>
        </w:rPr>
        <w:t>18</w:t>
      </w:r>
      <w:r>
        <w:rPr>
          <w:rFonts w:hint="eastAsia" w:ascii="仿宋" w:hAnsi="仿宋" w:eastAsia="仿宋"/>
          <w:color w:val="000000"/>
          <w:sz w:val="32"/>
          <w:szCs w:val="32"/>
        </w:rPr>
        <w:t>名劳务派遣人员，人员经费增加；项目支出减少</w:t>
      </w:r>
      <w:r>
        <w:rPr>
          <w:rFonts w:ascii="仿宋" w:hAnsi="仿宋" w:eastAsia="仿宋"/>
          <w:color w:val="000000"/>
          <w:sz w:val="32"/>
          <w:szCs w:val="32"/>
        </w:rPr>
        <w:t>5.5</w:t>
      </w:r>
      <w:r>
        <w:rPr>
          <w:rFonts w:hint="eastAsia" w:ascii="仿宋" w:hAnsi="仿宋" w:eastAsia="仿宋"/>
          <w:color w:val="000000"/>
          <w:sz w:val="32"/>
          <w:szCs w:val="32"/>
        </w:rPr>
        <w:t>万元，主要是今年减少了群众工作中心建设设备资金。</w:t>
      </w:r>
    </w:p>
    <w:p>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pPr>
        <w:pStyle w:val="23"/>
        <w:rPr>
          <w:rFonts w:ascii="仿宋" w:hAnsi="仿宋" w:eastAsia="仿宋"/>
          <w:color w:val="000000"/>
          <w:sz w:val="32"/>
          <w:szCs w:val="32"/>
        </w:rPr>
      </w:pPr>
      <w:r>
        <w:rPr>
          <w:rFonts w:ascii="仿宋" w:hAnsi="仿宋" w:eastAsia="仿宋"/>
          <w:color w:val="000000"/>
          <w:sz w:val="32"/>
          <w:szCs w:val="32"/>
        </w:rPr>
        <w:t>2022</w:t>
      </w:r>
      <w:r>
        <w:rPr>
          <w:rFonts w:hint="eastAsia" w:ascii="仿宋" w:hAnsi="仿宋" w:eastAsia="仿宋"/>
          <w:color w:val="000000"/>
          <w:sz w:val="32"/>
          <w:szCs w:val="32"/>
        </w:rPr>
        <w:t>年，我部门机关运行经费共计安排</w:t>
      </w:r>
      <w:r>
        <w:rPr>
          <w:rFonts w:ascii="仿宋" w:hAnsi="仿宋" w:eastAsia="仿宋"/>
          <w:color w:val="000000"/>
          <w:sz w:val="32"/>
          <w:szCs w:val="32"/>
        </w:rPr>
        <w:t>4.</w:t>
      </w:r>
      <w:r>
        <w:rPr>
          <w:rFonts w:ascii="仿宋" w:hAnsi="仿宋" w:eastAsia="仿宋"/>
          <w:color w:val="000000"/>
          <w:sz w:val="32"/>
          <w:szCs w:val="32"/>
          <w:lang w:eastAsia="zh-CN"/>
        </w:rPr>
        <w:t>67</w:t>
      </w:r>
      <w:r>
        <w:rPr>
          <w:rFonts w:hint="eastAsia" w:ascii="仿宋" w:hAnsi="仿宋" w:eastAsia="仿宋"/>
          <w:color w:val="000000"/>
          <w:sz w:val="32"/>
          <w:szCs w:val="32"/>
        </w:rPr>
        <w:t>万元，主要用于保证机关正常运转的办公及印刷费、邮电费、差旅费、会议费、一般设备购置费、办公用房水电费、日常维修费、公务用车运行维护费等支出。</w:t>
      </w:r>
    </w:p>
    <w:p>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pPr>
        <w:pStyle w:val="24"/>
        <w:rPr>
          <w:rFonts w:ascii="仿宋" w:hAnsi="仿宋" w:eastAsia="仿宋"/>
          <w:color w:val="000000"/>
          <w:sz w:val="32"/>
          <w:szCs w:val="32"/>
        </w:rPr>
      </w:pPr>
      <w:r>
        <w:rPr>
          <w:rFonts w:ascii="仿宋" w:hAnsi="仿宋" w:eastAsia="仿宋"/>
          <w:color w:val="000000"/>
          <w:sz w:val="32"/>
          <w:szCs w:val="32"/>
        </w:rPr>
        <w:t>2022</w:t>
      </w:r>
      <w:r>
        <w:rPr>
          <w:rFonts w:hint="eastAsia" w:ascii="仿宋" w:hAnsi="仿宋" w:eastAsia="仿宋"/>
          <w:color w:val="000000"/>
          <w:sz w:val="32"/>
          <w:szCs w:val="32"/>
        </w:rPr>
        <w:t>年，我部门财政拨款</w:t>
      </w:r>
      <w:r>
        <w:rPr>
          <w:rFonts w:ascii="仿宋" w:hAnsi="仿宋" w:eastAsia="仿宋"/>
          <w:color w:val="000000"/>
          <w:sz w:val="32"/>
          <w:szCs w:val="32"/>
        </w:rPr>
        <w:t>“</w:t>
      </w:r>
      <w:r>
        <w:rPr>
          <w:rFonts w:hint="eastAsia" w:ascii="仿宋" w:hAnsi="仿宋" w:eastAsia="仿宋"/>
          <w:color w:val="000000"/>
          <w:sz w:val="32"/>
          <w:szCs w:val="32"/>
        </w:rPr>
        <w:t>三公</w:t>
      </w:r>
      <w:r>
        <w:rPr>
          <w:rFonts w:ascii="仿宋" w:hAnsi="仿宋" w:eastAsia="仿宋"/>
          <w:color w:val="000000"/>
          <w:sz w:val="32"/>
          <w:szCs w:val="32"/>
        </w:rPr>
        <w:t>”</w:t>
      </w:r>
      <w:r>
        <w:rPr>
          <w:rFonts w:hint="eastAsia" w:ascii="仿宋" w:hAnsi="仿宋" w:eastAsia="仿宋"/>
          <w:color w:val="000000"/>
          <w:sz w:val="32"/>
          <w:szCs w:val="32"/>
        </w:rPr>
        <w:t>经费预算安排</w:t>
      </w:r>
      <w:r>
        <w:rPr>
          <w:rFonts w:ascii="仿宋" w:hAnsi="仿宋" w:eastAsia="仿宋"/>
          <w:color w:val="000000"/>
          <w:sz w:val="32"/>
          <w:szCs w:val="32"/>
        </w:rPr>
        <w:t>1.9</w:t>
      </w:r>
      <w:r>
        <w:rPr>
          <w:rFonts w:hint="eastAsia" w:ascii="仿宋" w:hAnsi="仿宋" w:eastAsia="仿宋"/>
          <w:color w:val="000000"/>
          <w:sz w:val="32"/>
          <w:szCs w:val="32"/>
        </w:rPr>
        <w:t>万元，其中：因公出国（境）费</w:t>
      </w:r>
      <w:r>
        <w:rPr>
          <w:rFonts w:ascii="仿宋" w:hAnsi="仿宋" w:eastAsia="仿宋"/>
          <w:color w:val="000000"/>
          <w:sz w:val="32"/>
          <w:szCs w:val="32"/>
        </w:rPr>
        <w:t>0</w:t>
      </w:r>
      <w:r>
        <w:rPr>
          <w:rFonts w:hint="eastAsia" w:ascii="仿宋" w:hAnsi="仿宋" w:eastAsia="仿宋"/>
          <w:color w:val="000000"/>
          <w:sz w:val="32"/>
          <w:szCs w:val="32"/>
        </w:rPr>
        <w:t>万元；公务用车购置及运维费</w:t>
      </w:r>
      <w:r>
        <w:rPr>
          <w:rFonts w:ascii="仿宋" w:hAnsi="仿宋" w:eastAsia="仿宋"/>
          <w:color w:val="000000"/>
          <w:sz w:val="32"/>
          <w:szCs w:val="32"/>
        </w:rPr>
        <w:t>1.8</w:t>
      </w:r>
      <w:r>
        <w:rPr>
          <w:rFonts w:hint="eastAsia" w:ascii="仿宋" w:hAnsi="仿宋" w:eastAsia="仿宋"/>
          <w:color w:val="000000"/>
          <w:sz w:val="32"/>
          <w:szCs w:val="32"/>
        </w:rPr>
        <w:t>万元（其中：公务用车购置费</w:t>
      </w:r>
      <w:r>
        <w:rPr>
          <w:rFonts w:ascii="仿宋" w:hAnsi="仿宋" w:eastAsia="仿宋"/>
          <w:color w:val="000000"/>
          <w:sz w:val="32"/>
          <w:szCs w:val="32"/>
        </w:rPr>
        <w:t>0</w:t>
      </w:r>
      <w:r>
        <w:rPr>
          <w:rFonts w:hint="eastAsia" w:ascii="仿宋" w:hAnsi="仿宋" w:eastAsia="仿宋"/>
          <w:color w:val="000000"/>
          <w:sz w:val="32"/>
          <w:szCs w:val="32"/>
        </w:rPr>
        <w:t>万元，公务用车运行维护费</w:t>
      </w:r>
      <w:r>
        <w:rPr>
          <w:rFonts w:ascii="仿宋" w:hAnsi="仿宋" w:eastAsia="仿宋"/>
          <w:color w:val="000000"/>
          <w:sz w:val="32"/>
          <w:szCs w:val="32"/>
        </w:rPr>
        <w:t>1.8</w:t>
      </w:r>
      <w:r>
        <w:rPr>
          <w:rFonts w:hint="eastAsia" w:ascii="仿宋" w:hAnsi="仿宋" w:eastAsia="仿宋"/>
          <w:color w:val="000000"/>
          <w:sz w:val="32"/>
          <w:szCs w:val="32"/>
        </w:rPr>
        <w:t>万元</w:t>
      </w:r>
      <w:r>
        <w:rPr>
          <w:rFonts w:ascii="仿宋" w:hAnsi="仿宋" w:eastAsia="仿宋"/>
          <w:color w:val="000000"/>
          <w:sz w:val="32"/>
          <w:szCs w:val="32"/>
        </w:rPr>
        <w:t>)</w:t>
      </w:r>
      <w:r>
        <w:rPr>
          <w:rFonts w:hint="eastAsia" w:ascii="仿宋" w:hAnsi="仿宋" w:eastAsia="仿宋"/>
          <w:color w:val="000000"/>
          <w:sz w:val="32"/>
          <w:szCs w:val="32"/>
        </w:rPr>
        <w:t>；公务接待费</w:t>
      </w:r>
      <w:r>
        <w:rPr>
          <w:rFonts w:ascii="仿宋" w:hAnsi="仿宋" w:eastAsia="仿宋"/>
          <w:color w:val="000000"/>
          <w:sz w:val="32"/>
          <w:szCs w:val="32"/>
        </w:rPr>
        <w:t>0.1</w:t>
      </w:r>
      <w:r>
        <w:rPr>
          <w:rFonts w:hint="eastAsia" w:ascii="仿宋" w:hAnsi="仿宋" w:eastAsia="仿宋"/>
          <w:color w:val="000000"/>
          <w:sz w:val="32"/>
          <w:szCs w:val="32"/>
        </w:rPr>
        <w:t>万元。</w:t>
      </w:r>
      <w:r>
        <w:rPr>
          <w:rFonts w:ascii="仿宋" w:hAnsi="仿宋" w:eastAsia="仿宋"/>
          <w:color w:val="000000"/>
          <w:sz w:val="32"/>
          <w:szCs w:val="32"/>
        </w:rPr>
        <w:t>“</w:t>
      </w:r>
      <w:r>
        <w:rPr>
          <w:rFonts w:hint="eastAsia" w:ascii="仿宋" w:hAnsi="仿宋" w:eastAsia="仿宋"/>
          <w:color w:val="000000"/>
          <w:sz w:val="32"/>
          <w:szCs w:val="32"/>
        </w:rPr>
        <w:t>三公</w:t>
      </w:r>
      <w:r>
        <w:rPr>
          <w:rFonts w:ascii="仿宋" w:hAnsi="仿宋" w:eastAsia="仿宋"/>
          <w:color w:val="000000"/>
          <w:sz w:val="32"/>
          <w:szCs w:val="32"/>
        </w:rPr>
        <w:t>”</w:t>
      </w:r>
      <w:r>
        <w:rPr>
          <w:rFonts w:hint="eastAsia" w:ascii="仿宋" w:hAnsi="仿宋" w:eastAsia="仿宋"/>
          <w:color w:val="000000"/>
          <w:sz w:val="32"/>
          <w:szCs w:val="32"/>
        </w:rPr>
        <w:t>经费与上年持平，无增减变化。</w:t>
      </w:r>
    </w:p>
    <w:p>
      <w:pPr>
        <w:spacing w:before="10" w:after="10" w:line="360" w:lineRule="auto"/>
        <w:ind w:firstLine="640"/>
        <w:outlineLvl w:val="2"/>
        <w:rPr>
          <w:rFonts w:ascii="黑体" w:hAnsi="黑体" w:eastAsia="黑体" w:cs="黑体"/>
          <w:color w:val="000000"/>
          <w:sz w:val="32"/>
          <w:lang w:eastAsia="zh-CN"/>
        </w:rPr>
      </w:pPr>
      <w:bookmarkStart w:id="13" w:name="_Toc_3_3_0000000014"/>
    </w:p>
    <w:p>
      <w:pPr>
        <w:spacing w:before="10" w:after="10" w:line="360" w:lineRule="auto"/>
        <w:ind w:firstLine="640"/>
        <w:outlineLvl w:val="2"/>
      </w:pPr>
      <w:r>
        <w:rPr>
          <w:rFonts w:hint="eastAsia" w:ascii="黑体" w:hAnsi="黑体" w:eastAsia="黑体" w:cs="黑体"/>
          <w:color w:val="000000"/>
          <w:sz w:val="32"/>
        </w:rPr>
        <w:t>五、预算绩效信息</w:t>
      </w:r>
      <w:bookmarkEnd w:id="13"/>
    </w:p>
    <w:p>
      <w:pPr>
        <w:ind w:firstLine="640"/>
      </w:pPr>
      <w:r>
        <w:rPr>
          <w:rFonts w:hint="eastAsia" w:ascii="方正楷体_GBK" w:hAnsi="方正楷体_GBK" w:eastAsia="方正楷体_GBK" w:cs="方正楷体_GBK"/>
          <w:b/>
          <w:color w:val="000000"/>
          <w:sz w:val="32"/>
        </w:rPr>
        <w:t>第一部分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部门整体绩效目标</w:t>
      </w:r>
    </w:p>
    <w:p>
      <w:pPr>
        <w:spacing w:line="500" w:lineRule="exact"/>
        <w:ind w:firstLine="560"/>
        <w:rPr>
          <w:rFonts w:ascii="仿宋" w:hAnsi="仿宋" w:eastAsia="仿宋"/>
          <w:color w:val="000000"/>
          <w:sz w:val="32"/>
          <w:szCs w:val="32"/>
        </w:rPr>
      </w:pPr>
      <w:r>
        <w:rPr>
          <w:rFonts w:hint="eastAsia" w:ascii="仿宋" w:hAnsi="仿宋" w:eastAsia="仿宋"/>
          <w:color w:val="000000"/>
          <w:sz w:val="32"/>
          <w:szCs w:val="32"/>
        </w:rPr>
        <w:t>（一）总体绩效目标</w:t>
      </w:r>
    </w:p>
    <w:p>
      <w:pPr>
        <w:pStyle w:val="25"/>
        <w:ind w:firstLine="640" w:firstLineChars="200"/>
        <w:rPr>
          <w:rFonts w:ascii="仿宋" w:hAnsi="仿宋" w:eastAsia="仿宋"/>
          <w:color w:val="000000"/>
          <w:sz w:val="32"/>
          <w:szCs w:val="32"/>
        </w:rPr>
      </w:pPr>
      <w:r>
        <w:rPr>
          <w:rFonts w:ascii="仿宋" w:hAnsi="仿宋" w:eastAsia="仿宋"/>
          <w:color w:val="000000"/>
          <w:sz w:val="32"/>
          <w:szCs w:val="32"/>
        </w:rPr>
        <w:t>2022</w:t>
      </w:r>
      <w:r>
        <w:rPr>
          <w:rFonts w:hint="eastAsia" w:ascii="仿宋" w:hAnsi="仿宋" w:eastAsia="仿宋"/>
          <w:color w:val="000000"/>
          <w:sz w:val="32"/>
          <w:szCs w:val="32"/>
        </w:rPr>
        <w:t>年，我部门的年度规划目标是：全面贯彻落实中央省市县决策部署及习近平总书记、省委书记王东峰、市县委主要领导对信访工作重要批示精神，以</w:t>
      </w:r>
      <w:r>
        <w:rPr>
          <w:rFonts w:ascii="仿宋" w:hAnsi="仿宋" w:eastAsia="仿宋"/>
          <w:color w:val="000000"/>
          <w:sz w:val="32"/>
          <w:szCs w:val="32"/>
        </w:rPr>
        <w:t>“</w:t>
      </w:r>
      <w:r>
        <w:rPr>
          <w:rFonts w:hint="eastAsia" w:ascii="仿宋" w:hAnsi="仿宋" w:eastAsia="仿宋"/>
          <w:color w:val="000000"/>
          <w:sz w:val="32"/>
          <w:szCs w:val="32"/>
        </w:rPr>
        <w:t>事要解决、息诉罢访</w:t>
      </w:r>
      <w:r>
        <w:rPr>
          <w:rFonts w:ascii="仿宋" w:hAnsi="仿宋" w:eastAsia="仿宋"/>
          <w:color w:val="000000"/>
          <w:sz w:val="32"/>
          <w:szCs w:val="32"/>
        </w:rPr>
        <w:t>”</w:t>
      </w:r>
      <w:r>
        <w:rPr>
          <w:rFonts w:hint="eastAsia" w:ascii="仿宋" w:hAnsi="仿宋" w:eastAsia="仿宋"/>
          <w:color w:val="000000"/>
          <w:sz w:val="32"/>
          <w:szCs w:val="32"/>
        </w:rPr>
        <w:t>为工作目标，创新工作理念，创新工作措施，奋力拼搏，进一步提升信访工作成效，实现</w:t>
      </w:r>
      <w:r>
        <w:rPr>
          <w:rFonts w:ascii="仿宋" w:hAnsi="仿宋" w:eastAsia="仿宋"/>
          <w:color w:val="000000"/>
          <w:sz w:val="32"/>
          <w:szCs w:val="32"/>
        </w:rPr>
        <w:t>“</w:t>
      </w:r>
      <w:r>
        <w:rPr>
          <w:rFonts w:hint="eastAsia" w:ascii="仿宋" w:hAnsi="仿宋" w:eastAsia="仿宋"/>
          <w:color w:val="000000"/>
          <w:sz w:val="32"/>
          <w:szCs w:val="32"/>
        </w:rPr>
        <w:t>新案随清、难案攻坚化解、老案不反弹</w:t>
      </w:r>
      <w:r>
        <w:rPr>
          <w:rFonts w:ascii="仿宋" w:hAnsi="仿宋" w:eastAsia="仿宋"/>
          <w:color w:val="000000"/>
          <w:sz w:val="32"/>
          <w:szCs w:val="32"/>
        </w:rPr>
        <w:t>”</w:t>
      </w:r>
      <w:r>
        <w:rPr>
          <w:rFonts w:hint="eastAsia" w:ascii="仿宋" w:hAnsi="仿宋" w:eastAsia="仿宋"/>
          <w:color w:val="000000"/>
          <w:sz w:val="32"/>
          <w:szCs w:val="32"/>
        </w:rPr>
        <w:t>，创建全国信访示范县，做到</w:t>
      </w:r>
      <w:r>
        <w:rPr>
          <w:rFonts w:ascii="仿宋" w:hAnsi="仿宋" w:eastAsia="仿宋"/>
          <w:color w:val="000000"/>
          <w:sz w:val="32"/>
          <w:szCs w:val="32"/>
        </w:rPr>
        <w:t>“</w:t>
      </w:r>
      <w:r>
        <w:rPr>
          <w:rFonts w:hint="eastAsia" w:ascii="仿宋" w:hAnsi="仿宋" w:eastAsia="仿宋"/>
          <w:color w:val="000000"/>
          <w:sz w:val="32"/>
          <w:szCs w:val="32"/>
        </w:rPr>
        <w:t>北京不去，河北不聚</w:t>
      </w:r>
      <w:r>
        <w:rPr>
          <w:rFonts w:ascii="仿宋" w:hAnsi="仿宋" w:eastAsia="仿宋"/>
          <w:color w:val="000000"/>
          <w:sz w:val="32"/>
          <w:szCs w:val="32"/>
        </w:rPr>
        <w:t>”</w:t>
      </w:r>
      <w:r>
        <w:rPr>
          <w:rFonts w:hint="eastAsia" w:ascii="仿宋" w:hAnsi="仿宋" w:eastAsia="仿宋"/>
          <w:color w:val="000000"/>
          <w:sz w:val="32"/>
          <w:szCs w:val="32"/>
        </w:rPr>
        <w:t>。重点做好以下六个方面的工作：一是抓好领导干部接访工作；二是抓好信访隐患排查工作；三是抓好信访问题化解工作；四是抓好信访问题督查通报工作；五是抓好人民群众建议征集工作；六是抓好重大节日、重大活动期间信访工作。</w:t>
      </w:r>
    </w:p>
    <w:p>
      <w:pPr>
        <w:spacing w:line="500" w:lineRule="exact"/>
        <w:ind w:firstLine="420" w:firstLineChars="150"/>
      </w:pPr>
      <w:r>
        <w:rPr>
          <w:rFonts w:hint="eastAsia" w:eastAsia="方正仿宋_GBK"/>
          <w:color w:val="000000"/>
          <w:sz w:val="28"/>
          <w:lang w:eastAsia="zh-CN"/>
        </w:rPr>
        <w:t>（二）</w:t>
      </w:r>
      <w:r>
        <w:rPr>
          <w:rFonts w:hint="eastAsia" w:eastAsia="方正仿宋_GBK"/>
          <w:color w:val="000000"/>
          <w:sz w:val="28"/>
        </w:rPr>
        <w:t>分项绩效目标</w:t>
      </w:r>
    </w:p>
    <w:p>
      <w:pPr>
        <w:pStyle w:val="26"/>
        <w:ind w:firstLine="800" w:firstLineChars="250"/>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、做好信访维稳值班工作</w:t>
      </w:r>
    </w:p>
    <w:p>
      <w:pPr>
        <w:pStyle w:val="26"/>
        <w:rPr>
          <w:rFonts w:ascii="仿宋" w:hAnsi="仿宋" w:eastAsia="仿宋"/>
          <w:color w:val="000000"/>
          <w:sz w:val="32"/>
          <w:szCs w:val="32"/>
        </w:rPr>
      </w:pPr>
      <w:r>
        <w:rPr>
          <w:rFonts w:hint="eastAsia" w:ascii="仿宋" w:hAnsi="仿宋" w:eastAsia="仿宋"/>
          <w:color w:val="000000"/>
          <w:sz w:val="32"/>
          <w:szCs w:val="32"/>
        </w:rPr>
        <w:t>绩效目标：做好驻京省等地信访维稳值班工作。</w:t>
      </w:r>
    </w:p>
    <w:p>
      <w:pPr>
        <w:pStyle w:val="26"/>
        <w:rPr>
          <w:rFonts w:ascii="仿宋" w:hAnsi="仿宋" w:eastAsia="仿宋"/>
          <w:color w:val="000000"/>
          <w:sz w:val="32"/>
          <w:szCs w:val="32"/>
        </w:rPr>
      </w:pPr>
      <w:r>
        <w:rPr>
          <w:rFonts w:hint="eastAsia" w:ascii="仿宋" w:hAnsi="仿宋" w:eastAsia="仿宋"/>
          <w:color w:val="000000"/>
          <w:sz w:val="32"/>
          <w:szCs w:val="32"/>
        </w:rPr>
        <w:t>绩效指标：确保年度内进京、赴省登通次数</w:t>
      </w:r>
      <w:r>
        <w:rPr>
          <w:rFonts w:ascii="仿宋" w:hAnsi="仿宋" w:eastAsia="仿宋"/>
          <w:color w:val="000000"/>
          <w:sz w:val="32"/>
          <w:szCs w:val="32"/>
        </w:rPr>
        <w:t>≤70</w:t>
      </w:r>
      <w:r>
        <w:rPr>
          <w:rFonts w:hint="eastAsia" w:ascii="仿宋" w:hAnsi="仿宋" w:eastAsia="仿宋"/>
          <w:color w:val="000000"/>
          <w:sz w:val="32"/>
          <w:szCs w:val="32"/>
        </w:rPr>
        <w:t>批次</w:t>
      </w:r>
    </w:p>
    <w:p>
      <w:pPr>
        <w:pStyle w:val="26"/>
        <w:ind w:firstLine="800" w:firstLineChars="250"/>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、保障群众工作中心正常运行</w:t>
      </w:r>
    </w:p>
    <w:p>
      <w:pPr>
        <w:pStyle w:val="26"/>
        <w:rPr>
          <w:rFonts w:ascii="仿宋" w:hAnsi="仿宋" w:eastAsia="仿宋"/>
          <w:color w:val="000000"/>
          <w:sz w:val="32"/>
          <w:szCs w:val="32"/>
        </w:rPr>
      </w:pPr>
      <w:r>
        <w:rPr>
          <w:rFonts w:hint="eastAsia" w:ascii="仿宋" w:hAnsi="仿宋" w:eastAsia="仿宋"/>
          <w:color w:val="000000"/>
          <w:sz w:val="32"/>
          <w:szCs w:val="32"/>
        </w:rPr>
        <w:t>绩效目标：确保群众工作中心各项工作任务正常开展。</w:t>
      </w:r>
    </w:p>
    <w:p>
      <w:pPr>
        <w:pStyle w:val="26"/>
        <w:rPr>
          <w:rFonts w:ascii="仿宋" w:hAnsi="仿宋" w:eastAsia="仿宋"/>
          <w:color w:val="000000"/>
          <w:sz w:val="32"/>
          <w:szCs w:val="32"/>
        </w:rPr>
      </w:pPr>
      <w:r>
        <w:rPr>
          <w:rFonts w:hint="eastAsia" w:ascii="仿宋" w:hAnsi="仿宋" w:eastAsia="仿宋"/>
          <w:color w:val="000000"/>
          <w:sz w:val="32"/>
          <w:szCs w:val="32"/>
        </w:rPr>
        <w:t>绩效指标：群众工作中心信访案件按期办结率</w:t>
      </w:r>
      <w:r>
        <w:rPr>
          <w:rFonts w:ascii="仿宋" w:hAnsi="仿宋" w:eastAsia="仿宋"/>
          <w:color w:val="000000"/>
          <w:sz w:val="32"/>
          <w:szCs w:val="32"/>
        </w:rPr>
        <w:t>≥80%</w:t>
      </w:r>
    </w:p>
    <w:p>
      <w:pPr>
        <w:pStyle w:val="26"/>
        <w:ind w:firstLine="800" w:firstLineChars="250"/>
        <w:rPr>
          <w:rFonts w:ascii="仿宋" w:hAnsi="仿宋" w:eastAsia="仿宋"/>
          <w:color w:val="000000"/>
          <w:sz w:val="32"/>
          <w:szCs w:val="32"/>
        </w:rPr>
      </w:pPr>
      <w:r>
        <w:rPr>
          <w:rFonts w:ascii="仿宋" w:hAnsi="仿宋" w:eastAsia="仿宋"/>
          <w:color w:val="000000"/>
          <w:sz w:val="32"/>
          <w:szCs w:val="32"/>
        </w:rPr>
        <w:t>3</w:t>
      </w:r>
      <w:r>
        <w:rPr>
          <w:rFonts w:hint="eastAsia" w:ascii="仿宋" w:hAnsi="仿宋" w:eastAsia="仿宋"/>
          <w:color w:val="000000"/>
          <w:sz w:val="32"/>
          <w:szCs w:val="32"/>
        </w:rPr>
        <w:t>、引导涉法涉诉信访案件走上法律渠道。</w:t>
      </w:r>
    </w:p>
    <w:p>
      <w:pPr>
        <w:pStyle w:val="26"/>
        <w:rPr>
          <w:rFonts w:ascii="仿宋" w:hAnsi="仿宋" w:eastAsia="仿宋"/>
          <w:color w:val="000000"/>
          <w:sz w:val="32"/>
          <w:szCs w:val="32"/>
        </w:rPr>
      </w:pPr>
      <w:r>
        <w:rPr>
          <w:rFonts w:hint="eastAsia" w:ascii="仿宋" w:hAnsi="仿宋" w:eastAsia="仿宋"/>
          <w:color w:val="000000"/>
          <w:sz w:val="32"/>
          <w:szCs w:val="32"/>
        </w:rPr>
        <w:t>绩效目标：健全律师陪访机制，引导涉法涉诉案件走法律渠道。</w:t>
      </w:r>
    </w:p>
    <w:p>
      <w:pPr>
        <w:pStyle w:val="26"/>
        <w:rPr>
          <w:rFonts w:ascii="仿宋" w:hAnsi="仿宋" w:eastAsia="仿宋"/>
          <w:color w:val="000000"/>
          <w:sz w:val="32"/>
          <w:szCs w:val="32"/>
        </w:rPr>
      </w:pPr>
      <w:r>
        <w:rPr>
          <w:rFonts w:hint="eastAsia" w:ascii="仿宋" w:hAnsi="仿宋" w:eastAsia="仿宋"/>
          <w:color w:val="000000"/>
          <w:sz w:val="32"/>
          <w:szCs w:val="32"/>
        </w:rPr>
        <w:t>绩效指标：年度内律师陪同县领导接访天数</w:t>
      </w:r>
      <w:r>
        <w:rPr>
          <w:rFonts w:ascii="仿宋" w:hAnsi="仿宋" w:eastAsia="仿宋"/>
          <w:color w:val="000000"/>
          <w:sz w:val="32"/>
          <w:szCs w:val="32"/>
        </w:rPr>
        <w:t>≥260</w:t>
      </w:r>
      <w:r>
        <w:rPr>
          <w:rFonts w:hint="eastAsia" w:ascii="仿宋" w:hAnsi="仿宋" w:eastAsia="仿宋"/>
          <w:color w:val="000000"/>
          <w:sz w:val="32"/>
          <w:szCs w:val="32"/>
        </w:rPr>
        <w:t>天。</w:t>
      </w:r>
    </w:p>
    <w:p>
      <w:pPr>
        <w:spacing w:line="500" w:lineRule="exact"/>
        <w:ind w:firstLine="800" w:firstLineChars="250"/>
        <w:rPr>
          <w:rFonts w:ascii="仿宋" w:hAnsi="仿宋" w:eastAsia="仿宋"/>
          <w:color w:val="000000"/>
          <w:sz w:val="32"/>
          <w:szCs w:val="32"/>
        </w:rPr>
      </w:pPr>
      <w:r>
        <w:rPr>
          <w:rFonts w:ascii="仿宋" w:hAnsi="仿宋" w:eastAsia="仿宋"/>
          <w:color w:val="000000"/>
          <w:sz w:val="32"/>
          <w:szCs w:val="32"/>
        </w:rPr>
        <w:t>4</w:t>
      </w:r>
      <w:r>
        <w:rPr>
          <w:rFonts w:hint="eastAsia" w:ascii="仿宋" w:hAnsi="仿宋" w:eastAsia="仿宋"/>
          <w:color w:val="000000"/>
          <w:sz w:val="32"/>
          <w:szCs w:val="32"/>
        </w:rPr>
        <w:t>、积极化解信访特殊疑难案件。</w:t>
      </w:r>
    </w:p>
    <w:p>
      <w:pPr>
        <w:spacing w:line="500" w:lineRule="exact"/>
        <w:ind w:firstLine="800" w:firstLineChars="250"/>
        <w:rPr>
          <w:rFonts w:ascii="仿宋" w:hAnsi="仿宋" w:eastAsia="仿宋"/>
          <w:color w:val="000000"/>
          <w:sz w:val="32"/>
          <w:szCs w:val="32"/>
        </w:rPr>
      </w:pPr>
      <w:r>
        <w:rPr>
          <w:rFonts w:hint="eastAsia" w:ascii="仿宋" w:hAnsi="仿宋" w:eastAsia="仿宋"/>
          <w:color w:val="000000"/>
          <w:sz w:val="32"/>
          <w:szCs w:val="32"/>
        </w:rPr>
        <w:t>绩效目标：提高疑难信访案件结案率，维护社会和谐稳定。</w:t>
      </w:r>
    </w:p>
    <w:p>
      <w:pPr>
        <w:spacing w:line="500" w:lineRule="exact"/>
        <w:ind w:firstLine="800" w:firstLineChars="250"/>
        <w:rPr>
          <w:rFonts w:ascii="仿宋" w:hAnsi="仿宋" w:eastAsia="仿宋"/>
          <w:color w:val="000000"/>
          <w:sz w:val="32"/>
          <w:szCs w:val="32"/>
        </w:rPr>
      </w:pPr>
      <w:r>
        <w:rPr>
          <w:rFonts w:hint="eastAsia" w:ascii="仿宋" w:hAnsi="仿宋" w:eastAsia="仿宋"/>
          <w:color w:val="000000"/>
          <w:sz w:val="32"/>
          <w:szCs w:val="32"/>
        </w:rPr>
        <w:t>绩效指标：年度内化解信访疑难案件的数量≥</w:t>
      </w:r>
      <w:r>
        <w:rPr>
          <w:rFonts w:ascii="仿宋" w:hAnsi="仿宋" w:eastAsia="仿宋"/>
          <w:color w:val="000000"/>
          <w:sz w:val="32"/>
          <w:szCs w:val="32"/>
        </w:rPr>
        <w:t>10</w:t>
      </w:r>
      <w:r>
        <w:rPr>
          <w:rFonts w:hint="eastAsia" w:ascii="仿宋" w:hAnsi="仿宋" w:eastAsia="仿宋"/>
          <w:color w:val="000000"/>
          <w:sz w:val="32"/>
          <w:szCs w:val="32"/>
        </w:rPr>
        <w:t>个。</w:t>
      </w:r>
    </w:p>
    <w:p>
      <w:pPr>
        <w:spacing w:line="500" w:lineRule="exact"/>
        <w:ind w:firstLine="560"/>
      </w:pPr>
      <w:r>
        <w:rPr>
          <w:rFonts w:hint="eastAsia" w:eastAsia="方正仿宋_GBK"/>
          <w:color w:val="000000"/>
          <w:sz w:val="28"/>
        </w:rPr>
        <w:t>（三）工作保障措施</w:t>
      </w:r>
    </w:p>
    <w:p>
      <w:pPr>
        <w:pStyle w:val="27"/>
        <w:ind w:firstLine="640" w:firstLineChars="200"/>
        <w:rPr>
          <w:rFonts w:ascii="仿宋" w:hAnsi="仿宋" w:eastAsia="仿宋"/>
          <w:color w:val="000000"/>
          <w:sz w:val="32"/>
          <w:szCs w:val="32"/>
        </w:rPr>
      </w:pPr>
      <w:r>
        <w:rPr>
          <w:rFonts w:hint="eastAsia" w:ascii="仿宋" w:hAnsi="仿宋" w:eastAsia="仿宋"/>
          <w:color w:val="000000"/>
          <w:sz w:val="32"/>
          <w:szCs w:val="32"/>
        </w:rPr>
        <w:t>我局以党的十九大、十九届六中全会精神及习近平总书记系列</w:t>
      </w:r>
      <w:r>
        <w:rPr>
          <w:rFonts w:hint="eastAsia" w:ascii="仿宋" w:hAnsi="仿宋" w:eastAsia="仿宋"/>
          <w:color w:val="000000"/>
          <w:sz w:val="32"/>
          <w:szCs w:val="32"/>
          <w:lang w:eastAsia="zh-CN"/>
        </w:rPr>
        <w:t>重要</w:t>
      </w:r>
      <w:r>
        <w:rPr>
          <w:rFonts w:hint="eastAsia" w:ascii="仿宋" w:hAnsi="仿宋" w:eastAsia="仿宋"/>
          <w:color w:val="000000"/>
          <w:sz w:val="32"/>
          <w:szCs w:val="32"/>
        </w:rPr>
        <w:t>讲话为指导，仅仅围绕全县中心工作，充分发挥人民信访化解矛盾纠纷职能优势，努力提升信访工作水平，为全县经济社会发展创造和谐稳定的良好环境，今后将重点做好以下几项工作：</w:t>
      </w:r>
    </w:p>
    <w:p>
      <w:pPr>
        <w:pStyle w:val="27"/>
        <w:ind w:firstLine="640" w:firstLineChars="200"/>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进一步抓好领导干部接访工作。按照省市要求，组织开展好领导干部大接访活动，每天提示县级党政领导到信访局接访，每天向省市信访局反馈县级领导接访情况；要求乡镇、县直单位班子成员在本单位接访；乡镇包村干部定期到所包村群众工作站，与村</w:t>
      </w:r>
      <w:r>
        <w:rPr>
          <w:rFonts w:ascii="仿宋" w:hAnsi="仿宋" w:eastAsia="仿宋"/>
          <w:color w:val="000000"/>
          <w:sz w:val="32"/>
          <w:szCs w:val="32"/>
        </w:rPr>
        <w:t>“</w:t>
      </w:r>
      <w:r>
        <w:rPr>
          <w:rFonts w:hint="eastAsia" w:ascii="仿宋" w:hAnsi="仿宋" w:eastAsia="仿宋"/>
          <w:color w:val="000000"/>
          <w:sz w:val="32"/>
          <w:szCs w:val="32"/>
        </w:rPr>
        <w:t>两委</w:t>
      </w:r>
      <w:r>
        <w:rPr>
          <w:rFonts w:ascii="仿宋" w:hAnsi="仿宋" w:eastAsia="仿宋"/>
          <w:color w:val="000000"/>
          <w:sz w:val="32"/>
          <w:szCs w:val="32"/>
        </w:rPr>
        <w:t>”</w:t>
      </w:r>
      <w:r>
        <w:rPr>
          <w:rFonts w:hint="eastAsia" w:ascii="仿宋" w:hAnsi="仿宋" w:eastAsia="仿宋"/>
          <w:color w:val="000000"/>
          <w:sz w:val="32"/>
          <w:szCs w:val="32"/>
        </w:rPr>
        <w:t>干部一块接访，同时要求信访局全体干部深入推进</w:t>
      </w:r>
      <w:r>
        <w:rPr>
          <w:rFonts w:ascii="仿宋" w:hAnsi="仿宋" w:eastAsia="仿宋"/>
          <w:color w:val="000000"/>
          <w:sz w:val="32"/>
          <w:szCs w:val="32"/>
        </w:rPr>
        <w:t>“</w:t>
      </w:r>
      <w:r>
        <w:rPr>
          <w:rFonts w:hint="eastAsia" w:ascii="仿宋" w:hAnsi="仿宋" w:eastAsia="仿宋"/>
          <w:color w:val="000000"/>
          <w:sz w:val="32"/>
          <w:szCs w:val="32"/>
        </w:rPr>
        <w:t>三家</w:t>
      </w:r>
      <w:r>
        <w:rPr>
          <w:rFonts w:ascii="仿宋" w:hAnsi="仿宋" w:eastAsia="仿宋"/>
          <w:color w:val="000000"/>
          <w:sz w:val="32"/>
          <w:szCs w:val="32"/>
        </w:rPr>
        <w:t>”</w:t>
      </w:r>
      <w:r>
        <w:rPr>
          <w:rFonts w:hint="eastAsia" w:ascii="仿宋" w:hAnsi="仿宋" w:eastAsia="仿宋"/>
          <w:color w:val="000000"/>
          <w:sz w:val="32"/>
          <w:szCs w:val="32"/>
        </w:rPr>
        <w:t>活动，认真抓好群众来信来访工作，真正把信访群众当自己的亲人，把群众反映的问题当作自家的事，把群众来信当家信，倾心尽力办实事，努力做到信访问题件件有着落，事事有回音。</w:t>
      </w:r>
    </w:p>
    <w:p>
      <w:pPr>
        <w:pStyle w:val="27"/>
        <w:ind w:firstLine="640" w:firstLineChars="200"/>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进一步抓好信访隐患排查工作。坚持经常性排查和集中排查相结合，日常排查和重点排查相结合，每月至少开展一次排查活动，做到横向到边、纵向到底，不漏一户一人，不留死角死面，力争把信访隐患纳入视野，并建立动态台帐，明确领导包案，限期化解。</w:t>
      </w:r>
    </w:p>
    <w:p>
      <w:pPr>
        <w:pStyle w:val="27"/>
        <w:ind w:firstLine="640" w:firstLineChars="200"/>
        <w:rPr>
          <w:rFonts w:ascii="仿宋" w:hAnsi="仿宋" w:eastAsia="仿宋"/>
          <w:color w:val="000000"/>
          <w:sz w:val="32"/>
          <w:szCs w:val="32"/>
        </w:rPr>
      </w:pPr>
      <w:r>
        <w:rPr>
          <w:rFonts w:ascii="仿宋" w:hAnsi="仿宋" w:eastAsia="仿宋"/>
          <w:color w:val="000000"/>
          <w:sz w:val="32"/>
          <w:szCs w:val="32"/>
        </w:rPr>
        <w:t>3</w:t>
      </w:r>
      <w:r>
        <w:rPr>
          <w:rFonts w:hint="eastAsia" w:ascii="仿宋" w:hAnsi="仿宋" w:eastAsia="仿宋"/>
          <w:color w:val="000000"/>
          <w:sz w:val="32"/>
          <w:szCs w:val="32"/>
        </w:rPr>
        <w:t>、进一步抓好信访问题化解工作。按照</w:t>
      </w:r>
      <w:r>
        <w:rPr>
          <w:rFonts w:ascii="仿宋" w:hAnsi="仿宋" w:eastAsia="仿宋"/>
          <w:color w:val="000000"/>
          <w:sz w:val="32"/>
          <w:szCs w:val="32"/>
        </w:rPr>
        <w:t>“</w:t>
      </w:r>
      <w:r>
        <w:rPr>
          <w:rFonts w:hint="eastAsia" w:ascii="仿宋" w:hAnsi="仿宋" w:eastAsia="仿宋"/>
          <w:color w:val="000000"/>
          <w:sz w:val="32"/>
          <w:szCs w:val="32"/>
        </w:rPr>
        <w:t>属地管理、分级负责，谁主管、谁负责</w:t>
      </w:r>
      <w:r>
        <w:rPr>
          <w:rFonts w:ascii="仿宋" w:hAnsi="仿宋" w:eastAsia="仿宋"/>
          <w:color w:val="000000"/>
          <w:sz w:val="32"/>
          <w:szCs w:val="32"/>
        </w:rPr>
        <w:t>”</w:t>
      </w:r>
      <w:r>
        <w:rPr>
          <w:rFonts w:hint="eastAsia" w:ascii="仿宋" w:hAnsi="仿宋" w:eastAsia="仿宋"/>
          <w:color w:val="000000"/>
          <w:sz w:val="32"/>
          <w:szCs w:val="32"/>
        </w:rPr>
        <w:t>的原则，强化领导干部包案责任，确保问题及时化解。坚持</w:t>
      </w:r>
      <w:r>
        <w:rPr>
          <w:rFonts w:ascii="仿宋" w:hAnsi="仿宋" w:eastAsia="仿宋"/>
          <w:color w:val="000000"/>
          <w:sz w:val="32"/>
          <w:szCs w:val="32"/>
        </w:rPr>
        <w:t>“</w:t>
      </w:r>
      <w:r>
        <w:rPr>
          <w:rFonts w:hint="eastAsia" w:ascii="仿宋" w:hAnsi="仿宋" w:eastAsia="仿宋"/>
          <w:color w:val="000000"/>
          <w:sz w:val="32"/>
          <w:szCs w:val="32"/>
        </w:rPr>
        <w:t>理旧案、清重案、化新案</w:t>
      </w:r>
      <w:r>
        <w:rPr>
          <w:rFonts w:ascii="仿宋" w:hAnsi="仿宋" w:eastAsia="仿宋"/>
          <w:color w:val="000000"/>
          <w:sz w:val="32"/>
          <w:szCs w:val="32"/>
        </w:rPr>
        <w:t>”</w:t>
      </w:r>
      <w:r>
        <w:rPr>
          <w:rFonts w:hint="eastAsia" w:ascii="仿宋" w:hAnsi="仿宋" w:eastAsia="仿宋"/>
          <w:color w:val="000000"/>
          <w:sz w:val="32"/>
          <w:szCs w:val="32"/>
        </w:rPr>
        <w:t>，组织开展化解信访积案、重复访治理活动及信访矛盾隐患</w:t>
      </w:r>
      <w:r>
        <w:rPr>
          <w:rFonts w:ascii="仿宋" w:hAnsi="仿宋" w:eastAsia="仿宋"/>
          <w:color w:val="000000"/>
          <w:sz w:val="32"/>
          <w:szCs w:val="32"/>
        </w:rPr>
        <w:t>“</w:t>
      </w:r>
      <w:r>
        <w:rPr>
          <w:rFonts w:hint="eastAsia" w:ascii="仿宋" w:hAnsi="仿宋" w:eastAsia="仿宋"/>
          <w:color w:val="000000"/>
          <w:sz w:val="32"/>
          <w:szCs w:val="32"/>
        </w:rPr>
        <w:t>四大</w:t>
      </w:r>
      <w:r>
        <w:rPr>
          <w:rFonts w:ascii="仿宋" w:hAnsi="仿宋" w:eastAsia="仿宋"/>
          <w:color w:val="000000"/>
          <w:sz w:val="32"/>
          <w:szCs w:val="32"/>
        </w:rPr>
        <w:t>”</w:t>
      </w:r>
      <w:r>
        <w:rPr>
          <w:rFonts w:hint="eastAsia" w:ascii="仿宋" w:hAnsi="仿宋" w:eastAsia="仿宋"/>
          <w:color w:val="000000"/>
          <w:sz w:val="32"/>
          <w:szCs w:val="32"/>
        </w:rPr>
        <w:t>攻坚行动，集中力量，持续攻坚，努力实现</w:t>
      </w:r>
      <w:r>
        <w:rPr>
          <w:rFonts w:ascii="仿宋" w:hAnsi="仿宋" w:eastAsia="仿宋"/>
          <w:color w:val="000000"/>
          <w:sz w:val="32"/>
          <w:szCs w:val="32"/>
        </w:rPr>
        <w:t>“</w:t>
      </w:r>
      <w:r>
        <w:rPr>
          <w:rFonts w:hint="eastAsia" w:ascii="仿宋" w:hAnsi="仿宋" w:eastAsia="仿宋"/>
          <w:color w:val="000000"/>
          <w:sz w:val="32"/>
          <w:szCs w:val="32"/>
        </w:rPr>
        <w:t>老案归零、新案随清</w:t>
      </w:r>
      <w:r>
        <w:rPr>
          <w:rFonts w:ascii="仿宋" w:hAnsi="仿宋" w:eastAsia="仿宋"/>
          <w:color w:val="000000"/>
          <w:sz w:val="32"/>
          <w:szCs w:val="32"/>
        </w:rPr>
        <w:t>”</w:t>
      </w:r>
      <w:r>
        <w:rPr>
          <w:rFonts w:hint="eastAsia" w:ascii="仿宋" w:hAnsi="仿宋" w:eastAsia="仿宋"/>
          <w:color w:val="000000"/>
          <w:sz w:val="32"/>
          <w:szCs w:val="32"/>
        </w:rPr>
        <w:t>。综合施策解决突出问题，认真分析研究解决办法，因案施策，一案一策，综合运用政策、法律、经济、行政等手段，将诉求合理的解决到位、诉求无理的教育到位、行为违法的处置到位、生活困难的扶助到位。</w:t>
      </w:r>
    </w:p>
    <w:p>
      <w:pPr>
        <w:pStyle w:val="27"/>
        <w:ind w:firstLine="640" w:firstLineChars="200"/>
        <w:rPr>
          <w:rFonts w:ascii="仿宋" w:hAnsi="仿宋" w:eastAsia="仿宋"/>
          <w:color w:val="000000"/>
          <w:sz w:val="32"/>
          <w:szCs w:val="32"/>
        </w:rPr>
      </w:pPr>
      <w:r>
        <w:rPr>
          <w:rFonts w:ascii="仿宋" w:hAnsi="仿宋" w:eastAsia="仿宋"/>
          <w:color w:val="000000"/>
          <w:sz w:val="32"/>
          <w:szCs w:val="32"/>
        </w:rPr>
        <w:t>4</w:t>
      </w:r>
      <w:r>
        <w:rPr>
          <w:rFonts w:hint="eastAsia" w:ascii="仿宋" w:hAnsi="仿宋" w:eastAsia="仿宋"/>
          <w:color w:val="000000"/>
          <w:sz w:val="32"/>
          <w:szCs w:val="32"/>
        </w:rPr>
        <w:t>、进一步抓好信访问题督查通报工作。实行全面督查与专项督查相结合，日常督查与重点督查相结合，明查与暗访相结合的督查方法，信访局联合县督委办对重点信访案件进行不间断督导，跟踪问效，并编发通报，对案件办理快、质量高的单位进行表扬；差的通报批评。每月对各单位来县到市赴省进京访等指标倒排通报；定期向县委、县政府主要领导、分管领导报告责任单位信访案件化解情况。</w:t>
      </w:r>
    </w:p>
    <w:p>
      <w:pPr>
        <w:pStyle w:val="27"/>
        <w:ind w:firstLine="640" w:firstLineChars="200"/>
        <w:rPr>
          <w:rFonts w:ascii="仿宋" w:hAnsi="仿宋" w:eastAsia="仿宋"/>
          <w:color w:val="000000"/>
          <w:sz w:val="32"/>
          <w:szCs w:val="32"/>
        </w:rPr>
      </w:pPr>
      <w:r>
        <w:rPr>
          <w:rFonts w:ascii="仿宋" w:hAnsi="仿宋" w:eastAsia="仿宋"/>
          <w:color w:val="000000"/>
          <w:sz w:val="32"/>
          <w:szCs w:val="32"/>
        </w:rPr>
        <w:t>5</w:t>
      </w:r>
      <w:r>
        <w:rPr>
          <w:rFonts w:hint="eastAsia" w:ascii="仿宋" w:hAnsi="仿宋" w:eastAsia="仿宋"/>
          <w:color w:val="000000"/>
          <w:sz w:val="32"/>
          <w:szCs w:val="32"/>
        </w:rPr>
        <w:t>、进一步抓好人民群众建议征集工作。在梳理汇总矛盾纠纷排查信息的基础上，每月对全县信访稳定情况进行一次全面分析，对可能引发大规模上访和群体性事件的苗头和隐患提前进行预警，对带有规律性、共性的一些问题进行研究，撰写高质量的调研报告，为领导科学决策提供参考。</w:t>
      </w:r>
    </w:p>
    <w:p>
      <w:pPr>
        <w:pStyle w:val="27"/>
        <w:ind w:firstLine="640" w:firstLineChars="200"/>
        <w:rPr>
          <w:rFonts w:ascii="仿宋" w:hAnsi="仿宋" w:eastAsia="仿宋"/>
          <w:color w:val="000000"/>
          <w:sz w:val="32"/>
          <w:szCs w:val="32"/>
        </w:rPr>
      </w:pPr>
      <w:r>
        <w:rPr>
          <w:rFonts w:ascii="仿宋" w:hAnsi="仿宋" w:eastAsia="仿宋"/>
          <w:color w:val="000000"/>
          <w:sz w:val="32"/>
          <w:szCs w:val="32"/>
        </w:rPr>
        <w:t>6</w:t>
      </w:r>
      <w:r>
        <w:rPr>
          <w:rFonts w:hint="eastAsia" w:ascii="仿宋" w:hAnsi="仿宋" w:eastAsia="仿宋"/>
          <w:color w:val="000000"/>
          <w:sz w:val="32"/>
          <w:szCs w:val="32"/>
        </w:rPr>
        <w:t>、进一步抓好重大节日、重大活动期间信访工作。要求全体信访干部进一步增强大局意识、政治意识、责任意识，把各项工作做细做实，确保重大节日、重大活动期间不出任何问题，并出色地完成县委、县政府交给的其他维稳任务。</w:t>
      </w:r>
    </w:p>
    <w:p>
      <w:pPr>
        <w:ind w:firstLine="640"/>
        <w:rPr>
          <w:rFonts w:ascii="方正楷体_GBK" w:hAnsi="方正楷体_GBK" w:eastAsia="方正楷体_GBK" w:cs="方正楷体_GBK"/>
          <w:b/>
          <w:color w:val="000000"/>
          <w:sz w:val="32"/>
          <w:lang w:eastAsia="zh-CN"/>
        </w:rPr>
      </w:pPr>
      <w:r>
        <w:rPr>
          <w:rFonts w:hint="eastAsia" w:ascii="方正楷体_GBK" w:hAnsi="方正楷体_GBK" w:eastAsia="方正楷体_GBK" w:cs="方正楷体_GBK"/>
          <w:b/>
          <w:color w:val="000000"/>
          <w:sz w:val="32"/>
        </w:rPr>
        <w:t>第二部分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专项资金绩效目标</w:t>
      </w:r>
    </w:p>
    <w:p>
      <w:pPr>
        <w:ind w:firstLine="630" w:firstLineChars="196"/>
        <w:rPr>
          <w:lang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lang w:eastAsia="zh-CN"/>
        </w:rPr>
        <w:t>无</w:t>
      </w:r>
    </w:p>
    <w:p>
      <w:pPr>
        <w:ind w:firstLine="640"/>
        <w:rPr>
          <w:rFonts w:ascii="方正楷体_GBK" w:hAnsi="方正楷体_GBK" w:eastAsia="方正楷体_GBK" w:cs="方正楷体_GBK"/>
          <w:b/>
          <w:color w:val="000000"/>
          <w:sz w:val="32"/>
          <w:lang w:eastAsia="zh-CN"/>
        </w:rPr>
      </w:pPr>
      <w:r>
        <w:rPr>
          <w:rFonts w:hint="eastAsia" w:ascii="方正楷体_GBK" w:hAnsi="方正楷体_GBK" w:eastAsia="方正楷体_GBK" w:cs="方正楷体_GBK"/>
          <w:b/>
          <w:color w:val="000000"/>
          <w:sz w:val="32"/>
        </w:rPr>
        <w:t>第三部分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预算项目绩效目标</w:t>
      </w:r>
    </w:p>
    <w:p>
      <w:pPr>
        <w:ind w:firstLine="551" w:firstLineChars="196"/>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、群众工作中心运维经费绩效目标表</w:t>
      </w:r>
    </w:p>
    <w:p>
      <w:pPr>
        <w:rPr>
          <w:lang w:eastAsia="zh-CN"/>
        </w:rPr>
      </w:pPr>
      <w:r>
        <w:rPr>
          <w:lang w:eastAsia="zh-CN"/>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群众工作中心任务完成率</w:t>
            </w:r>
          </w:p>
        </w:tc>
        <w:tc>
          <w:tcPr>
            <w:tcW w:w="2835" w:type="dxa"/>
            <w:vAlign w:val="center"/>
          </w:tcPr>
          <w:p>
            <w:pPr>
              <w:pStyle w:val="16"/>
            </w:pPr>
            <w:r>
              <w:rPr>
                <w:rFonts w:hint="eastAsia"/>
              </w:rPr>
              <w:t>群众工作中心任务完成情况占群众工作中心任务的比例。</w:t>
            </w:r>
          </w:p>
        </w:tc>
        <w:tc>
          <w:tcPr>
            <w:tcW w:w="2551" w:type="dxa"/>
            <w:vAlign w:val="center"/>
          </w:tcPr>
          <w:p>
            <w:pPr>
              <w:pStyle w:val="16"/>
            </w:pPr>
            <w:r>
              <w:t>100%</w:t>
            </w:r>
          </w:p>
        </w:tc>
        <w:tc>
          <w:tcPr>
            <w:tcW w:w="2268" w:type="dxa"/>
            <w:vAlign w:val="center"/>
          </w:tcPr>
          <w:p>
            <w:pPr>
              <w:pStyle w:val="16"/>
            </w:pPr>
            <w:r>
              <w:rPr>
                <w:rFonts w:hint="eastAsia"/>
              </w:rPr>
              <w:t>国家信访局《信访工作考核办法》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信访案件办结率</w:t>
            </w:r>
          </w:p>
        </w:tc>
        <w:tc>
          <w:tcPr>
            <w:tcW w:w="2835" w:type="dxa"/>
            <w:vAlign w:val="center"/>
          </w:tcPr>
          <w:p>
            <w:pPr>
              <w:pStyle w:val="16"/>
            </w:pPr>
            <w:r>
              <w:rPr>
                <w:rFonts w:hint="eastAsia"/>
              </w:rPr>
              <w:t>已办结的信访案件数占应办结信访案件总数的比例</w:t>
            </w:r>
          </w:p>
        </w:tc>
        <w:tc>
          <w:tcPr>
            <w:tcW w:w="2551" w:type="dxa"/>
            <w:vAlign w:val="center"/>
          </w:tcPr>
          <w:p>
            <w:pPr>
              <w:pStyle w:val="16"/>
            </w:pPr>
            <w:r>
              <w:rPr>
                <w:rFonts w:hint="eastAsia"/>
              </w:rPr>
              <w:t>≥</w:t>
            </w:r>
            <w:r>
              <w:t>80%</w:t>
            </w:r>
          </w:p>
        </w:tc>
        <w:tc>
          <w:tcPr>
            <w:tcW w:w="2268" w:type="dxa"/>
            <w:vAlign w:val="center"/>
          </w:tcPr>
          <w:p>
            <w:pPr>
              <w:pStyle w:val="16"/>
            </w:pPr>
            <w:r>
              <w:rPr>
                <w:rFonts w:hint="eastAsia"/>
              </w:rPr>
              <w:t>国家信访局《信访工作考核办法》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信访案件受理及时率</w:t>
            </w:r>
          </w:p>
        </w:tc>
        <w:tc>
          <w:tcPr>
            <w:tcW w:w="2835" w:type="dxa"/>
            <w:vAlign w:val="center"/>
          </w:tcPr>
          <w:p>
            <w:pPr>
              <w:pStyle w:val="16"/>
            </w:pPr>
            <w:r>
              <w:rPr>
                <w:rFonts w:hint="eastAsia"/>
              </w:rPr>
              <w:t>及时受理的信访案件数占应受理信访案件总数的比例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国家信访局《信访工作考核办法》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群众工作中心运行成本率</w:t>
            </w:r>
          </w:p>
        </w:tc>
        <w:tc>
          <w:tcPr>
            <w:tcW w:w="2835" w:type="dxa"/>
            <w:vAlign w:val="center"/>
          </w:tcPr>
          <w:p>
            <w:pPr>
              <w:pStyle w:val="16"/>
            </w:pPr>
            <w:r>
              <w:rPr>
                <w:rFonts w:hint="eastAsia"/>
              </w:rPr>
              <w:t>反映群众工作中心每天运行所需资金</w:t>
            </w:r>
          </w:p>
        </w:tc>
        <w:tc>
          <w:tcPr>
            <w:tcW w:w="2551" w:type="dxa"/>
            <w:vAlign w:val="center"/>
          </w:tcPr>
          <w:p>
            <w:pPr>
              <w:pStyle w:val="16"/>
            </w:pPr>
            <w:r>
              <w:rPr>
                <w:rFonts w:hint="eastAsia"/>
              </w:rPr>
              <w:t>≤</w:t>
            </w:r>
            <w:r>
              <w:t>0.02</w:t>
            </w:r>
            <w:r>
              <w:rPr>
                <w:rFonts w:hint="eastAsia"/>
              </w:rPr>
              <w:t>万元</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促进经济发展</w:t>
            </w:r>
          </w:p>
        </w:tc>
        <w:tc>
          <w:tcPr>
            <w:tcW w:w="2835" w:type="dxa"/>
            <w:vAlign w:val="center"/>
          </w:tcPr>
          <w:p>
            <w:pPr>
              <w:pStyle w:val="16"/>
            </w:pPr>
            <w:r>
              <w:rPr>
                <w:rFonts w:hint="eastAsia"/>
              </w:rPr>
              <w:t>信访秩序和谐稳定，有利于社会经济发展。</w:t>
            </w:r>
          </w:p>
        </w:tc>
        <w:tc>
          <w:tcPr>
            <w:tcW w:w="2551" w:type="dxa"/>
            <w:vAlign w:val="center"/>
          </w:tcPr>
          <w:p>
            <w:pPr>
              <w:pStyle w:val="16"/>
            </w:pPr>
            <w:r>
              <w:rPr>
                <w:rFonts w:hint="eastAsia"/>
              </w:rPr>
              <w:t>按要求办结信访案件</w:t>
            </w:r>
          </w:p>
        </w:tc>
        <w:tc>
          <w:tcPr>
            <w:tcW w:w="2268" w:type="dxa"/>
            <w:vAlign w:val="center"/>
          </w:tcPr>
          <w:p>
            <w:pPr>
              <w:pStyle w:val="16"/>
            </w:pPr>
            <w:r>
              <w:rPr>
                <w:rFonts w:hint="eastAsia"/>
              </w:rPr>
              <w:t>“四大”攻坚实施方案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维护社会和谐稳定</w:t>
            </w:r>
          </w:p>
        </w:tc>
        <w:tc>
          <w:tcPr>
            <w:tcW w:w="2835" w:type="dxa"/>
            <w:vAlign w:val="center"/>
          </w:tcPr>
          <w:p>
            <w:pPr>
              <w:pStyle w:val="16"/>
            </w:pPr>
            <w:r>
              <w:rPr>
                <w:rFonts w:hint="eastAsia"/>
              </w:rPr>
              <w:t>信访案件及时办理，维护社会和谐稳定。</w:t>
            </w:r>
          </w:p>
        </w:tc>
        <w:tc>
          <w:tcPr>
            <w:tcW w:w="2551" w:type="dxa"/>
            <w:vAlign w:val="center"/>
          </w:tcPr>
          <w:p>
            <w:pPr>
              <w:pStyle w:val="16"/>
            </w:pPr>
            <w:r>
              <w:rPr>
                <w:rFonts w:hint="eastAsia"/>
              </w:rPr>
              <w:t>按要求办结信访案件</w:t>
            </w:r>
          </w:p>
        </w:tc>
        <w:tc>
          <w:tcPr>
            <w:tcW w:w="2268" w:type="dxa"/>
            <w:vAlign w:val="center"/>
          </w:tcPr>
          <w:p>
            <w:pPr>
              <w:pStyle w:val="16"/>
            </w:pPr>
            <w:r>
              <w:rPr>
                <w:rFonts w:hint="eastAsia"/>
              </w:rPr>
              <w:t>“四大”攻坚实施方案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信访群众的满意度</w:t>
            </w:r>
          </w:p>
        </w:tc>
        <w:tc>
          <w:tcPr>
            <w:tcW w:w="2835" w:type="dxa"/>
            <w:vAlign w:val="center"/>
          </w:tcPr>
          <w:p>
            <w:pPr>
              <w:pStyle w:val="16"/>
            </w:pPr>
            <w:r>
              <w:rPr>
                <w:rFonts w:hint="eastAsia"/>
              </w:rPr>
              <w:t>信访群众对群众工作中心工作机制的满意度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问卷调查</w:t>
            </w:r>
          </w:p>
        </w:tc>
      </w:tr>
    </w:tbl>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ind w:firstLine="281" w:firstLineChars="10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、驻京省等常态化信访维稳值班经费绩效目标表</w:t>
      </w:r>
    </w:p>
    <w:p>
      <w:pPr>
        <w:rPr>
          <w:lang w:eastAsia="zh-CN"/>
        </w:rPr>
      </w:pP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目标内容</w:t>
            </w:r>
            <w:r>
              <w:t>1</w:t>
            </w:r>
            <w:r>
              <w:rPr>
                <w:rFonts w:hint="eastAsia"/>
              </w:rPr>
              <w:t>减少进京赴省上访登记、通报次数，确保第一时间沟通、协调、接劝返，实现省委提出的“北京不能去，河北不能聚”工作目标。</w:t>
            </w:r>
          </w:p>
          <w:p>
            <w:pPr>
              <w:pStyle w:val="16"/>
            </w:pPr>
            <w:r>
              <w:t>2.</w:t>
            </w:r>
            <w:r>
              <w:rPr>
                <w:rFonts w:hint="eastAsia"/>
              </w:rPr>
              <w:t>目标内容</w:t>
            </w:r>
            <w:r>
              <w:t>2</w:t>
            </w:r>
            <w:r>
              <w:rPr>
                <w:rFonts w:hint="eastAsia"/>
              </w:rPr>
              <w:t>消除信访隐患，积极化解信访案件，维护社会和谐稳定。</w:t>
            </w:r>
          </w:p>
          <w:p>
            <w:pPr>
              <w:pStyle w:val="16"/>
            </w:pPr>
            <w:r>
              <w:t>3.</w:t>
            </w:r>
            <w:r>
              <w:rPr>
                <w:rFonts w:hint="eastAsia"/>
              </w:rPr>
              <w:t>目标内容</w:t>
            </w:r>
            <w:r>
              <w:t>3</w:t>
            </w:r>
            <w:r>
              <w:rPr>
                <w:rFonts w:hint="eastAsia"/>
              </w:rPr>
              <w:t>做好法治信访宣传，依法合理诉访，营造良好信访秩序氛围。</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减少进京、赴省登通次数</w:t>
            </w:r>
          </w:p>
        </w:tc>
        <w:tc>
          <w:tcPr>
            <w:tcW w:w="2835" w:type="dxa"/>
            <w:vAlign w:val="center"/>
          </w:tcPr>
          <w:p>
            <w:pPr>
              <w:pStyle w:val="16"/>
            </w:pPr>
            <w:r>
              <w:rPr>
                <w:rFonts w:hint="eastAsia"/>
              </w:rPr>
              <w:t>减少进京、赴省上访登记、通报次数，确保第一时间沟通、协调、接劝返。</w:t>
            </w:r>
          </w:p>
        </w:tc>
        <w:tc>
          <w:tcPr>
            <w:tcW w:w="2551" w:type="dxa"/>
            <w:vAlign w:val="center"/>
          </w:tcPr>
          <w:p>
            <w:pPr>
              <w:pStyle w:val="16"/>
            </w:pPr>
            <w:r>
              <w:rPr>
                <w:rFonts w:hint="eastAsia"/>
              </w:rPr>
              <w:t>≤</w:t>
            </w:r>
            <w:r>
              <w:t>70</w:t>
            </w:r>
            <w:r>
              <w:rPr>
                <w:rFonts w:hint="eastAsia"/>
              </w:rPr>
              <w:t>批次</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信访案件办结率</w:t>
            </w:r>
          </w:p>
        </w:tc>
        <w:tc>
          <w:tcPr>
            <w:tcW w:w="2835" w:type="dxa"/>
            <w:vAlign w:val="center"/>
          </w:tcPr>
          <w:p>
            <w:pPr>
              <w:pStyle w:val="16"/>
            </w:pPr>
            <w:r>
              <w:rPr>
                <w:rFonts w:hint="eastAsia"/>
              </w:rPr>
              <w:t>已办结的信访案件数占应办结信访案件总数的比例</w:t>
            </w:r>
          </w:p>
        </w:tc>
        <w:tc>
          <w:tcPr>
            <w:tcW w:w="2551" w:type="dxa"/>
            <w:vAlign w:val="center"/>
          </w:tcPr>
          <w:p>
            <w:pPr>
              <w:pStyle w:val="16"/>
            </w:pPr>
            <w:r>
              <w:rPr>
                <w:rFonts w:hint="eastAsia"/>
              </w:rPr>
              <w:t>≥</w:t>
            </w:r>
            <w:r>
              <w:t>80%</w:t>
            </w:r>
          </w:p>
        </w:tc>
        <w:tc>
          <w:tcPr>
            <w:tcW w:w="2268" w:type="dxa"/>
            <w:vAlign w:val="center"/>
          </w:tcPr>
          <w:p>
            <w:pPr>
              <w:pStyle w:val="16"/>
            </w:pPr>
            <w:r>
              <w:rPr>
                <w:rFonts w:hint="eastAsia"/>
              </w:rPr>
              <w:t>国家信访局《信访工作考核办法》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信访案件受理及时率</w:t>
            </w:r>
          </w:p>
        </w:tc>
        <w:tc>
          <w:tcPr>
            <w:tcW w:w="2835" w:type="dxa"/>
            <w:vAlign w:val="center"/>
          </w:tcPr>
          <w:p>
            <w:pPr>
              <w:pStyle w:val="16"/>
            </w:pPr>
            <w:r>
              <w:rPr>
                <w:rFonts w:hint="eastAsia"/>
              </w:rPr>
              <w:t>及时受理的信访案件数占应受理信访案件总数的比例。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国家信访局《信访工作考核办法》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年人均值班成本</w:t>
            </w:r>
          </w:p>
        </w:tc>
        <w:tc>
          <w:tcPr>
            <w:tcW w:w="2835" w:type="dxa"/>
            <w:vAlign w:val="center"/>
          </w:tcPr>
          <w:p>
            <w:pPr>
              <w:pStyle w:val="16"/>
            </w:pPr>
            <w:r>
              <w:rPr>
                <w:rFonts w:hint="eastAsia"/>
              </w:rPr>
              <w:t>反映每人每年驻京省等地值班所需资金</w:t>
            </w:r>
          </w:p>
        </w:tc>
        <w:tc>
          <w:tcPr>
            <w:tcW w:w="2551" w:type="dxa"/>
            <w:vAlign w:val="center"/>
          </w:tcPr>
          <w:p>
            <w:pPr>
              <w:pStyle w:val="16"/>
            </w:pPr>
            <w:r>
              <w:rPr>
                <w:rFonts w:hint="eastAsia"/>
              </w:rPr>
              <w:t>≤</w:t>
            </w:r>
            <w:r>
              <w:t>6.25</w:t>
            </w:r>
            <w:r>
              <w:rPr>
                <w:rFonts w:hint="eastAsia"/>
              </w:rPr>
              <w:t>万元</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促进经济发展</w:t>
            </w:r>
          </w:p>
        </w:tc>
        <w:tc>
          <w:tcPr>
            <w:tcW w:w="2835" w:type="dxa"/>
            <w:vAlign w:val="center"/>
          </w:tcPr>
          <w:p>
            <w:pPr>
              <w:pStyle w:val="16"/>
            </w:pPr>
            <w:r>
              <w:rPr>
                <w:rFonts w:hint="eastAsia"/>
              </w:rPr>
              <w:t>信访秩序和谐稳定，有利益于社会经济发展。</w:t>
            </w:r>
          </w:p>
        </w:tc>
        <w:tc>
          <w:tcPr>
            <w:tcW w:w="2551" w:type="dxa"/>
            <w:vAlign w:val="center"/>
          </w:tcPr>
          <w:p>
            <w:pPr>
              <w:pStyle w:val="16"/>
            </w:pPr>
            <w:r>
              <w:rPr>
                <w:rFonts w:hint="eastAsia"/>
              </w:rPr>
              <w:t>按要求办结信访案件</w:t>
            </w:r>
          </w:p>
        </w:tc>
        <w:tc>
          <w:tcPr>
            <w:tcW w:w="2268" w:type="dxa"/>
            <w:vAlign w:val="center"/>
          </w:tcPr>
          <w:p>
            <w:pPr>
              <w:pStyle w:val="16"/>
            </w:pPr>
            <w:r>
              <w:rPr>
                <w:rFonts w:hint="eastAsia"/>
              </w:rPr>
              <w:t>“四大”攻坚实施方案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维护社会和谐稳定</w:t>
            </w:r>
          </w:p>
        </w:tc>
        <w:tc>
          <w:tcPr>
            <w:tcW w:w="2835" w:type="dxa"/>
            <w:vAlign w:val="center"/>
          </w:tcPr>
          <w:p>
            <w:pPr>
              <w:pStyle w:val="16"/>
            </w:pPr>
            <w:r>
              <w:rPr>
                <w:rFonts w:hint="eastAsia"/>
              </w:rPr>
              <w:t>信访案件有效化解，维护了社会和谐稳定。</w:t>
            </w:r>
          </w:p>
        </w:tc>
        <w:tc>
          <w:tcPr>
            <w:tcW w:w="2551" w:type="dxa"/>
            <w:vAlign w:val="center"/>
          </w:tcPr>
          <w:p>
            <w:pPr>
              <w:pStyle w:val="16"/>
            </w:pPr>
            <w:r>
              <w:rPr>
                <w:rFonts w:hint="eastAsia"/>
              </w:rPr>
              <w:t>按要求办结信访案件</w:t>
            </w:r>
          </w:p>
        </w:tc>
        <w:tc>
          <w:tcPr>
            <w:tcW w:w="2268" w:type="dxa"/>
            <w:vAlign w:val="center"/>
          </w:tcPr>
          <w:p>
            <w:pPr>
              <w:pStyle w:val="16"/>
            </w:pPr>
            <w:r>
              <w:rPr>
                <w:rFonts w:hint="eastAsia"/>
              </w:rPr>
              <w:t>“四大”攻坚实施方案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信访群众满意度</w:t>
            </w:r>
          </w:p>
        </w:tc>
        <w:tc>
          <w:tcPr>
            <w:tcW w:w="2835" w:type="dxa"/>
            <w:vAlign w:val="center"/>
          </w:tcPr>
          <w:p>
            <w:pPr>
              <w:pStyle w:val="16"/>
            </w:pPr>
            <w:r>
              <w:rPr>
                <w:rFonts w:hint="eastAsia"/>
              </w:rPr>
              <w:t>反映上访群众对常态化接劝返、协调、化解信访案件的满意程度。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问卷调查</w:t>
            </w:r>
          </w:p>
        </w:tc>
      </w:tr>
    </w:tbl>
    <w:p>
      <w:pPr>
        <w:rPr>
          <w:lang w:eastAsia="zh-CN"/>
        </w:rPr>
      </w:pPr>
    </w:p>
    <w:p>
      <w:pPr>
        <w:rPr>
          <w:lang w:eastAsia="zh-CN"/>
        </w:rPr>
      </w:pPr>
    </w:p>
    <w:p>
      <w:pPr>
        <w:rPr>
          <w:lang w:eastAsia="zh-CN"/>
        </w:rPr>
      </w:pPr>
    </w:p>
    <w:p>
      <w:pPr>
        <w:ind w:firstLine="422" w:firstLineChars="15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、律师陪访经费绩效目标表</w:t>
      </w:r>
    </w:p>
    <w:p>
      <w:pPr>
        <w:rPr>
          <w:lang w:eastAsia="zh-CN"/>
        </w:rPr>
      </w:pP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目标内容</w:t>
            </w:r>
            <w:r>
              <w:t>1</w:t>
            </w:r>
            <w:r>
              <w:rPr>
                <w:rFonts w:hint="eastAsia"/>
              </w:rPr>
              <w:t>建立健全律师陪访制度。</w:t>
            </w:r>
          </w:p>
          <w:p>
            <w:pPr>
              <w:pStyle w:val="16"/>
            </w:pPr>
            <w:r>
              <w:t>2.</w:t>
            </w:r>
            <w:r>
              <w:rPr>
                <w:rFonts w:hint="eastAsia"/>
              </w:rPr>
              <w:t>目标内容</w:t>
            </w:r>
            <w:r>
              <w:t>2</w:t>
            </w:r>
            <w:r>
              <w:rPr>
                <w:rFonts w:hint="eastAsia"/>
              </w:rPr>
              <w:t>引导信访群众依法上访，为县领导接访提供法律依据及建议。</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律师陪同县领导接访天数</w:t>
            </w:r>
          </w:p>
        </w:tc>
        <w:tc>
          <w:tcPr>
            <w:tcW w:w="2835" w:type="dxa"/>
            <w:vAlign w:val="center"/>
          </w:tcPr>
          <w:p>
            <w:pPr>
              <w:pStyle w:val="16"/>
            </w:pPr>
            <w:r>
              <w:rPr>
                <w:rFonts w:hint="eastAsia"/>
              </w:rPr>
              <w:t>反映年度内律师陪同县领导接访的天数</w:t>
            </w:r>
          </w:p>
        </w:tc>
        <w:tc>
          <w:tcPr>
            <w:tcW w:w="2551" w:type="dxa"/>
            <w:vAlign w:val="center"/>
          </w:tcPr>
          <w:p>
            <w:pPr>
              <w:pStyle w:val="16"/>
            </w:pPr>
            <w:r>
              <w:rPr>
                <w:rFonts w:hint="eastAsia"/>
              </w:rPr>
              <w:t>≥</w:t>
            </w:r>
            <w:r>
              <w:t>260</w:t>
            </w:r>
            <w:r>
              <w:rPr>
                <w:rFonts w:hint="eastAsia"/>
              </w:rPr>
              <w:t>天</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律师对法律问题的解答率</w:t>
            </w:r>
          </w:p>
        </w:tc>
        <w:tc>
          <w:tcPr>
            <w:tcW w:w="2835" w:type="dxa"/>
            <w:vAlign w:val="center"/>
          </w:tcPr>
          <w:p>
            <w:pPr>
              <w:pStyle w:val="16"/>
            </w:pPr>
            <w:r>
              <w:rPr>
                <w:rFonts w:hint="eastAsia"/>
              </w:rPr>
              <w:t>律师就上访群众的法律问题解答数量占应当解答数量的比例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律师陪访按时出勤率</w:t>
            </w:r>
          </w:p>
        </w:tc>
        <w:tc>
          <w:tcPr>
            <w:tcW w:w="2835" w:type="dxa"/>
            <w:vAlign w:val="center"/>
          </w:tcPr>
          <w:p>
            <w:pPr>
              <w:pStyle w:val="16"/>
            </w:pPr>
            <w:r>
              <w:rPr>
                <w:rFonts w:hint="eastAsia"/>
              </w:rPr>
              <w:t>律师陪访按时出勤的次数占律师出勤总数的比例。</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律师陪访出勤成本率</w:t>
            </w:r>
          </w:p>
        </w:tc>
        <w:tc>
          <w:tcPr>
            <w:tcW w:w="2835" w:type="dxa"/>
            <w:vAlign w:val="center"/>
          </w:tcPr>
          <w:p>
            <w:pPr>
              <w:pStyle w:val="16"/>
            </w:pPr>
            <w:r>
              <w:rPr>
                <w:rFonts w:hint="eastAsia"/>
              </w:rPr>
              <w:t>反映律师每天陪同县领导接访所需费用</w:t>
            </w:r>
          </w:p>
        </w:tc>
        <w:tc>
          <w:tcPr>
            <w:tcW w:w="2551" w:type="dxa"/>
            <w:vAlign w:val="center"/>
          </w:tcPr>
          <w:p>
            <w:pPr>
              <w:pStyle w:val="16"/>
            </w:pPr>
            <w:r>
              <w:rPr>
                <w:rFonts w:hint="eastAsia"/>
              </w:rPr>
              <w:t>≤</w:t>
            </w:r>
            <w:r>
              <w:t>0.03</w:t>
            </w:r>
            <w:r>
              <w:rPr>
                <w:rFonts w:hint="eastAsia"/>
              </w:rPr>
              <w:t>万元</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维护社会和谐稳定</w:t>
            </w:r>
          </w:p>
        </w:tc>
        <w:tc>
          <w:tcPr>
            <w:tcW w:w="2835" w:type="dxa"/>
            <w:vAlign w:val="center"/>
          </w:tcPr>
          <w:p>
            <w:pPr>
              <w:pStyle w:val="16"/>
            </w:pPr>
            <w:r>
              <w:rPr>
                <w:rFonts w:hint="eastAsia"/>
              </w:rPr>
              <w:t>信访秩序和谐稳定，有利于社会经济发展。</w:t>
            </w:r>
          </w:p>
        </w:tc>
        <w:tc>
          <w:tcPr>
            <w:tcW w:w="2551" w:type="dxa"/>
            <w:vAlign w:val="center"/>
          </w:tcPr>
          <w:p>
            <w:pPr>
              <w:pStyle w:val="16"/>
            </w:pPr>
            <w:r>
              <w:rPr>
                <w:rFonts w:hint="eastAsia"/>
              </w:rPr>
              <w:t>按要求办结信访案件</w:t>
            </w:r>
          </w:p>
        </w:tc>
        <w:tc>
          <w:tcPr>
            <w:tcW w:w="2268" w:type="dxa"/>
            <w:vAlign w:val="center"/>
          </w:tcPr>
          <w:p>
            <w:pPr>
              <w:pStyle w:val="16"/>
            </w:pPr>
            <w:r>
              <w:rPr>
                <w:rFonts w:hint="eastAsia"/>
              </w:rPr>
              <w:t>“四大”攻坚实施方案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维护社会和谐稳定</w:t>
            </w:r>
          </w:p>
        </w:tc>
        <w:tc>
          <w:tcPr>
            <w:tcW w:w="2835" w:type="dxa"/>
            <w:vAlign w:val="center"/>
          </w:tcPr>
          <w:p>
            <w:pPr>
              <w:pStyle w:val="16"/>
            </w:pPr>
            <w:r>
              <w:rPr>
                <w:rFonts w:hint="eastAsia"/>
              </w:rPr>
              <w:t>律师陪访，化解信访矛盾，维护社会和谐稳定。</w:t>
            </w:r>
          </w:p>
        </w:tc>
        <w:tc>
          <w:tcPr>
            <w:tcW w:w="2551" w:type="dxa"/>
            <w:vAlign w:val="center"/>
          </w:tcPr>
          <w:p>
            <w:pPr>
              <w:pStyle w:val="16"/>
            </w:pPr>
            <w:r>
              <w:rPr>
                <w:rFonts w:hint="eastAsia"/>
              </w:rPr>
              <w:t>按要求办结信访案件</w:t>
            </w:r>
          </w:p>
        </w:tc>
        <w:tc>
          <w:tcPr>
            <w:tcW w:w="2268" w:type="dxa"/>
            <w:vAlign w:val="center"/>
          </w:tcPr>
          <w:p>
            <w:pPr>
              <w:pStyle w:val="16"/>
            </w:pPr>
            <w:r>
              <w:rPr>
                <w:rFonts w:hint="eastAsia"/>
              </w:rPr>
              <w:t>“四大”攻坚实施方案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信访群众的满意度</w:t>
            </w:r>
          </w:p>
        </w:tc>
        <w:tc>
          <w:tcPr>
            <w:tcW w:w="2835" w:type="dxa"/>
            <w:vAlign w:val="center"/>
          </w:tcPr>
          <w:p>
            <w:pPr>
              <w:pStyle w:val="16"/>
            </w:pPr>
            <w:r>
              <w:rPr>
                <w:rFonts w:hint="eastAsia"/>
              </w:rPr>
              <w:t>反映上访群众对律师陪访制度的满意程度。</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问卷调查</w:t>
            </w:r>
          </w:p>
        </w:tc>
      </w:tr>
    </w:tbl>
    <w:p>
      <w:pPr>
        <w:sectPr>
          <w:pgSz w:w="16840" w:h="11900" w:orient="landscape"/>
          <w:pgMar w:top="1361" w:right="1020" w:bottom="1134" w:left="1020" w:header="720" w:footer="720" w:gutter="0"/>
          <w:cols w:space="720" w:num="1"/>
        </w:sectPr>
      </w:pPr>
    </w:p>
    <w:p>
      <w:pPr>
        <w:ind w:firstLine="422" w:firstLineChars="15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、信访维稳救助基金绩效目标表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目标内容</w:t>
            </w:r>
            <w:r>
              <w:t>1</w:t>
            </w:r>
            <w:r>
              <w:rPr>
                <w:rFonts w:hint="eastAsia"/>
              </w:rPr>
              <w:t>积极化解信访特殊疑难案件。</w:t>
            </w:r>
          </w:p>
          <w:p>
            <w:pPr>
              <w:pStyle w:val="16"/>
            </w:pPr>
            <w:r>
              <w:t>2.</w:t>
            </w:r>
            <w:r>
              <w:rPr>
                <w:rFonts w:hint="eastAsia"/>
              </w:rPr>
              <w:t>目标内容</w:t>
            </w:r>
            <w:r>
              <w:t>2</w:t>
            </w:r>
            <w:r>
              <w:rPr>
                <w:rFonts w:hint="eastAsia"/>
              </w:rPr>
              <w:t>提高信访案件结案率，维护社会和谐稳定。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信访疑难案件化解数</w:t>
            </w:r>
          </w:p>
        </w:tc>
        <w:tc>
          <w:tcPr>
            <w:tcW w:w="2835" w:type="dxa"/>
            <w:vAlign w:val="center"/>
          </w:tcPr>
          <w:p>
            <w:pPr>
              <w:pStyle w:val="16"/>
            </w:pPr>
            <w:r>
              <w:rPr>
                <w:rFonts w:hint="eastAsia"/>
              </w:rPr>
              <w:t>年度内化解信访疑难案件的数量</w:t>
            </w:r>
          </w:p>
        </w:tc>
        <w:tc>
          <w:tcPr>
            <w:tcW w:w="2551" w:type="dxa"/>
            <w:vAlign w:val="center"/>
          </w:tcPr>
          <w:p>
            <w:pPr>
              <w:pStyle w:val="16"/>
            </w:pPr>
            <w:r>
              <w:rPr>
                <w:rFonts w:hint="eastAsia"/>
              </w:rPr>
              <w:t>≥</w:t>
            </w:r>
            <w:r>
              <w:t>10</w:t>
            </w:r>
            <w:r>
              <w:rPr>
                <w:rFonts w:hint="eastAsia"/>
              </w:rPr>
              <w:t>个</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信访案件结案率</w:t>
            </w:r>
          </w:p>
        </w:tc>
        <w:tc>
          <w:tcPr>
            <w:tcW w:w="2835" w:type="dxa"/>
            <w:vAlign w:val="center"/>
          </w:tcPr>
          <w:p>
            <w:pPr>
              <w:pStyle w:val="16"/>
            </w:pPr>
            <w:r>
              <w:rPr>
                <w:rFonts w:hint="eastAsia"/>
              </w:rPr>
              <w:t>年度内已按期办结的疑难信访案件数量占案件总数的比例。</w:t>
            </w:r>
          </w:p>
        </w:tc>
        <w:tc>
          <w:tcPr>
            <w:tcW w:w="2551" w:type="dxa"/>
            <w:vAlign w:val="center"/>
          </w:tcPr>
          <w:p>
            <w:pPr>
              <w:pStyle w:val="16"/>
            </w:pPr>
            <w:r>
              <w:rPr>
                <w:rFonts w:hint="eastAsia"/>
              </w:rPr>
              <w:t>≥</w:t>
            </w:r>
            <w:r>
              <w:t>80%</w:t>
            </w:r>
          </w:p>
        </w:tc>
        <w:tc>
          <w:tcPr>
            <w:tcW w:w="2268" w:type="dxa"/>
            <w:vAlign w:val="center"/>
          </w:tcPr>
          <w:p>
            <w:pPr>
              <w:pStyle w:val="16"/>
            </w:pPr>
            <w:r>
              <w:rPr>
                <w:rFonts w:hint="eastAsia"/>
              </w:rPr>
              <w:t>国家信访局《信访工作考核办法》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信访疑难案件及时受理率</w:t>
            </w:r>
          </w:p>
        </w:tc>
        <w:tc>
          <w:tcPr>
            <w:tcW w:w="2835" w:type="dxa"/>
            <w:vAlign w:val="center"/>
          </w:tcPr>
          <w:p>
            <w:pPr>
              <w:pStyle w:val="16"/>
            </w:pPr>
            <w:r>
              <w:rPr>
                <w:rFonts w:hint="eastAsia"/>
              </w:rPr>
              <w:t>及时受理的疑难信访案件数量占应受理信访案件总数的比例。</w:t>
            </w:r>
          </w:p>
          <w:p>
            <w:pPr>
              <w:pStyle w:val="16"/>
            </w:pPr>
          </w:p>
        </w:tc>
        <w:tc>
          <w:tcPr>
            <w:tcW w:w="2551" w:type="dxa"/>
            <w:vAlign w:val="center"/>
          </w:tcPr>
          <w:p>
            <w:pPr>
              <w:pStyle w:val="16"/>
            </w:pPr>
            <w:r>
              <w:rPr>
                <w:rFonts w:hint="eastAsia"/>
              </w:rPr>
              <w:t>≥</w:t>
            </w:r>
            <w:r>
              <w:t>95%</w:t>
            </w:r>
          </w:p>
        </w:tc>
        <w:tc>
          <w:tcPr>
            <w:tcW w:w="2268" w:type="dxa"/>
            <w:vAlign w:val="center"/>
          </w:tcPr>
          <w:p>
            <w:pPr>
              <w:pStyle w:val="16"/>
            </w:pPr>
            <w:r>
              <w:rPr>
                <w:rFonts w:hint="eastAsia"/>
              </w:rPr>
              <w:t>国家信访局《信访工作考核办法》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疑难信访个案化解成本</w:t>
            </w:r>
          </w:p>
        </w:tc>
        <w:tc>
          <w:tcPr>
            <w:tcW w:w="2835" w:type="dxa"/>
            <w:vAlign w:val="center"/>
          </w:tcPr>
          <w:p>
            <w:pPr>
              <w:pStyle w:val="16"/>
            </w:pPr>
            <w:r>
              <w:rPr>
                <w:rFonts w:hint="eastAsia"/>
              </w:rPr>
              <w:t>化解特殊疑难信访个案所需资金</w:t>
            </w:r>
          </w:p>
        </w:tc>
        <w:tc>
          <w:tcPr>
            <w:tcW w:w="2551" w:type="dxa"/>
            <w:vAlign w:val="center"/>
          </w:tcPr>
          <w:p>
            <w:pPr>
              <w:pStyle w:val="16"/>
            </w:pPr>
            <w:r>
              <w:rPr>
                <w:rFonts w:hint="eastAsia"/>
              </w:rPr>
              <w:t>≤</w:t>
            </w:r>
            <w:r>
              <w:t>5</w:t>
            </w:r>
            <w:r>
              <w:rPr>
                <w:rFonts w:hint="eastAsia"/>
              </w:rPr>
              <w:t>万元</w:t>
            </w:r>
          </w:p>
        </w:tc>
        <w:tc>
          <w:tcPr>
            <w:tcW w:w="2268" w:type="dxa"/>
            <w:vAlign w:val="center"/>
          </w:tcPr>
          <w:p>
            <w:pPr>
              <w:pStyle w:val="16"/>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促进经济发展</w:t>
            </w:r>
          </w:p>
        </w:tc>
        <w:tc>
          <w:tcPr>
            <w:tcW w:w="2835" w:type="dxa"/>
            <w:vAlign w:val="center"/>
          </w:tcPr>
          <w:p>
            <w:pPr>
              <w:pStyle w:val="16"/>
            </w:pPr>
            <w:r>
              <w:rPr>
                <w:rFonts w:hint="eastAsia"/>
              </w:rPr>
              <w:t>信访秩序和谐稳定，有利于社会经济发展。</w:t>
            </w:r>
          </w:p>
        </w:tc>
        <w:tc>
          <w:tcPr>
            <w:tcW w:w="2551" w:type="dxa"/>
            <w:vAlign w:val="center"/>
          </w:tcPr>
          <w:p>
            <w:pPr>
              <w:pStyle w:val="16"/>
            </w:pPr>
            <w:r>
              <w:rPr>
                <w:rFonts w:hint="eastAsia"/>
              </w:rPr>
              <w:t>按规定办结信访案件</w:t>
            </w:r>
          </w:p>
        </w:tc>
        <w:tc>
          <w:tcPr>
            <w:tcW w:w="2268" w:type="dxa"/>
            <w:vAlign w:val="center"/>
          </w:tcPr>
          <w:p>
            <w:pPr>
              <w:pStyle w:val="16"/>
            </w:pPr>
            <w:r>
              <w:rPr>
                <w:rFonts w:hint="eastAsia"/>
              </w:rPr>
              <w:t>”四大“攻坚实施方案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维护社会和谐稳定</w:t>
            </w:r>
          </w:p>
        </w:tc>
        <w:tc>
          <w:tcPr>
            <w:tcW w:w="2835" w:type="dxa"/>
            <w:vAlign w:val="center"/>
          </w:tcPr>
          <w:p>
            <w:pPr>
              <w:pStyle w:val="16"/>
            </w:pPr>
            <w:r>
              <w:rPr>
                <w:rFonts w:hint="eastAsia"/>
              </w:rPr>
              <w:t>积极化解信访特殊疑难案件，维护社会和谐稳定。</w:t>
            </w:r>
          </w:p>
        </w:tc>
        <w:tc>
          <w:tcPr>
            <w:tcW w:w="2551" w:type="dxa"/>
            <w:vAlign w:val="center"/>
          </w:tcPr>
          <w:p>
            <w:pPr>
              <w:pStyle w:val="16"/>
            </w:pPr>
            <w:r>
              <w:rPr>
                <w:rFonts w:hint="eastAsia"/>
              </w:rPr>
              <w:t>按规定办结信访案件</w:t>
            </w:r>
          </w:p>
        </w:tc>
        <w:tc>
          <w:tcPr>
            <w:tcW w:w="2268" w:type="dxa"/>
            <w:vAlign w:val="center"/>
          </w:tcPr>
          <w:p>
            <w:pPr>
              <w:pStyle w:val="16"/>
            </w:pPr>
            <w:r>
              <w:rPr>
                <w:rFonts w:hint="eastAsia"/>
              </w:rPr>
              <w:t>”四大“攻坚实施方案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信访群众满意度</w:t>
            </w:r>
          </w:p>
        </w:tc>
        <w:tc>
          <w:tcPr>
            <w:tcW w:w="2835" w:type="dxa"/>
            <w:vAlign w:val="center"/>
          </w:tcPr>
          <w:p>
            <w:pPr>
              <w:pStyle w:val="16"/>
            </w:pPr>
            <w:r>
              <w:rPr>
                <w:rFonts w:hint="eastAsia"/>
              </w:rPr>
              <w:t>信访群众对疑难信访案件化解的满意程度。</w:t>
            </w:r>
          </w:p>
          <w:p>
            <w:pPr>
              <w:pStyle w:val="16"/>
            </w:pPr>
          </w:p>
        </w:tc>
        <w:tc>
          <w:tcPr>
            <w:tcW w:w="2551" w:type="dxa"/>
            <w:vAlign w:val="center"/>
          </w:tcPr>
          <w:p>
            <w:pPr>
              <w:pStyle w:val="16"/>
            </w:pPr>
            <w:r>
              <w:rPr>
                <w:rFonts w:hint="eastAsia"/>
              </w:rPr>
              <w:t>≥</w:t>
            </w:r>
            <w:r>
              <w:t>95%</w:t>
            </w:r>
          </w:p>
        </w:tc>
        <w:tc>
          <w:tcPr>
            <w:tcW w:w="2268" w:type="dxa"/>
            <w:vAlign w:val="center"/>
          </w:tcPr>
          <w:p>
            <w:pPr>
              <w:pStyle w:val="16"/>
            </w:pPr>
            <w:r>
              <w:rPr>
                <w:rFonts w:hint="eastAsia"/>
              </w:rPr>
              <w:t>问卷调查</w:t>
            </w:r>
          </w:p>
        </w:tc>
      </w:tr>
    </w:tbl>
    <w:p>
      <w:pPr>
        <w:rPr>
          <w:lang w:eastAsia="zh-CN"/>
        </w:rPr>
      </w:pPr>
    </w:p>
    <w:p>
      <w:pPr>
        <w:rPr>
          <w:lang w:eastAsia="zh-CN"/>
        </w:rPr>
      </w:pPr>
    </w:p>
    <w:p>
      <w:pPr>
        <w:rPr>
          <w:lang w:eastAsia="zh-CN"/>
        </w:rPr>
      </w:pPr>
    </w:p>
    <w:p>
      <w:pPr>
        <w:rPr>
          <w:lang w:eastAsia="zh-CN"/>
        </w:rPr>
      </w:pPr>
    </w:p>
    <w:p>
      <w:pPr>
        <w:spacing w:before="10" w:after="10"/>
        <w:outlineLvl w:val="2"/>
      </w:pPr>
      <w:bookmarkStart w:id="14" w:name="_Toc_3_3_0000000015"/>
      <w:r>
        <w:rPr>
          <w:rFonts w:hint="eastAsia"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w:t>
      </w:r>
      <w:r>
        <w:rPr>
          <w:rFonts w:hint="eastAsia" w:eastAsia="方正仿宋_GBK"/>
          <w:color w:val="000000"/>
          <w:sz w:val="28"/>
        </w:rPr>
        <w:t>年，馆陶县信访局安排政府采购预算</w:t>
      </w:r>
      <w:r>
        <w:rPr>
          <w:rFonts w:eastAsia="方正仿宋_GBK"/>
          <w:color w:val="000000"/>
          <w:sz w:val="28"/>
        </w:rPr>
        <w:t>0.00</w:t>
      </w:r>
      <w:r>
        <w:rPr>
          <w:rFonts w:hint="eastAsia" w:eastAsia="方正仿宋_GBK"/>
          <w:color w:val="000000"/>
          <w:sz w:val="28"/>
        </w:rPr>
        <w:t>万元。具体内容见下表。</w:t>
      </w:r>
    </w:p>
    <w:p>
      <w:pPr>
        <w:ind w:firstLine="5220" w:firstLineChars="1450"/>
      </w:pPr>
      <w:r>
        <w:rPr>
          <w:rFonts w:hint="eastAsia" w:ascii="方正小标宋_GBK" w:hAnsi="方正小标宋_GBK" w:eastAsia="方正小标宋_GBK" w:cs="方正小标宋_GBK"/>
          <w:color w:val="000000"/>
          <w:sz w:val="36"/>
        </w:rPr>
        <w:t>部门政府采购预算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501</w:t>
            </w:r>
            <w:r>
              <w:rPr>
                <w:rFonts w:hint="eastAsia"/>
              </w:rPr>
              <w:t>馆陶县信访局</w:t>
            </w:r>
          </w:p>
        </w:tc>
        <w:tc>
          <w:tcPr>
            <w:tcW w:w="8674" w:type="dxa"/>
            <w:gridSpan w:val="9"/>
            <w:tcBorders>
              <w:top w:val="single" w:color="FFFFFF" w:sz="6" w:space="0"/>
              <w:left w:val="single" w:color="FFFFFF" w:sz="6" w:space="0"/>
              <w:right w:val="single" w:color="FFFFFF" w:sz="6" w:space="0"/>
            </w:tcBorders>
            <w:vAlign w:val="center"/>
          </w:tcPr>
          <w:p>
            <w:pPr>
              <w:pStyle w:val="28"/>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rPr>
                <w:rFonts w:hint="eastAsia"/>
              </w:rPr>
              <w:t>政府采购项目来源</w:t>
            </w:r>
          </w:p>
        </w:tc>
        <w:tc>
          <w:tcPr>
            <w:tcW w:w="1134" w:type="dxa"/>
            <w:vMerge w:val="restart"/>
            <w:vAlign w:val="center"/>
          </w:tcPr>
          <w:p>
            <w:pPr>
              <w:pStyle w:val="14"/>
            </w:pPr>
            <w:r>
              <w:rPr>
                <w:rFonts w:hint="eastAsia"/>
              </w:rPr>
              <w:t>采购物品名称</w:t>
            </w:r>
          </w:p>
        </w:tc>
        <w:tc>
          <w:tcPr>
            <w:tcW w:w="1134" w:type="dxa"/>
            <w:vMerge w:val="restart"/>
            <w:vAlign w:val="center"/>
          </w:tcPr>
          <w:p>
            <w:pPr>
              <w:pStyle w:val="14"/>
            </w:pPr>
            <w:r>
              <w:rPr>
                <w:rFonts w:hint="eastAsia"/>
              </w:rPr>
              <w:t>政府采购目录序号</w:t>
            </w:r>
          </w:p>
        </w:tc>
        <w:tc>
          <w:tcPr>
            <w:tcW w:w="709" w:type="dxa"/>
            <w:vMerge w:val="restart"/>
            <w:vAlign w:val="center"/>
          </w:tcPr>
          <w:p>
            <w:pPr>
              <w:pStyle w:val="14"/>
            </w:pPr>
            <w:r>
              <w:rPr>
                <w:rFonts w:hint="eastAsia"/>
              </w:rPr>
              <w:t>计量</w:t>
            </w:r>
            <w:r>
              <w:t xml:space="preserve">  </w:t>
            </w:r>
            <w:r>
              <w:rPr>
                <w:rFonts w:hint="eastAsia"/>
              </w:rPr>
              <w:t>单位</w:t>
            </w:r>
          </w:p>
        </w:tc>
        <w:tc>
          <w:tcPr>
            <w:tcW w:w="850" w:type="dxa"/>
            <w:vMerge w:val="restart"/>
            <w:vAlign w:val="center"/>
          </w:tcPr>
          <w:p>
            <w:pPr>
              <w:pStyle w:val="14"/>
            </w:pPr>
            <w:r>
              <w:rPr>
                <w:rFonts w:hint="eastAsia"/>
              </w:rPr>
              <w:t>数量</w:t>
            </w:r>
          </w:p>
        </w:tc>
        <w:tc>
          <w:tcPr>
            <w:tcW w:w="850" w:type="dxa"/>
            <w:vMerge w:val="restart"/>
            <w:vAlign w:val="center"/>
          </w:tcPr>
          <w:p>
            <w:pPr>
              <w:pStyle w:val="14"/>
            </w:pPr>
            <w:r>
              <w:rPr>
                <w:rFonts w:hint="eastAsia"/>
              </w:rPr>
              <w:t>单价</w:t>
            </w:r>
          </w:p>
        </w:tc>
        <w:tc>
          <w:tcPr>
            <w:tcW w:w="7710" w:type="dxa"/>
            <w:gridSpan w:val="8"/>
            <w:vAlign w:val="center"/>
          </w:tcPr>
          <w:p>
            <w:pPr>
              <w:pStyle w:val="14"/>
            </w:pPr>
            <w:r>
              <w:rPr>
                <w:rFonts w:hint="eastAsia"/>
              </w:rPr>
              <w:t>政府采购金额（当年部门预算安排资金）</w:t>
            </w:r>
          </w:p>
        </w:tc>
        <w:tc>
          <w:tcPr>
            <w:tcW w:w="964" w:type="dxa"/>
            <w:vMerge w:val="restart"/>
            <w:vAlign w:val="center"/>
          </w:tcPr>
          <w:p>
            <w:pPr>
              <w:pStyle w:val="14"/>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rPr>
                <w:rFonts w:hint="eastAsia"/>
              </w:rPr>
              <w:t>项目名称</w:t>
            </w:r>
          </w:p>
        </w:tc>
        <w:tc>
          <w:tcPr>
            <w:tcW w:w="964" w:type="dxa"/>
            <w:vAlign w:val="center"/>
          </w:tcPr>
          <w:p>
            <w:pPr>
              <w:pStyle w:val="14"/>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rPr>
                <w:rFonts w:hint="eastAsia"/>
              </w:rPr>
              <w:t>合计</w:t>
            </w:r>
          </w:p>
        </w:tc>
        <w:tc>
          <w:tcPr>
            <w:tcW w:w="964" w:type="dxa"/>
            <w:vAlign w:val="center"/>
          </w:tcPr>
          <w:p>
            <w:pPr>
              <w:pStyle w:val="14"/>
            </w:pPr>
            <w:r>
              <w:rPr>
                <w:rFonts w:hint="eastAsia"/>
              </w:rPr>
              <w:t>一般公共预算拨款</w:t>
            </w:r>
          </w:p>
        </w:tc>
        <w:tc>
          <w:tcPr>
            <w:tcW w:w="964" w:type="dxa"/>
            <w:vAlign w:val="center"/>
          </w:tcPr>
          <w:p>
            <w:pPr>
              <w:pStyle w:val="14"/>
            </w:pPr>
            <w:r>
              <w:rPr>
                <w:rFonts w:hint="eastAsia"/>
              </w:rPr>
              <w:t>基金预算拨款</w:t>
            </w:r>
          </w:p>
        </w:tc>
        <w:tc>
          <w:tcPr>
            <w:tcW w:w="964" w:type="dxa"/>
            <w:vAlign w:val="center"/>
          </w:tcPr>
          <w:p>
            <w:pPr>
              <w:pStyle w:val="14"/>
            </w:pPr>
            <w:r>
              <w:rPr>
                <w:rFonts w:hint="eastAsia"/>
              </w:rPr>
              <w:t>国有资本经营预算拨款</w:t>
            </w:r>
          </w:p>
        </w:tc>
        <w:tc>
          <w:tcPr>
            <w:tcW w:w="964" w:type="dxa"/>
            <w:vAlign w:val="center"/>
          </w:tcPr>
          <w:p>
            <w:pPr>
              <w:pStyle w:val="14"/>
            </w:pPr>
            <w:r>
              <w:rPr>
                <w:rFonts w:hint="eastAsia"/>
              </w:rPr>
              <w:t>财政专户核拨</w:t>
            </w:r>
          </w:p>
        </w:tc>
        <w:tc>
          <w:tcPr>
            <w:tcW w:w="964" w:type="dxa"/>
            <w:vAlign w:val="center"/>
          </w:tcPr>
          <w:p>
            <w:pPr>
              <w:pStyle w:val="14"/>
            </w:pPr>
            <w:r>
              <w:rPr>
                <w:rFonts w:hint="eastAsia"/>
              </w:rPr>
              <w:t>单位</w:t>
            </w:r>
            <w:r>
              <w:t xml:space="preserve">    </w:t>
            </w:r>
            <w:r>
              <w:rPr>
                <w:rFonts w:hint="eastAsia"/>
              </w:rPr>
              <w:t>资金</w:t>
            </w:r>
          </w:p>
        </w:tc>
        <w:tc>
          <w:tcPr>
            <w:tcW w:w="964" w:type="dxa"/>
            <w:vAlign w:val="center"/>
          </w:tcPr>
          <w:p>
            <w:pPr>
              <w:pStyle w:val="14"/>
            </w:pPr>
            <w:r>
              <w:rPr>
                <w:rFonts w:hint="eastAsia"/>
              </w:rPr>
              <w:t>财政拨</w:t>
            </w:r>
            <w:r>
              <w:t xml:space="preserve">    </w:t>
            </w:r>
            <w:r>
              <w:rPr>
                <w:rFonts w:hint="eastAsia"/>
              </w:rPr>
              <w:t>款结转</w:t>
            </w:r>
          </w:p>
        </w:tc>
        <w:tc>
          <w:tcPr>
            <w:tcW w:w="964" w:type="dxa"/>
            <w:vAlign w:val="center"/>
          </w:tcPr>
          <w:p>
            <w:pPr>
              <w:pStyle w:val="14"/>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1" w:hRule="atLeas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hint="eastAsia" w:ascii="黑体" w:hAnsi="黑体" w:eastAsia="黑体" w:cs="黑体"/>
          <w:color w:val="000000"/>
          <w:sz w:val="32"/>
        </w:rPr>
        <w:t>七、国有资产信息</w:t>
      </w:r>
      <w:bookmarkEnd w:id="15"/>
    </w:p>
    <w:p>
      <w:pPr>
        <w:spacing w:line="500" w:lineRule="exact"/>
        <w:ind w:firstLine="560"/>
        <w:rPr>
          <w:rFonts w:ascii="仿宋" w:hAnsi="仿宋" w:eastAsia="仿宋"/>
          <w:color w:val="000000"/>
          <w:sz w:val="32"/>
          <w:szCs w:val="32"/>
        </w:rPr>
      </w:pPr>
      <w:r>
        <w:rPr>
          <w:rFonts w:hint="eastAsia" w:ascii="仿宋" w:hAnsi="仿宋" w:eastAsia="仿宋"/>
          <w:color w:val="000000"/>
          <w:sz w:val="32"/>
          <w:szCs w:val="32"/>
        </w:rPr>
        <w:t>馆陶县信访局（含所属单位）上年末固定资产金额为</w:t>
      </w:r>
      <w:r>
        <w:rPr>
          <w:rFonts w:ascii="仿宋" w:hAnsi="仿宋" w:eastAsia="仿宋"/>
          <w:color w:val="000000"/>
          <w:sz w:val="32"/>
          <w:szCs w:val="32"/>
        </w:rPr>
        <w:t>78</w:t>
      </w:r>
      <w:r>
        <w:rPr>
          <w:rFonts w:hint="eastAsia" w:ascii="仿宋" w:hAnsi="仿宋" w:eastAsia="仿宋"/>
          <w:color w:val="000000"/>
          <w:sz w:val="32"/>
          <w:szCs w:val="32"/>
          <w:lang w:eastAsia="zh-CN"/>
        </w:rPr>
        <w:t>.</w:t>
      </w:r>
      <w:r>
        <w:rPr>
          <w:rFonts w:ascii="仿宋" w:hAnsi="仿宋" w:eastAsia="仿宋"/>
          <w:color w:val="000000"/>
          <w:sz w:val="32"/>
          <w:szCs w:val="32"/>
        </w:rPr>
        <w:t>5369</w:t>
      </w:r>
      <w:r>
        <w:rPr>
          <w:rFonts w:hint="eastAsia" w:ascii="仿宋" w:hAnsi="仿宋" w:eastAsia="仿宋"/>
          <w:color w:val="000000"/>
          <w:sz w:val="32"/>
          <w:szCs w:val="32"/>
        </w:rPr>
        <w:t>万元（详见下表）。本年度拟购置固定资产总额为</w:t>
      </w:r>
      <w:r>
        <w:rPr>
          <w:rFonts w:ascii="仿宋" w:hAnsi="仿宋" w:eastAsia="仿宋"/>
          <w:color w:val="000000"/>
          <w:sz w:val="32"/>
          <w:szCs w:val="32"/>
        </w:rPr>
        <w:t>0.00</w:t>
      </w:r>
      <w:r>
        <w:rPr>
          <w:rFonts w:hint="eastAsia" w:ascii="仿宋" w:hAnsi="仿宋" w:eastAsia="仿宋"/>
          <w:color w:val="000000"/>
          <w:sz w:val="32"/>
          <w:szCs w:val="32"/>
        </w:rPr>
        <w:t>万元，已按要求列入政府采购预算，详见政府采购预算表。</w:t>
      </w:r>
    </w:p>
    <w:p>
      <w:pPr>
        <w:jc w:val="center"/>
        <w:rPr>
          <w:rFonts w:ascii="方正小标宋_GBK" w:hAnsi="方正小标宋_GBK" w:eastAsia="方正小标宋_GBK" w:cs="方正小标宋_GBK"/>
          <w:color w:val="000000"/>
          <w:sz w:val="36"/>
          <w:lang w:eastAsia="zh-CN"/>
        </w:rPr>
      </w:pPr>
    </w:p>
    <w:p>
      <w:pPr>
        <w:jc w:val="center"/>
        <w:rPr>
          <w:rFonts w:ascii="方正小标宋_GBK" w:hAnsi="方正小标宋_GBK" w:eastAsia="方正小标宋_GBK" w:cs="方正小标宋_GBK"/>
          <w:color w:val="000000"/>
          <w:sz w:val="36"/>
          <w:lang w:eastAsia="zh-CN"/>
        </w:rPr>
      </w:pPr>
    </w:p>
    <w:p>
      <w:pPr>
        <w:jc w:val="center"/>
        <w:rPr>
          <w:rFonts w:ascii="方正小标宋_GBK" w:hAnsi="方正小标宋_GBK" w:eastAsia="方正小标宋_GBK" w:cs="方正小标宋_GBK"/>
          <w:color w:val="000000"/>
          <w:sz w:val="36"/>
          <w:lang w:eastAsia="zh-CN"/>
        </w:rPr>
      </w:pPr>
    </w:p>
    <w:p>
      <w:pPr>
        <w:jc w:val="center"/>
        <w:rPr>
          <w:rFonts w:ascii="方正小标宋_GBK" w:hAnsi="方正小标宋_GBK" w:eastAsia="方正小标宋_GBK" w:cs="方正小标宋_GBK"/>
          <w:color w:val="000000"/>
          <w:sz w:val="36"/>
          <w:lang w:eastAsia="zh-CN"/>
        </w:rPr>
      </w:pPr>
    </w:p>
    <w:p>
      <w:pPr>
        <w:jc w:val="center"/>
      </w:pPr>
      <w:r>
        <w:rPr>
          <w:rFonts w:hint="eastAsia"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501</w:t>
            </w:r>
            <w:r>
              <w:rPr>
                <w:rFonts w:hint="eastAsia"/>
              </w:rPr>
              <w:t>馆陶县信访局</w:t>
            </w:r>
          </w:p>
        </w:tc>
        <w:tc>
          <w:tcPr>
            <w:tcW w:w="5669" w:type="dxa"/>
            <w:gridSpan w:val="2"/>
            <w:tcBorders>
              <w:top w:val="single" w:color="FFFFFF" w:sz="6" w:space="0"/>
              <w:left w:val="single" w:color="FFFFFF" w:sz="6" w:space="0"/>
              <w:right w:val="single" w:color="FFFFFF" w:sz="6" w:space="0"/>
            </w:tcBorders>
            <w:vAlign w:val="center"/>
          </w:tcPr>
          <w:p>
            <w:pPr>
              <w:pStyle w:val="11"/>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rPr>
                <w:rFonts w:hint="eastAsia"/>
              </w:rPr>
              <w:t>项</w:t>
            </w:r>
            <w:r>
              <w:t xml:space="preserve">   </w:t>
            </w:r>
            <w:r>
              <w:rPr>
                <w:rFonts w:hint="eastAsia"/>
              </w:rPr>
              <w:t>目</w:t>
            </w:r>
          </w:p>
        </w:tc>
        <w:tc>
          <w:tcPr>
            <w:tcW w:w="2835" w:type="dxa"/>
            <w:vAlign w:val="center"/>
          </w:tcPr>
          <w:p>
            <w:pPr>
              <w:pStyle w:val="14"/>
            </w:pPr>
            <w:r>
              <w:rPr>
                <w:rFonts w:hint="eastAsia"/>
              </w:rPr>
              <w:t>数量</w:t>
            </w:r>
          </w:p>
        </w:tc>
        <w:tc>
          <w:tcPr>
            <w:tcW w:w="2835" w:type="dxa"/>
            <w:vAlign w:val="center"/>
          </w:tcPr>
          <w:p>
            <w:pPr>
              <w:pStyle w:val="14"/>
            </w:pPr>
            <w:r>
              <w:rPr>
                <w:rFonts w:hint="eastAsia"/>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rPr>
                <w:rFonts w:hint="eastAsia"/>
              </w:rPr>
              <w:t>资产总额</w:t>
            </w:r>
          </w:p>
        </w:tc>
        <w:tc>
          <w:tcPr>
            <w:tcW w:w="2835" w:type="dxa"/>
            <w:vAlign w:val="center"/>
          </w:tcPr>
          <w:p>
            <w:pPr>
              <w:pStyle w:val="17"/>
            </w:pPr>
          </w:p>
        </w:tc>
        <w:tc>
          <w:tcPr>
            <w:tcW w:w="2835" w:type="dxa"/>
            <w:vAlign w:val="center"/>
          </w:tcPr>
          <w:p>
            <w:pPr>
              <w:pStyle w:val="15"/>
            </w:pPr>
            <w:r>
              <w:t>785369.00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w:t>
            </w:r>
            <w:r>
              <w:rPr>
                <w:rFonts w:hint="eastAsia"/>
              </w:rPr>
              <w:t>、房屋（平方米）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rPr>
                <w:rFonts w:hint="eastAsia"/>
              </w:rP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w:t>
            </w:r>
            <w:r>
              <w:rPr>
                <w:rFonts w:hint="eastAsia"/>
              </w:rPr>
              <w:t>、车辆（台、辆）</w:t>
            </w:r>
          </w:p>
        </w:tc>
        <w:tc>
          <w:tcPr>
            <w:tcW w:w="2835" w:type="dxa"/>
            <w:vAlign w:val="center"/>
          </w:tcPr>
          <w:p>
            <w:pPr>
              <w:pStyle w:val="17"/>
            </w:pPr>
            <w:r>
              <w:t>1</w:t>
            </w:r>
          </w:p>
        </w:tc>
        <w:tc>
          <w:tcPr>
            <w:tcW w:w="2835" w:type="dxa"/>
            <w:vAlign w:val="center"/>
          </w:tcPr>
          <w:p>
            <w:pPr>
              <w:pStyle w:val="15"/>
            </w:pPr>
            <w:r>
              <w:t>136800.00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w:t>
            </w:r>
            <w:r>
              <w:rPr>
                <w:rFonts w:hint="eastAsia"/>
              </w:rPr>
              <w:t>、单价在</w:t>
            </w:r>
            <w:r>
              <w:t>20</w:t>
            </w:r>
            <w:r>
              <w:rPr>
                <w:rFonts w:hint="eastAsia"/>
              </w:rPr>
              <w:t>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w:t>
            </w:r>
            <w:r>
              <w:rPr>
                <w:rFonts w:hint="eastAsia"/>
              </w:rPr>
              <w:t>、其他固定资产</w:t>
            </w:r>
          </w:p>
        </w:tc>
        <w:tc>
          <w:tcPr>
            <w:tcW w:w="2835" w:type="dxa"/>
            <w:vAlign w:val="center"/>
          </w:tcPr>
          <w:p>
            <w:pPr>
              <w:pStyle w:val="17"/>
            </w:pPr>
          </w:p>
        </w:tc>
        <w:tc>
          <w:tcPr>
            <w:tcW w:w="2835" w:type="dxa"/>
            <w:vAlign w:val="center"/>
          </w:tcPr>
          <w:p>
            <w:pPr>
              <w:pStyle w:val="15"/>
            </w:pPr>
            <w:r>
              <w:t>648569.00</w:t>
            </w:r>
          </w:p>
        </w:tc>
      </w:tr>
    </w:tbl>
    <w:p>
      <w:pPr>
        <w:ind w:firstLine="640"/>
      </w:pPr>
      <w:r>
        <w:rPr>
          <w:rFonts w:eastAsia="方正仿宋_GBK"/>
          <w:color w:val="000000"/>
          <w:sz w:val="32"/>
        </w:rPr>
        <w:t xml:space="preserve"> </w:t>
      </w:r>
    </w:p>
    <w:p>
      <w:pPr>
        <w:spacing w:before="10" w:after="10"/>
        <w:outlineLvl w:val="2"/>
      </w:pPr>
      <w:bookmarkStart w:id="16" w:name="_Toc_3_3_0000000017"/>
      <w:r>
        <w:rPr>
          <w:rFonts w:hint="eastAsia" w:ascii="黑体" w:hAnsi="黑体" w:eastAsia="黑体" w:cs="黑体"/>
          <w:color w:val="000000"/>
          <w:sz w:val="32"/>
        </w:rPr>
        <w:t>八、名词解释</w:t>
      </w:r>
      <w:bookmarkEnd w:id="16"/>
    </w:p>
    <w:p>
      <w:pPr>
        <w:spacing w:line="500" w:lineRule="exact"/>
        <w:ind w:firstLine="640" w:firstLineChars="200"/>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、一般公共预算拨款收入：指</w:t>
      </w:r>
      <w:r>
        <w:rPr>
          <w:rFonts w:hint="eastAsia" w:ascii="仿宋" w:hAnsi="仿宋" w:eastAsia="仿宋"/>
          <w:color w:val="000000"/>
          <w:sz w:val="32"/>
          <w:szCs w:val="32"/>
          <w:lang w:eastAsia="zh-CN"/>
        </w:rPr>
        <w:t>县</w:t>
      </w:r>
      <w:r>
        <w:rPr>
          <w:rFonts w:hint="eastAsia" w:ascii="仿宋" w:hAnsi="仿宋" w:eastAsia="仿宋"/>
          <w:color w:val="000000"/>
          <w:sz w:val="32"/>
          <w:szCs w:val="32"/>
        </w:rPr>
        <w:t>级财政当年拨付的资金。</w:t>
      </w:r>
    </w:p>
    <w:p>
      <w:pPr>
        <w:spacing w:line="500" w:lineRule="exact"/>
        <w:ind w:firstLine="640" w:firstLineChars="200"/>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、事业收入：指事业单位开展专业业务活动及辅助活动所取得的收入。</w:t>
      </w:r>
    </w:p>
    <w:p>
      <w:pPr>
        <w:spacing w:line="500" w:lineRule="exact"/>
        <w:ind w:firstLine="640" w:firstLineChars="200"/>
        <w:rPr>
          <w:rFonts w:ascii="仿宋" w:hAnsi="仿宋" w:eastAsia="仿宋"/>
          <w:color w:val="000000"/>
          <w:sz w:val="32"/>
          <w:szCs w:val="32"/>
        </w:rPr>
      </w:pPr>
      <w:r>
        <w:rPr>
          <w:rFonts w:ascii="仿宋" w:hAnsi="仿宋" w:eastAsia="仿宋"/>
          <w:color w:val="000000"/>
          <w:sz w:val="32"/>
          <w:szCs w:val="32"/>
        </w:rPr>
        <w:t>3</w:t>
      </w:r>
      <w:r>
        <w:rPr>
          <w:rFonts w:hint="eastAsia" w:ascii="仿宋" w:hAnsi="仿宋" w:eastAsia="仿宋"/>
          <w:color w:val="000000"/>
          <w:sz w:val="32"/>
          <w:szCs w:val="32"/>
        </w:rPr>
        <w:t>、其他收入：指除</w:t>
      </w:r>
      <w:r>
        <w:rPr>
          <w:rFonts w:ascii="仿宋" w:hAnsi="仿宋" w:eastAsia="仿宋"/>
          <w:color w:val="000000"/>
          <w:sz w:val="32"/>
          <w:szCs w:val="32"/>
        </w:rPr>
        <w:t>“</w:t>
      </w:r>
      <w:r>
        <w:rPr>
          <w:rFonts w:hint="eastAsia" w:ascii="仿宋" w:hAnsi="仿宋" w:eastAsia="仿宋"/>
          <w:color w:val="000000"/>
          <w:sz w:val="32"/>
          <w:szCs w:val="32"/>
        </w:rPr>
        <w:t>一般公共预算拨款收入</w:t>
      </w:r>
      <w:r>
        <w:rPr>
          <w:rFonts w:ascii="仿宋" w:hAnsi="仿宋" w:eastAsia="仿宋"/>
          <w:color w:val="000000"/>
          <w:sz w:val="32"/>
          <w:szCs w:val="32"/>
        </w:rPr>
        <w:t>”</w:t>
      </w:r>
      <w:r>
        <w:rPr>
          <w:rFonts w:hint="eastAsia" w:ascii="仿宋" w:hAnsi="仿宋" w:eastAsia="仿宋"/>
          <w:color w:val="000000"/>
          <w:sz w:val="32"/>
          <w:szCs w:val="32"/>
        </w:rPr>
        <w:t>、</w:t>
      </w:r>
      <w:r>
        <w:rPr>
          <w:rFonts w:ascii="仿宋" w:hAnsi="仿宋" w:eastAsia="仿宋"/>
          <w:color w:val="000000"/>
          <w:sz w:val="32"/>
          <w:szCs w:val="32"/>
        </w:rPr>
        <w:t>“</w:t>
      </w:r>
      <w:r>
        <w:rPr>
          <w:rFonts w:hint="eastAsia" w:ascii="仿宋" w:hAnsi="仿宋" w:eastAsia="仿宋"/>
          <w:color w:val="000000"/>
          <w:sz w:val="32"/>
          <w:szCs w:val="32"/>
        </w:rPr>
        <w:t>事业收入</w:t>
      </w:r>
      <w:r>
        <w:rPr>
          <w:rFonts w:ascii="仿宋" w:hAnsi="仿宋" w:eastAsia="仿宋"/>
          <w:color w:val="000000"/>
          <w:sz w:val="32"/>
          <w:szCs w:val="32"/>
        </w:rPr>
        <w:t>”</w:t>
      </w:r>
      <w:r>
        <w:rPr>
          <w:rFonts w:hint="eastAsia" w:ascii="仿宋" w:hAnsi="仿宋" w:eastAsia="仿宋"/>
          <w:color w:val="000000"/>
          <w:sz w:val="32"/>
          <w:szCs w:val="32"/>
        </w:rPr>
        <w:t>等以外的收入。主要是按规定动用的租房收入、存款利息收入等。</w:t>
      </w:r>
    </w:p>
    <w:p>
      <w:pPr>
        <w:spacing w:line="500" w:lineRule="exact"/>
        <w:ind w:firstLine="640" w:firstLineChars="200"/>
        <w:rPr>
          <w:rFonts w:ascii="仿宋" w:hAnsi="仿宋" w:eastAsia="仿宋"/>
          <w:color w:val="000000"/>
          <w:sz w:val="32"/>
          <w:szCs w:val="32"/>
        </w:rPr>
      </w:pPr>
      <w:r>
        <w:rPr>
          <w:rFonts w:ascii="仿宋" w:hAnsi="仿宋" w:eastAsia="仿宋"/>
          <w:color w:val="000000"/>
          <w:sz w:val="32"/>
          <w:szCs w:val="32"/>
        </w:rPr>
        <w:t>4</w:t>
      </w:r>
      <w:r>
        <w:rPr>
          <w:rFonts w:hint="eastAsia" w:ascii="仿宋" w:hAnsi="仿宋" w:eastAsia="仿宋"/>
          <w:color w:val="000000"/>
          <w:sz w:val="32"/>
          <w:szCs w:val="32"/>
        </w:rPr>
        <w:t>、基本支出：指为保障机构正常运转、完成日常工作任务而发生的人员支出和公用支出。</w:t>
      </w:r>
    </w:p>
    <w:p>
      <w:pPr>
        <w:spacing w:line="500" w:lineRule="exact"/>
        <w:ind w:firstLine="640" w:firstLineChars="200"/>
        <w:rPr>
          <w:rFonts w:ascii="仿宋" w:hAnsi="仿宋" w:eastAsia="仿宋"/>
          <w:color w:val="000000"/>
          <w:sz w:val="32"/>
          <w:szCs w:val="32"/>
        </w:rPr>
      </w:pPr>
      <w:r>
        <w:rPr>
          <w:rFonts w:ascii="仿宋" w:hAnsi="仿宋" w:eastAsia="仿宋"/>
          <w:color w:val="000000"/>
          <w:sz w:val="32"/>
          <w:szCs w:val="32"/>
        </w:rPr>
        <w:t>5</w:t>
      </w:r>
      <w:r>
        <w:rPr>
          <w:rFonts w:hint="eastAsia" w:ascii="仿宋" w:hAnsi="仿宋" w:eastAsia="仿宋"/>
          <w:color w:val="000000"/>
          <w:sz w:val="32"/>
          <w:szCs w:val="32"/>
        </w:rPr>
        <w:t>、项目支出：指在基本支出之外为完成特定行政任务和事业发展目标所发生的支出。</w:t>
      </w:r>
    </w:p>
    <w:p>
      <w:pPr>
        <w:spacing w:line="500" w:lineRule="exact"/>
        <w:ind w:firstLine="640" w:firstLineChars="200"/>
        <w:rPr>
          <w:rFonts w:ascii="仿宋" w:hAnsi="仿宋" w:eastAsia="仿宋"/>
          <w:color w:val="000000"/>
          <w:sz w:val="32"/>
          <w:szCs w:val="32"/>
        </w:rPr>
      </w:pPr>
      <w:r>
        <w:rPr>
          <w:rFonts w:ascii="仿宋" w:hAnsi="仿宋" w:eastAsia="仿宋"/>
          <w:color w:val="000000"/>
          <w:sz w:val="32"/>
          <w:szCs w:val="32"/>
        </w:rPr>
        <w:t>6</w:t>
      </w:r>
      <w:r>
        <w:rPr>
          <w:rFonts w:hint="eastAsia" w:ascii="仿宋" w:hAnsi="仿宋" w:eastAsia="仿宋"/>
          <w:color w:val="000000"/>
          <w:sz w:val="32"/>
          <w:szCs w:val="32"/>
        </w:rPr>
        <w:t>、上缴上级支出：指下级单位上缴上级的支出。</w:t>
      </w:r>
    </w:p>
    <w:p>
      <w:pPr>
        <w:spacing w:line="500" w:lineRule="exact"/>
        <w:ind w:firstLine="640" w:firstLineChars="200"/>
        <w:rPr>
          <w:rFonts w:ascii="仿宋" w:hAnsi="仿宋" w:eastAsia="仿宋"/>
          <w:color w:val="000000"/>
          <w:sz w:val="32"/>
          <w:szCs w:val="32"/>
        </w:rPr>
      </w:pPr>
      <w:r>
        <w:rPr>
          <w:rFonts w:ascii="仿宋" w:hAnsi="仿宋" w:eastAsia="仿宋"/>
          <w:color w:val="000000"/>
          <w:sz w:val="32"/>
          <w:szCs w:val="32"/>
        </w:rPr>
        <w:t>7</w:t>
      </w:r>
      <w:r>
        <w:rPr>
          <w:rFonts w:hint="eastAsia" w:ascii="仿宋" w:hAnsi="仿宋" w:eastAsia="仿宋"/>
          <w:color w:val="000000"/>
          <w:sz w:val="32"/>
          <w:szCs w:val="32"/>
        </w:rPr>
        <w:t>、</w:t>
      </w:r>
      <w:r>
        <w:rPr>
          <w:rFonts w:ascii="仿宋" w:hAnsi="仿宋" w:eastAsia="仿宋"/>
          <w:color w:val="000000"/>
          <w:sz w:val="32"/>
          <w:szCs w:val="32"/>
        </w:rPr>
        <w:t>“</w:t>
      </w:r>
      <w:r>
        <w:rPr>
          <w:rFonts w:hint="eastAsia" w:ascii="仿宋" w:hAnsi="仿宋" w:eastAsia="仿宋"/>
          <w:color w:val="000000"/>
          <w:sz w:val="32"/>
          <w:szCs w:val="32"/>
        </w:rPr>
        <w:t>三公</w:t>
      </w:r>
      <w:r>
        <w:rPr>
          <w:rFonts w:ascii="仿宋" w:hAnsi="仿宋" w:eastAsia="仿宋"/>
          <w:color w:val="000000"/>
          <w:sz w:val="32"/>
          <w:szCs w:val="32"/>
        </w:rPr>
        <w:t>”</w:t>
      </w:r>
      <w:r>
        <w:rPr>
          <w:rFonts w:hint="eastAsia" w:ascii="仿宋" w:hAnsi="仿宋" w:eastAsia="仿宋"/>
          <w:color w:val="000000"/>
          <w:sz w:val="32"/>
          <w:szCs w:val="32"/>
        </w:rPr>
        <w:t>经费：纳入</w:t>
      </w:r>
      <w:r>
        <w:rPr>
          <w:rFonts w:hint="eastAsia" w:ascii="仿宋" w:hAnsi="仿宋" w:eastAsia="仿宋"/>
          <w:color w:val="000000"/>
          <w:sz w:val="32"/>
          <w:szCs w:val="32"/>
          <w:lang w:eastAsia="zh-CN"/>
        </w:rPr>
        <w:t>县</w:t>
      </w:r>
      <w:r>
        <w:rPr>
          <w:rFonts w:hint="eastAsia" w:ascii="仿宋" w:hAnsi="仿宋" w:eastAsia="仿宋"/>
          <w:color w:val="000000"/>
          <w:sz w:val="32"/>
          <w:szCs w:val="32"/>
        </w:rPr>
        <w:t>级财政预算管理的</w:t>
      </w:r>
      <w:r>
        <w:rPr>
          <w:rFonts w:ascii="仿宋" w:hAnsi="仿宋" w:eastAsia="仿宋"/>
          <w:color w:val="000000"/>
          <w:sz w:val="32"/>
          <w:szCs w:val="32"/>
        </w:rPr>
        <w:t>“</w:t>
      </w:r>
      <w:r>
        <w:rPr>
          <w:rFonts w:hint="eastAsia" w:ascii="仿宋" w:hAnsi="仿宋" w:eastAsia="仿宋"/>
          <w:color w:val="000000"/>
          <w:sz w:val="32"/>
          <w:szCs w:val="32"/>
        </w:rPr>
        <w:t>三公</w:t>
      </w:r>
      <w:r>
        <w:rPr>
          <w:rFonts w:ascii="仿宋" w:hAnsi="仿宋" w:eastAsia="仿宋"/>
          <w:color w:val="000000"/>
          <w:sz w:val="32"/>
          <w:szCs w:val="32"/>
        </w:rPr>
        <w:t>”</w:t>
      </w:r>
      <w:r>
        <w:rPr>
          <w:rFonts w:hint="eastAsia" w:ascii="仿宋" w:hAnsi="仿宋" w:eastAsia="仿宋"/>
          <w:color w:val="000000"/>
          <w:sz w:val="32"/>
          <w:szCs w:val="32"/>
        </w:rPr>
        <w:t>经费，是指</w:t>
      </w:r>
      <w:r>
        <w:rPr>
          <w:rFonts w:hint="eastAsia" w:ascii="仿宋" w:hAnsi="仿宋" w:eastAsia="仿宋"/>
          <w:color w:val="000000"/>
          <w:sz w:val="32"/>
          <w:szCs w:val="32"/>
          <w:lang w:eastAsia="zh-CN"/>
        </w:rPr>
        <w:t>县</w:t>
      </w:r>
      <w:r>
        <w:rPr>
          <w:rFonts w:hint="eastAsia" w:ascii="仿宋" w:hAnsi="仿宋" w:eastAsia="仿宋"/>
          <w:color w:val="000000"/>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rPr>
          <w:rFonts w:ascii="仿宋" w:hAnsi="仿宋" w:eastAsia="仿宋"/>
          <w:color w:val="000000"/>
          <w:sz w:val="32"/>
          <w:szCs w:val="32"/>
        </w:rPr>
      </w:pPr>
      <w:r>
        <w:rPr>
          <w:rFonts w:ascii="仿宋" w:hAnsi="仿宋" w:eastAsia="仿宋"/>
          <w:color w:val="000000"/>
          <w:sz w:val="32"/>
          <w:szCs w:val="32"/>
        </w:rPr>
        <w:t>8</w:t>
      </w:r>
      <w:r>
        <w:rPr>
          <w:rFonts w:hint="eastAsia" w:ascii="仿宋" w:hAnsi="仿宋" w:eastAsia="仿宋"/>
          <w:color w:val="000000"/>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rPr>
          <w:rFonts w:ascii="仿宋" w:hAnsi="仿宋" w:eastAsia="仿宋"/>
          <w:color w:val="000000"/>
          <w:sz w:val="32"/>
          <w:szCs w:val="32"/>
        </w:rPr>
      </w:pPr>
      <w:r>
        <w:rPr>
          <w:rFonts w:ascii="仿宋" w:hAnsi="仿宋" w:eastAsia="仿宋"/>
          <w:color w:val="000000"/>
          <w:sz w:val="32"/>
          <w:szCs w:val="32"/>
        </w:rPr>
        <w:t>9</w:t>
      </w:r>
      <w:r>
        <w:rPr>
          <w:rFonts w:hint="eastAsia" w:ascii="仿宋" w:hAnsi="仿宋" w:eastAsia="仿宋"/>
          <w:color w:val="000000"/>
          <w:sz w:val="32"/>
          <w:szCs w:val="32"/>
        </w:rPr>
        <w:t>、上年结转：指以前年度尚未完成、结转到本年仍按原规定用途继续使用的资金。</w:t>
      </w:r>
    </w:p>
    <w:p>
      <w:pPr>
        <w:spacing w:line="500" w:lineRule="exact"/>
        <w:ind w:firstLine="480" w:firstLineChars="150"/>
        <w:rPr>
          <w:rFonts w:ascii="仿宋" w:hAnsi="仿宋" w:eastAsia="仿宋"/>
          <w:color w:val="000000"/>
          <w:sz w:val="32"/>
          <w:szCs w:val="32"/>
        </w:rPr>
      </w:pPr>
      <w:r>
        <w:rPr>
          <w:rFonts w:ascii="仿宋" w:hAnsi="仿宋" w:eastAsia="仿宋"/>
          <w:color w:val="000000"/>
          <w:sz w:val="32"/>
          <w:szCs w:val="32"/>
        </w:rPr>
        <w:t>10</w:t>
      </w:r>
      <w:r>
        <w:rPr>
          <w:rFonts w:hint="eastAsia" w:ascii="仿宋" w:hAnsi="仿宋" w:eastAsia="仿宋"/>
          <w:color w:val="000000"/>
          <w:sz w:val="32"/>
          <w:szCs w:val="32"/>
        </w:rPr>
        <w:t>、事业单位经营支出：指事业单位在专业业务活动及其辅助活动之外开展非独立核算经营活动发生的支出。</w:t>
      </w:r>
    </w:p>
    <w:p>
      <w:pPr>
        <w:spacing w:before="10" w:after="10"/>
        <w:ind w:firstLine="480" w:firstLineChars="150"/>
        <w:outlineLvl w:val="2"/>
      </w:pPr>
      <w:bookmarkStart w:id="17" w:name="_Toc_3_3_0000000018"/>
      <w:r>
        <w:rPr>
          <w:rFonts w:hint="eastAsia" w:ascii="黑体" w:hAnsi="黑体" w:eastAsia="黑体" w:cs="黑体"/>
          <w:color w:val="000000"/>
          <w:sz w:val="32"/>
        </w:rPr>
        <w:t>九、其他需要说明的事项</w:t>
      </w:r>
      <w:bookmarkEnd w:id="17"/>
    </w:p>
    <w:p>
      <w:pPr>
        <w:ind w:firstLine="480" w:firstLineChars="150"/>
        <w:rPr>
          <w:lang w:eastAsia="zh-CN"/>
        </w:rPr>
      </w:pPr>
      <w:r>
        <w:rPr>
          <w:rFonts w:hint="eastAsia" w:ascii="仿宋" w:hAnsi="仿宋" w:eastAsia="仿宋"/>
          <w:color w:val="000000"/>
          <w:sz w:val="32"/>
          <w:szCs w:val="32"/>
        </w:rPr>
        <w:t>我部门无其他需要说明事项</w:t>
      </w:r>
      <w:r>
        <w:rPr>
          <w:rFonts w:hint="eastAsia" w:ascii="仿宋" w:hAnsi="仿宋" w:eastAsia="仿宋"/>
          <w:color w:val="000000"/>
          <w:sz w:val="32"/>
          <w:szCs w:val="32"/>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20B0604020202020204"/>
    <w:charset w:val="86"/>
    <w:family w:val="script"/>
    <w:pitch w:val="default"/>
    <w:sig w:usb0="00000000" w:usb1="00000000" w:usb2="00000010" w:usb3="00000000" w:csb0="00040000" w:csb1="00000000"/>
  </w:font>
  <w:font w:name="方正小标宋_GBK">
    <w:altName w:val="宋体"/>
    <w:panose1 w:val="020B0604020202020204"/>
    <w:charset w:val="86"/>
    <w:family w:val="script"/>
    <w:pitch w:val="default"/>
    <w:sig w:usb0="00000000" w:usb1="00000000" w:usb2="00000010" w:usb3="00000000" w:csb0="00040000" w:csb1="00000000"/>
  </w:font>
  <w:font w:name="方正书宋_GBK">
    <w:altName w:val="宋体"/>
    <w:panose1 w:val="020B0604020202020204"/>
    <w:charset w:val="86"/>
    <w:family w:val="script"/>
    <w:pitch w:val="default"/>
    <w:sig w:usb0="00000000" w:usb1="00000000" w:usb2="00000010" w:usb3="00000000" w:csb0="00040000" w:csb1="00000000"/>
  </w:font>
  <w:font w:name="方正楷体_GBK">
    <w:altName w:val="宋体"/>
    <w:panose1 w:val="020B0604020202020204"/>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31</w:t>
    </w:r>
    <w:r>
      <w:rPr>
        <w:rStyle w:val="10"/>
      </w:rPr>
      <w:fldChar w:fldCharType="end"/>
    </w:r>
  </w:p>
  <w:p>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30</w:t>
    </w:r>
    <w:r>
      <w:rPr>
        <w:rStyle w:val="10"/>
      </w:rPr>
      <w:fldChar w:fldCharType="end"/>
    </w: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4433BA"/>
    <w:rsid w:val="000062F4"/>
    <w:rsid w:val="00014657"/>
    <w:rsid w:val="0003639A"/>
    <w:rsid w:val="00047922"/>
    <w:rsid w:val="00166F00"/>
    <w:rsid w:val="001D7DFB"/>
    <w:rsid w:val="002B29F7"/>
    <w:rsid w:val="002C3A1A"/>
    <w:rsid w:val="003146FD"/>
    <w:rsid w:val="0039161F"/>
    <w:rsid w:val="003E37EF"/>
    <w:rsid w:val="004433BA"/>
    <w:rsid w:val="00447A1C"/>
    <w:rsid w:val="00467B5E"/>
    <w:rsid w:val="0049644F"/>
    <w:rsid w:val="004A013C"/>
    <w:rsid w:val="004F78AE"/>
    <w:rsid w:val="0056029D"/>
    <w:rsid w:val="005D292C"/>
    <w:rsid w:val="00604D74"/>
    <w:rsid w:val="006C3D1E"/>
    <w:rsid w:val="006C6F7B"/>
    <w:rsid w:val="00703892"/>
    <w:rsid w:val="007911DA"/>
    <w:rsid w:val="007D62C5"/>
    <w:rsid w:val="00825DAC"/>
    <w:rsid w:val="008473AC"/>
    <w:rsid w:val="008667D0"/>
    <w:rsid w:val="008865C9"/>
    <w:rsid w:val="008B364B"/>
    <w:rsid w:val="008B7816"/>
    <w:rsid w:val="009361F1"/>
    <w:rsid w:val="00A339FC"/>
    <w:rsid w:val="00A77368"/>
    <w:rsid w:val="00A84200"/>
    <w:rsid w:val="00AB76E0"/>
    <w:rsid w:val="00B27AB9"/>
    <w:rsid w:val="00B55002"/>
    <w:rsid w:val="00B61BE4"/>
    <w:rsid w:val="00BB577B"/>
    <w:rsid w:val="00BC7B99"/>
    <w:rsid w:val="00C51796"/>
    <w:rsid w:val="00C70407"/>
    <w:rsid w:val="00C91988"/>
    <w:rsid w:val="00D469FB"/>
    <w:rsid w:val="00D9109E"/>
    <w:rsid w:val="00ED2C15"/>
    <w:rsid w:val="00F72861"/>
    <w:rsid w:val="00F75481"/>
    <w:rsid w:val="0FE81479"/>
    <w:rsid w:val="26635971"/>
    <w:rsid w:val="32F9351E"/>
    <w:rsid w:val="3684388A"/>
    <w:rsid w:val="578A3156"/>
    <w:rsid w:val="70AC59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99"/>
    <w:pPr>
      <w:ind w:left="480"/>
    </w:pPr>
  </w:style>
  <w:style w:type="paragraph" w:styleId="3">
    <w:name w:val="footer"/>
    <w:basedOn w:val="1"/>
    <w:link w:val="33"/>
    <w:qFormat/>
    <w:uiPriority w:val="99"/>
    <w:pPr>
      <w:tabs>
        <w:tab w:val="center" w:pos="4153"/>
        <w:tab w:val="right" w:pos="8306"/>
      </w:tabs>
      <w:snapToGrid w:val="0"/>
    </w:pPr>
    <w:rPr>
      <w:sz w:val="18"/>
      <w:szCs w:val="18"/>
    </w:rPr>
  </w:style>
  <w:style w:type="paragraph" w:styleId="4">
    <w:name w:val="toc 1"/>
    <w:basedOn w:val="1"/>
    <w:qFormat/>
    <w:uiPriority w:val="99"/>
    <w:pPr>
      <w:spacing w:before="120"/>
      <w:ind w:firstLine="560"/>
    </w:pPr>
    <w:rPr>
      <w:rFonts w:eastAsia="方正仿宋_GBK"/>
      <w:color w:val="000000"/>
      <w:sz w:val="28"/>
    </w:rPr>
  </w:style>
  <w:style w:type="paragraph" w:styleId="5">
    <w:name w:val="toc 4"/>
    <w:basedOn w:val="1"/>
    <w:qFormat/>
    <w:uiPriority w:val="99"/>
    <w:pPr>
      <w:ind w:left="720"/>
    </w:pPr>
  </w:style>
  <w:style w:type="paragraph" w:styleId="6">
    <w:name w:val="toc 2"/>
    <w:basedOn w:val="1"/>
    <w:qFormat/>
    <w:uiPriority w:val="99"/>
    <w:pPr>
      <w:ind w:left="240"/>
    </w:pPr>
  </w:style>
  <w:style w:type="table" w:styleId="8">
    <w:name w:val="Table Grid"/>
    <w:basedOn w:val="7"/>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basedOn w:val="9"/>
    <w:qFormat/>
    <w:uiPriority w:val="99"/>
    <w:rPr>
      <w:rFonts w:cs="Times New Roman"/>
    </w:rPr>
  </w:style>
  <w:style w:type="paragraph" w:customStyle="1" w:styleId="11">
    <w:name w:val="单元格样式22"/>
    <w:basedOn w:val="1"/>
    <w:qFormat/>
    <w:uiPriority w:val="99"/>
    <w:pPr>
      <w:jc w:val="right"/>
    </w:pPr>
    <w:rPr>
      <w:rFonts w:ascii="方正小标宋_GBK" w:hAnsi="方正小标宋_GBK" w:eastAsia="方正小标宋_GBK" w:cs="方正小标宋_GBK"/>
    </w:rPr>
  </w:style>
  <w:style w:type="paragraph" w:customStyle="1" w:styleId="12">
    <w:name w:val="单元格样式21"/>
    <w:basedOn w:val="1"/>
    <w:qFormat/>
    <w:uiPriority w:val="99"/>
    <w:pPr>
      <w:jc w:val="center"/>
    </w:pPr>
    <w:rPr>
      <w:rFonts w:ascii="方正小标宋_GBK" w:hAnsi="方正小标宋_GBK" w:eastAsia="方正小标宋_GBK" w:cs="方正小标宋_GBK"/>
    </w:rPr>
  </w:style>
  <w:style w:type="paragraph" w:customStyle="1" w:styleId="13">
    <w:name w:val="单元格样式20"/>
    <w:basedOn w:val="1"/>
    <w:qFormat/>
    <w:uiPriority w:val="99"/>
    <w:rPr>
      <w:rFonts w:ascii="方正小标宋_GBK" w:hAnsi="方正小标宋_GBK" w:eastAsia="方正小标宋_GBK" w:cs="方正小标宋_GBK"/>
    </w:rPr>
  </w:style>
  <w:style w:type="paragraph" w:customStyle="1" w:styleId="14">
    <w:name w:val="单元格样式1"/>
    <w:basedOn w:val="1"/>
    <w:qFormat/>
    <w:uiPriority w:val="99"/>
    <w:pPr>
      <w:jc w:val="center"/>
    </w:pPr>
    <w:rPr>
      <w:rFonts w:ascii="方正书宋_GBK" w:hAnsi="方正书宋_GBK" w:eastAsia="方正书宋_GBK" w:cs="方正书宋_GBK"/>
      <w:b/>
      <w:sz w:val="21"/>
    </w:rPr>
  </w:style>
  <w:style w:type="paragraph" w:customStyle="1" w:styleId="15">
    <w:name w:val="单元格样式4"/>
    <w:basedOn w:val="1"/>
    <w:qFormat/>
    <w:uiPriority w:val="99"/>
    <w:pPr>
      <w:jc w:val="right"/>
    </w:pPr>
    <w:rPr>
      <w:rFonts w:ascii="方正书宋_GBK" w:hAnsi="方正书宋_GBK" w:eastAsia="方正书宋_GBK" w:cs="方正书宋_GBK"/>
      <w:sz w:val="21"/>
    </w:rPr>
  </w:style>
  <w:style w:type="paragraph" w:customStyle="1" w:styleId="16">
    <w:name w:val="单元格样式2"/>
    <w:basedOn w:val="1"/>
    <w:qFormat/>
    <w:uiPriority w:val="99"/>
    <w:rPr>
      <w:rFonts w:ascii="方正书宋_GBK" w:hAnsi="方正书宋_GBK" w:eastAsia="方正书宋_GBK" w:cs="方正书宋_GBK"/>
      <w:sz w:val="21"/>
    </w:rPr>
  </w:style>
  <w:style w:type="paragraph" w:customStyle="1" w:styleId="17">
    <w:name w:val="单元格样式3"/>
    <w:basedOn w:val="1"/>
    <w:qFormat/>
    <w:uiPriority w:val="99"/>
    <w:pPr>
      <w:jc w:val="center"/>
    </w:pPr>
    <w:rPr>
      <w:rFonts w:ascii="方正书宋_GBK" w:hAnsi="方正书宋_GBK" w:eastAsia="方正书宋_GBK" w:cs="方正书宋_GBK"/>
      <w:sz w:val="21"/>
    </w:rPr>
  </w:style>
  <w:style w:type="paragraph" w:customStyle="1" w:styleId="18">
    <w:name w:val="单元格样式6"/>
    <w:basedOn w:val="1"/>
    <w:qFormat/>
    <w:uiPriority w:val="99"/>
    <w:pPr>
      <w:jc w:val="center"/>
    </w:pPr>
    <w:rPr>
      <w:rFonts w:ascii="方正书宋_GBK" w:hAnsi="方正书宋_GBK" w:eastAsia="方正书宋_GBK" w:cs="方正书宋_GBK"/>
      <w:b/>
      <w:sz w:val="21"/>
    </w:rPr>
  </w:style>
  <w:style w:type="paragraph" w:customStyle="1" w:styleId="19">
    <w:name w:val="单元格样式7"/>
    <w:basedOn w:val="1"/>
    <w:qFormat/>
    <w:uiPriority w:val="99"/>
    <w:pPr>
      <w:jc w:val="right"/>
    </w:pPr>
    <w:rPr>
      <w:rFonts w:ascii="方正书宋_GBK" w:hAnsi="方正书宋_GBK" w:eastAsia="方正书宋_GBK" w:cs="方正书宋_GBK"/>
      <w:b/>
      <w:sz w:val="21"/>
    </w:rPr>
  </w:style>
  <w:style w:type="paragraph" w:customStyle="1" w:styleId="20">
    <w:name w:val="单元格样式5"/>
    <w:basedOn w:val="1"/>
    <w:qFormat/>
    <w:uiPriority w:val="99"/>
    <w:rPr>
      <w:rFonts w:ascii="方正书宋_GBK" w:hAnsi="方正书宋_GBK" w:eastAsia="方正书宋_GBK" w:cs="方正书宋_GBK"/>
      <w:b/>
      <w:sz w:val="21"/>
    </w:rPr>
  </w:style>
  <w:style w:type="paragraph" w:customStyle="1" w:styleId="21">
    <w:name w:val="插入文本样式-插入部门职责文件"/>
    <w:basedOn w:val="1"/>
    <w:qFormat/>
    <w:uiPriority w:val="99"/>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5">
    <w:name w:val="插入文本样式-插入总体目标文件"/>
    <w:basedOn w:val="1"/>
    <w:qFormat/>
    <w:uiPriority w:val="99"/>
    <w:pPr>
      <w:spacing w:line="500" w:lineRule="exact"/>
      <w:ind w:firstLine="560"/>
    </w:pPr>
    <w:rPr>
      <w:rFonts w:eastAsia="方正仿宋_GBK"/>
      <w:sz w:val="28"/>
    </w:rPr>
  </w:style>
  <w:style w:type="paragraph" w:customStyle="1" w:styleId="26">
    <w:name w:val="插入文本样式-插入职责分类绩效目标文件"/>
    <w:basedOn w:val="1"/>
    <w:qFormat/>
    <w:uiPriority w:val="99"/>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8">
    <w:name w:val="单元格样式23"/>
    <w:basedOn w:val="1"/>
    <w:qFormat/>
    <w:uiPriority w:val="99"/>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99"/>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character" w:customStyle="1" w:styleId="33">
    <w:name w:val="页脚 字符"/>
    <w:basedOn w:val="9"/>
    <w:link w:val="3"/>
    <w:semiHidden/>
    <w:qFormat/>
    <w:locked/>
    <w:uiPriority w:val="99"/>
    <w:rPr>
      <w:rFonts w:cs="Times New Roman"/>
      <w:kern w:val="0"/>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2055</Words>
  <Characters>11717</Characters>
  <Lines>97</Lines>
  <Paragraphs>27</Paragraphs>
  <TotalTime>126</TotalTime>
  <ScaleCrop>false</ScaleCrop>
  <LinksUpToDate>false</LinksUpToDate>
  <CharactersWithSpaces>13745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2022-03-18T11:02:00Z</dcterms:created>
  <dc:creator>Sally</dc:creator>
  <cp:lastModifiedBy>Sally</cp:lastModifiedBy>
  <dcterms:modified xsi:type="dcterms:W3CDTF">2023-11-18T02:22:31Z</dcterms:modified>
  <dc:title>2022年部门预算信息公开目录</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54D6A0ACB58D4834A0FADF69E7C3117F_13</vt:lpwstr>
  </property>
</Properties>
</file>