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cs="Times New Roman"/>
          <w:b/>
          <w:sz w:val="44"/>
        </w:rPr>
      </w:pPr>
      <w:r>
        <w:rPr>
          <w:rFonts w:hint="eastAsia" w:ascii="黑体" w:hAnsi="Times New Roman" w:eastAsia="黑体" w:cs="Times New Roman"/>
          <w:b/>
          <w:sz w:val="44"/>
        </w:rPr>
        <w:t>2021年部门预算信息公开目录</w:t>
      </w:r>
    </w:p>
    <w:p>
      <w:pPr>
        <w:jc w:val="center"/>
        <w:rPr>
          <w:rFonts w:ascii="Times New Roman" w:hAnsi="宋体" w:cs="Times New Roman"/>
          <w:b/>
          <w:sz w:val="30"/>
        </w:rPr>
      </w:pPr>
      <w:r>
        <w:rPr>
          <w:rFonts w:ascii="黑体" w:hAnsi="黑体" w:eastAsia="黑体" w:cs="Times New Roman"/>
          <w:b/>
          <w:sz w:val="30"/>
        </w:rPr>
        <w:t xml:space="preserve"> </w:t>
      </w:r>
    </w:p>
    <w:p>
      <w:pPr>
        <w:jc w:val="center"/>
        <w:rPr>
          <w:rFonts w:hint="eastAsia" w:ascii="Times New Roman" w:hAnsi="宋体" w:cs="Times New Roman"/>
          <w:b/>
          <w:sz w:val="30"/>
        </w:rPr>
      </w:pPr>
      <w:r>
        <w:rPr>
          <w:rFonts w:hint="eastAsia" w:ascii="黑体" w:hAnsi="黑体" w:eastAsia="黑体" w:cs="Times New Roman"/>
          <w:b/>
          <w:sz w:val="30"/>
        </w:rPr>
        <w:t>部门预算</w:t>
      </w:r>
    </w:p>
    <w:p>
      <w:pPr>
        <w:jc w:val="left"/>
        <w:rPr>
          <w:rFonts w:hint="eastAsia" w:ascii="Times New Roman" w:hAnsi="宋体" w:cs="Times New Roman"/>
          <w:b/>
          <w:sz w:val="28"/>
        </w:rPr>
      </w:pPr>
      <w:r>
        <w:rPr>
          <w:rFonts w:hint="eastAsia" w:ascii="方正楷体_GBK" w:hAnsi="Times New Roman" w:eastAsia="方正楷体_GBK" w:cs="Times New Roman"/>
          <w:b/>
          <w:sz w:val="28"/>
        </w:rPr>
        <w:t>部门预算公开表</w:t>
      </w:r>
    </w:p>
    <w:p>
      <w:pPr>
        <w:pStyle w:val="6"/>
        <w:tabs>
          <w:tab w:val="right" w:leader="dot" w:pos="14789"/>
        </w:tabs>
        <w:jc w:val="center"/>
        <w:rPr>
          <w:rFonts w:ascii="Times New Roman" w:hAnsi="Times New Roman" w:eastAsia="方正仿宋_GBK" w:cs="Times New Roman"/>
          <w:sz w:val="28"/>
        </w:rPr>
      </w:pP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TOC \o "2-2" \h \z \u \t "-1" </w:instrText>
      </w:r>
      <w:r>
        <w:rPr>
          <w:rFonts w:ascii="Times New Roman" w:hAnsi="Times New Roman" w:eastAsia="方正仿宋_GBK" w:cs="Times New Roman"/>
          <w:sz w:val="28"/>
        </w:rPr>
        <w:fldChar w:fldCharType="separate"/>
      </w: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"_Toc71204440"</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部门预算收支总表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_Toc71204440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"_Toc71204441"</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部门预算收入总表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_Toc71204441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3</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"_Toc71204442"</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部门预算支出总表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5</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"_Toc71204443"</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部门预算财政拨款收支总表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"_Toc71204444"</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部门预算一般公共预算财政拨款支出表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_Toc71204444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10</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"_Toc71204445"</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部门预算一般公共预算财政拨款基本支出表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_Toc71204445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11</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"_Toc71204446"</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部门预算政府基金预算财政拨款支出表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_Toc71204446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13</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"_Toc71204447"</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部门预算国有资本经营预算财政拨款支出表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_Toc71204447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14</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"_Toc71204448"</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部门预算财政拨款“三公”经费支出表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_Toc71204448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15</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ind w:left="420" w:leftChars="200"/>
        <w:jc w:val="center"/>
        <w:rPr>
          <w:rFonts w:ascii="Times New Roman" w:hAnsi="宋体" w:cs="Times New Roman"/>
        </w:rPr>
      </w:pPr>
      <w:r>
        <w:rPr>
          <w:rFonts w:ascii="Times New Roman" w:hAnsi="Times New Roman" w:eastAsia="方正仿宋_GBK" w:cs="Times New Roman"/>
          <w:sz w:val="28"/>
        </w:rPr>
        <w:fldChar w:fldCharType="end"/>
      </w:r>
    </w:p>
    <w:p>
      <w:pPr>
        <w:jc w:val="left"/>
        <w:rPr>
          <w:rFonts w:hint="eastAsia" w:ascii="Times New Roman" w:hAnsi="宋体" w:cs="Times New Roman"/>
          <w:b/>
          <w:sz w:val="28"/>
        </w:rPr>
      </w:pPr>
      <w:r>
        <w:rPr>
          <w:rFonts w:hint="eastAsia" w:ascii="方正楷体_GBK" w:hAnsi="Times New Roman" w:eastAsia="方正楷体_GBK" w:cs="Times New Roman"/>
          <w:b/>
          <w:sz w:val="28"/>
        </w:rPr>
        <w:t>部门预算信息公开情况说明</w:t>
      </w:r>
    </w:p>
    <w:p>
      <w:pPr>
        <w:pStyle w:val="2"/>
        <w:tabs>
          <w:tab w:val="right" w:leader="dot" w:pos="14789"/>
        </w:tabs>
        <w:ind w:left="420" w:leftChars="200"/>
        <w:jc w:val="center"/>
        <w:rPr>
          <w:rFonts w:ascii="Times New Roman" w:hAnsi="Times New Roman" w:eastAsia="方正仿宋_GBK" w:cs="Times New Roman"/>
          <w:sz w:val="28"/>
        </w:rPr>
      </w:pP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TOC \o "3-3" \h \z \u \t "-1" </w:instrText>
      </w:r>
      <w:r>
        <w:rPr>
          <w:rFonts w:ascii="Times New Roman" w:hAnsi="Times New Roman" w:eastAsia="方正仿宋_GBK" w:cs="Times New Roman"/>
          <w:sz w:val="28"/>
        </w:rPr>
        <w:fldChar w:fldCharType="separate"/>
      </w: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"_Toc71204449"</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一、部门职责及机构设置情况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_Toc71204449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16</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"_Toc71204450"</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二、部门预算安排的总体情况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_Toc71204450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"_Toc71204451"</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三、机关运行经费安排情况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_Toc71204451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"_Toc71204452"</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四、财政拨款</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三公</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经费预算情况及增减变化原因</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"_Toc71204453"</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五、预算绩效信息</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18</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"_Toc71204454"</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六、政府采购预算情况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_Toc71204454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"_Toc71204455"</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七、国有资产信息</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_Toc71204455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"_Toc71204456"</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八、名词解释</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_Toc71204456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28</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"_Toc71204457"</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九、其他需要说明的事项</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_Toc71204457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29</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ind w:left="420" w:leftChars="200"/>
        <w:jc w:val="center"/>
        <w:rPr>
          <w:rFonts w:ascii="Times New Roman" w:hAnsi="宋体" w:cs="Times New Roman"/>
        </w:rPr>
      </w:pPr>
      <w:r>
        <w:rPr>
          <w:rFonts w:ascii="Times New Roman" w:hAnsi="Times New Roman" w:eastAsia="方正仿宋_GBK" w:cs="Times New Roman"/>
          <w:sz w:val="28"/>
        </w:rPr>
        <w:fldChar w:fldCharType="end"/>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hint="eastAsia" w:ascii="Times New Roman" w:hAnsi="宋体" w:cs="Times New Roman"/>
          <w:sz w:val="72"/>
        </w:rPr>
      </w:pPr>
      <w:r>
        <w:rPr>
          <w:rFonts w:hint="eastAsia" w:ascii="方正小标宋_GBK" w:hAnsi="Times New Roman" w:eastAsia="方正小标宋_GBK" w:cs="Times New Roman"/>
          <w:sz w:val="72"/>
        </w:rPr>
        <w:t>部门预算</w:t>
      </w:r>
    </w:p>
    <w:p>
      <w:pPr>
        <w:jc w:val="center"/>
        <w:sectPr>
          <w:headerReference r:id="rId3" w:type="default"/>
          <w:footerReference r:id="rId4" w:type="default"/>
          <w:pgSz w:w="16839" w:h="11907" w:orient="landscape"/>
          <w:pgMar w:top="1361" w:right="1020" w:bottom="1134" w:left="1020" w:header="851" w:footer="992" w:gutter="0"/>
          <w:pgNumType w:start="1"/>
          <w:cols w:space="425" w:num="1"/>
          <w:docGrid w:type="lines" w:linePitch="312" w:charSpace="0"/>
        </w:sectPr>
      </w:pPr>
    </w:p>
    <w:p>
      <w:pPr>
        <w:jc w:val="center"/>
        <w:outlineLvl w:val="1"/>
        <w:rPr>
          <w:rFonts w:ascii="方正小标宋_GBK" w:eastAsia="方正小标宋_GBK"/>
          <w:sz w:val="36"/>
        </w:rPr>
        <w:sectPr>
          <w:pgSz w:w="16839" w:h="11907" w:orient="landscape"/>
          <w:pgMar w:top="1361" w:right="1020" w:bottom="1134" w:left="1020" w:header="851" w:footer="992" w:gutter="0"/>
          <w:cols w:space="425" w:num="1"/>
          <w:docGrid w:type="lines" w:linePitch="312" w:charSpace="0"/>
        </w:sectPr>
      </w:pPr>
      <w:bookmarkStart w:id="0" w:name="_Toc71204440"/>
    </w:p>
    <w:p>
      <w:pPr>
        <w:jc w:val="center"/>
        <w:outlineLvl w:val="1"/>
        <w:rPr>
          <w:rFonts w:hint="eastAsia" w:ascii="Times New Roman" w:hAnsi="宋体" w:cs="Times New Roman"/>
          <w:sz w:val="36"/>
        </w:rPr>
      </w:pPr>
      <w:r>
        <w:rPr>
          <w:rFonts w:hint="eastAsia" w:ascii="方正小标宋_GBK" w:hAnsi="Times New Roman" w:eastAsia="方正小标宋_GBK" w:cs="Times New Roman"/>
          <w:sz w:val="36"/>
        </w:rPr>
        <w:t>部门预算收支总表</w:t>
      </w:r>
      <w:bookmarkEnd w:id="0"/>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2675161.60</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四、财政专户管理资金收入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五、事业收入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六、事业单位经营收入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七、上级补助收入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八、附属单位上缴收入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九、其他收入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上年结转结余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年终结转结余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r>
    </w:tbl>
    <w:p>
      <w:pPr>
        <w:spacing w:line="300" w:lineRule="exact"/>
        <w:jc w:val="left"/>
        <w:outlineLvl w:val="1"/>
        <w:sectPr>
          <w:footerReference r:id="rId5" w:type="default"/>
          <w:pgSz w:w="16839" w:h="11907" w:orient="landscape"/>
          <w:pgMar w:top="1361" w:right="1020" w:bottom="1134" w:left="1020" w:header="851" w:footer="992" w:gutter="0"/>
          <w:pgNumType w:start="1"/>
          <w:cols w:space="425" w:num="1"/>
          <w:docGrid w:type="lines" w:linePitch="312" w:charSpace="0"/>
        </w:sectPr>
      </w:pPr>
    </w:p>
    <w:p>
      <w:pPr>
        <w:jc w:val="center"/>
        <w:outlineLvl w:val="1"/>
        <w:rPr>
          <w:rFonts w:hint="eastAsia" w:ascii="Times New Roman" w:hAnsi="宋体" w:cs="Times New Roman"/>
          <w:sz w:val="36"/>
        </w:rPr>
      </w:pPr>
      <w:bookmarkStart w:id="1" w:name="_Toc71204441"/>
      <w:r>
        <w:rPr>
          <w:rFonts w:hint="eastAsia" w:ascii="方正小标宋_GBK" w:hAnsi="Times New Roman" w:eastAsia="方正小标宋_GBK" w:cs="Times New Roman"/>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255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9072" w:type="dxa"/>
            <w:gridSpan w:val="8"/>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本年收入</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134"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小计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财政拨款</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事业收入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上级补助收入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附属单位上缴收入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其他收入</w:t>
            </w:r>
          </w:p>
        </w:tc>
        <w:tc>
          <w:tcPr>
            <w:tcW w:w="1134" w:type="dxa"/>
            <w:vMerge w:val="continue"/>
            <w:shd w:val="clear" w:color="auto" w:fill="auto"/>
            <w:noWrap w:val="0"/>
            <w:vAlign w:val="center"/>
          </w:tcPr>
          <w:p>
            <w:pPr>
              <w:spacing w:line="300" w:lineRule="exact"/>
              <w:jc w:val="left"/>
              <w:outlineLvl w:val="1"/>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9</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11</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2529961.60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2529961.60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2529961.60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1326700.00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1326700.00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1326700.00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2" w:name="_Toc71204442"/>
      <w:r>
        <w:rPr>
          <w:rFonts w:hint="eastAsia" w:ascii="方正小标宋_GBK" w:hAnsi="Times New Roman" w:eastAsia="方正小标宋_GBK" w:cs="Times New Roman"/>
          <w:sz w:val="36"/>
        </w:rPr>
        <w:t>部门预算支出总表</w:t>
      </w:r>
      <w:bookmarkEnd w:id="2"/>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527"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上解上级</w:t>
            </w:r>
            <w:r>
              <w:rPr>
                <w:rFonts w:ascii="方正书宋_GBK" w:hAnsi="Times New Roman" w:eastAsia="方正书宋_GBK" w:cs="Times New Roman"/>
                <w:b/>
              </w:rPr>
              <w:t xml:space="preserve"> </w:t>
            </w:r>
            <w:r>
              <w:rPr>
                <w:rFonts w:hint="eastAsia" w:ascii="方正书宋_GBK" w:hAnsi="Times New Roman" w:eastAsia="方正书宋_GBK" w:cs="Times New Roman"/>
                <w:b/>
              </w:rPr>
              <w:t>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361" w:type="dxa"/>
            <w:vMerge w:val="continue"/>
            <w:shd w:val="clear" w:color="auto" w:fill="auto"/>
            <w:noWrap w:val="0"/>
            <w:vAlign w:val="center"/>
          </w:tcPr>
          <w:p>
            <w:pPr>
              <w:spacing w:line="300" w:lineRule="exact"/>
              <w:jc w:val="left"/>
              <w:outlineLvl w:val="1"/>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730400.00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2220761.60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664200.00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2529961.60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585200.00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1326700.00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3" w:name="_Toc71204443"/>
      <w:r>
        <w:rPr>
          <w:rFonts w:hint="eastAsia" w:ascii="方正小标宋_GBK" w:hAnsi="Times New Roman" w:eastAsia="方正小标宋_GBK" w:cs="Times New Roman"/>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487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9298" w:type="dxa"/>
            <w:gridSpan w:val="5"/>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金额</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2675161.60</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2675161.60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年初财政拨款结转和结余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年末财政拨款结转和结余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36</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2951161.60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2675161.60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4" w:name="_Toc71204444"/>
      <w:r>
        <w:rPr>
          <w:rFonts w:hint="eastAsia" w:ascii="方正小标宋_GBK" w:hAnsi="Times New Roman" w:eastAsia="方正小标宋_GBK" w:cs="Times New Roman"/>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2675161.60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730400.00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2608961.60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664200.00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2529961.60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585200.00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1326700.00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28200.00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5" w:name="_Toc71204445"/>
      <w:r>
        <w:rPr>
          <w:rFonts w:hint="eastAsia" w:ascii="方正小标宋_GBK" w:hAnsi="Times New Roman" w:eastAsia="方正小标宋_GBK" w:cs="Times New Roman"/>
          <w:sz w:val="36"/>
        </w:rPr>
        <w:t>部门预算一般公共预算财政拨款基本支出表</w:t>
      </w:r>
      <w:bookmarkEnd w:id="5"/>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支出部门经济分类科目</w:t>
            </w:r>
          </w:p>
        </w:tc>
        <w:tc>
          <w:tcPr>
            <w:tcW w:w="7653" w:type="dxa"/>
            <w:gridSpan w:val="3"/>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人员经费</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730400.00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622400.00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工资福利支出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562400.00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562400.00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基本工资</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290000.00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290000.00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津贴补贴</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89000.00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89000.00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奖金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绩效工资</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职业年金缴费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城镇职工基本医疗保险缴费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其他社会保障缴费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商品和服务支出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办公费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13300.00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电费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邮电费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30239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其他交通费用</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对个人和家庭的补助</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奖励金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6" w:name="_Toc71204446"/>
      <w:r>
        <w:rPr>
          <w:rFonts w:hint="eastAsia" w:ascii="方正小标宋_GBK" w:hAnsi="Times New Roman" w:eastAsia="方正小标宋_GBK" w:cs="Times New Roman"/>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bl>
    <w:p>
      <w:pPr>
        <w:spacing w:line="300" w:lineRule="exact"/>
        <w:jc w:val="left"/>
        <w:outlineLvl w:val="1"/>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7" w:name="_Toc71204447"/>
      <w:r>
        <w:rPr>
          <w:rFonts w:hint="eastAsia" w:ascii="方正小标宋_GBK" w:hAnsi="Times New Roman" w:eastAsia="方正小标宋_GBK" w:cs="Times New Roman"/>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551" w:type="dxa"/>
            <w:vMerge w:val="continue"/>
            <w:shd w:val="clear" w:color="auto" w:fill="auto"/>
            <w:noWrap w:val="0"/>
            <w:vAlign w:val="center"/>
          </w:tcPr>
          <w:p>
            <w:pPr>
              <w:spacing w:line="300" w:lineRule="exact"/>
              <w:jc w:val="left"/>
              <w:outlineLvl w:val="1"/>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outlineLvl w:val="1"/>
        <w:rPr>
          <w:rFonts w:hint="eastAsia" w:ascii="Times New Roman" w:hAnsi="宋体" w:cs="Times New Roman"/>
          <w:sz w:val="36"/>
        </w:rPr>
      </w:pPr>
      <w:bookmarkStart w:id="8" w:name="_Toc71204448"/>
      <w:r>
        <w:rPr>
          <w:rFonts w:hint="eastAsia" w:ascii="方正小标宋_GBK" w:hAnsi="Times New Roman" w:eastAsia="方正小标宋_GBK" w:cs="Times New Roman"/>
          <w:sz w:val="36"/>
        </w:rPr>
        <w:t>部门预算财政拨款“三公”经费支出表</w:t>
      </w:r>
      <w:bookmarkEnd w:id="8"/>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3798"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9524" w:type="dxa"/>
            <w:gridSpan w:val="4"/>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w:t>
            </w:r>
            <w:r>
              <w:rPr>
                <w:rFonts w:ascii="方正书宋_GBK" w:hAnsi="Times New Roman" w:eastAsia="方正书宋_GBK" w:cs="Times New Roman"/>
                <w:b/>
              </w:rPr>
              <w:t xml:space="preserve"> </w:t>
            </w:r>
            <w:r>
              <w:rPr>
                <w:rFonts w:hint="eastAsia" w:ascii="方正书宋_GBK" w:hAnsi="Times New Roman" w:eastAsia="方正书宋_GBK" w:cs="Times New Roman"/>
                <w:b/>
              </w:rPr>
              <w:t>金</w:t>
            </w:r>
            <w:r>
              <w:rPr>
                <w:rFonts w:ascii="方正书宋_GBK" w:hAnsi="Times New Roman" w:eastAsia="方正书宋_GBK" w:cs="Times New Roman"/>
                <w:b/>
              </w:rPr>
              <w:t xml:space="preserve"> </w:t>
            </w:r>
            <w:r>
              <w:rPr>
                <w:rFonts w:hint="eastAsia" w:ascii="方正书宋_GBK" w:hAnsi="Times New Roman" w:eastAsia="方正书宋_GBK" w:cs="Times New Roman"/>
                <w:b/>
              </w:rPr>
              <w:t>性</w:t>
            </w:r>
            <w:r>
              <w:rPr>
                <w:rFonts w:ascii="方正书宋_GBK" w:hAnsi="Times New Roman" w:eastAsia="方正书宋_GBK" w:cs="Times New Roman"/>
                <w:b/>
              </w:rPr>
              <w:t xml:space="preserve"> </w:t>
            </w:r>
            <w:r>
              <w:rPr>
                <w:rFonts w:hint="eastAsia" w:ascii="方正书宋_GBK" w:hAnsi="Times New Roman" w:eastAsia="方正书宋_GBK" w:cs="Times New Roman"/>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3798" w:type="dxa"/>
            <w:vMerge w:val="continue"/>
            <w:shd w:val="clear" w:color="auto" w:fill="auto"/>
            <w:noWrap w:val="0"/>
            <w:vAlign w:val="center"/>
          </w:tcPr>
          <w:p>
            <w:pPr>
              <w:spacing w:line="300" w:lineRule="exact"/>
              <w:jc w:val="left"/>
              <w:outlineLvl w:val="1"/>
              <w:rPr>
                <w:rFonts w:ascii="Times New Roman" w:hAnsi="Times New Roman" w:cs="Times New Roman"/>
              </w:rPr>
            </w:pP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w:t>
            </w:r>
            <w:r>
              <w:rPr>
                <w:rFonts w:ascii="方正书宋_GBK" w:hAnsi="Times New Roman" w:eastAsia="方正书宋_GBK" w:cs="Times New Roman"/>
                <w:b/>
              </w:rPr>
              <w:t xml:space="preserve">       </w:t>
            </w:r>
            <w:r>
              <w:rPr>
                <w:rFonts w:hint="eastAsia" w:ascii="方正书宋_GBK" w:hAnsi="Times New Roman" w:eastAsia="方正书宋_GBK" w:cs="Times New Roman"/>
                <w:b/>
              </w:rPr>
              <w:t>财政拨款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cs="Times New Roman"/>
          <w:sz w:val="44"/>
        </w:rPr>
      </w:pPr>
      <w:r>
        <w:rPr>
          <w:rFonts w:hint="eastAsia" w:ascii="方正小标宋_GBK" w:hAnsi="Times New Roman" w:eastAsia="方正小标宋_GBK" w:cs="Times New Roman"/>
          <w:sz w:val="44"/>
        </w:rPr>
        <w:t>馆陶县残疾人联合会2021年部门预算信息公开情况说明</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按照《中华人民共和国</w:t>
      </w:r>
      <w:bookmarkStart w:id="18" w:name="_GoBack"/>
      <w:bookmarkEnd w:id="18"/>
      <w:r>
        <w:rPr>
          <w:rFonts w:hint="eastAsia" w:ascii="Times New Roman" w:hAnsi="Times New Roman" w:eastAsia="方正仿宋_GBK" w:cs="Times New Roman"/>
          <w:sz w:val="28"/>
        </w:rPr>
        <w:t>预算法》、《地方预决算公开操作规程》和《河北省省级预算公开办法》规定，现将馆陶县残疾人联合会2021年部门预算公开如下：</w:t>
      </w:r>
    </w:p>
    <w:p>
      <w:pPr>
        <w:spacing w:before="156" w:beforeLines="50" w:after="156" w:afterLines="50"/>
        <w:ind w:firstLine="640" w:firstLineChars="200"/>
        <w:jc w:val="left"/>
        <w:outlineLvl w:val="2"/>
        <w:rPr>
          <w:rFonts w:hint="eastAsia" w:ascii="Times New Roman" w:hAnsi="宋体" w:cs="Times New Roman"/>
          <w:sz w:val="32"/>
        </w:rPr>
      </w:pPr>
      <w:bookmarkStart w:id="9" w:name="_Toc71204449"/>
      <w:r>
        <w:rPr>
          <w:rFonts w:hint="eastAsia" w:ascii="黑体" w:hAnsi="黑体" w:eastAsia="黑体" w:cs="Times New Roman"/>
          <w:sz w:val="32"/>
        </w:rPr>
        <w:t>一、部门职责及机构设置情况</w:t>
      </w:r>
      <w:bookmarkEnd w:id="9"/>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部门职责：</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xml:space="preserve">       残疾人联合会代表残疾人共同利益，维护残疾人的合法权益，开展各项业务和活动直接为残疾人的发展服务。保障残疾人平等地充分参与社会生活主要职责有：</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（一）听取残疾人意见，反映残疾人需要维护残疾人权益为残疾人服务。</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（二）团结教育残疾人，遵守法律履行应尽的义务；发扬乐观进取精神，自尊自信、自强、自立，为社会主义建设贡献力量。</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（三）弘扬人道主义宣扬残疾人事业沟通政府、社会与残疾人之间的联系，动员社会理解、尊重、关心，帮助残疾人。</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（四）开展残疾人康复、教育、劳动就业、文化、体育、科研、用品用具供应、福利、社会服务，无障碍设施和参加预防工作，做好综合、组织、协调和服务。</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（五）承担政府残疾人工作协调委员会的日常工作，做好综合、组织、协调和服务。</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（六）协助政府研究制定和实施残疾人事业的法规、政策、规划和计划、对有关业务领域进行指导和管理。</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（七）指导和管理各类残疾人社团组织。</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（八）承担政府交办的其他工作。</w:t>
      </w:r>
    </w:p>
    <w:p>
      <w:pPr>
        <w:spacing w:line="500" w:lineRule="exact"/>
        <w:ind w:firstLine="560" w:firstLineChars="200"/>
        <w:jc w:val="left"/>
        <w:rPr>
          <w:rFonts w:ascii="Times New Roman" w:hAnsi="Times New Roman" w:eastAsia="方正仿宋_GBK" w:cs="Times New Roman"/>
          <w:sz w:val="28"/>
        </w:rPr>
      </w:pP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机构设置：</w:t>
      </w:r>
    </w:p>
    <w:p>
      <w:pPr>
        <w:jc w:val="center"/>
        <w:rPr>
          <w:rFonts w:hint="eastAsia" w:ascii="Times New Roman" w:hAnsi="宋体" w:cs="Times New Roman"/>
          <w:sz w:val="32"/>
        </w:rPr>
      </w:pPr>
      <w:r>
        <w:rPr>
          <w:rFonts w:hint="eastAsia" w:ascii="方正小标宋_GBK" w:hAnsi="Times New Roman" w:eastAsia="方正小标宋_GBK" w:cs="Times New Roman"/>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单位名称</w:t>
            </w:r>
          </w:p>
        </w:tc>
        <w:tc>
          <w:tcPr>
            <w:tcW w:w="1843"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单位性质</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单位规格</w:t>
            </w:r>
          </w:p>
        </w:tc>
        <w:tc>
          <w:tcPr>
            <w:tcW w:w="382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馆陶县残疾人联合会本级</w:t>
            </w:r>
          </w:p>
        </w:tc>
        <w:tc>
          <w:tcPr>
            <w:tcW w:w="1843"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行政</w:t>
            </w:r>
          </w:p>
        </w:tc>
        <w:tc>
          <w:tcPr>
            <w:tcW w:w="2126"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正科级</w:t>
            </w:r>
          </w:p>
        </w:tc>
        <w:tc>
          <w:tcPr>
            <w:tcW w:w="3827"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馆陶县残疾人联合会（事业）</w:t>
            </w:r>
          </w:p>
        </w:tc>
        <w:tc>
          <w:tcPr>
            <w:tcW w:w="1843"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事业</w:t>
            </w:r>
          </w:p>
        </w:tc>
        <w:tc>
          <w:tcPr>
            <w:tcW w:w="2126"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正科级</w:t>
            </w:r>
          </w:p>
        </w:tc>
        <w:tc>
          <w:tcPr>
            <w:tcW w:w="382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其他</w:t>
            </w:r>
          </w:p>
        </w:tc>
      </w:tr>
    </w:tbl>
    <w:p>
      <w:pPr>
        <w:spacing w:before="156" w:beforeLines="50" w:after="156" w:afterLines="50"/>
        <w:ind w:firstLine="640" w:firstLineChars="200"/>
        <w:jc w:val="left"/>
        <w:outlineLvl w:val="2"/>
        <w:rPr>
          <w:rFonts w:hint="eastAsia" w:ascii="Times New Roman" w:hAnsi="宋体" w:cs="Times New Roman"/>
          <w:sz w:val="32"/>
        </w:rPr>
      </w:pPr>
      <w:bookmarkStart w:id="10" w:name="_Toc71204450"/>
      <w:r>
        <w:rPr>
          <w:rFonts w:hint="eastAsia" w:ascii="黑体" w:hAnsi="黑体" w:eastAsia="黑体" w:cs="Times New Roman"/>
          <w:sz w:val="32"/>
        </w:rPr>
        <w:t>二、部门预算安排的总体情况</w:t>
      </w:r>
      <w:bookmarkEnd w:id="10"/>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按照预算管理有关规定，目前我省部门预算的编制实行综合预算管理，即全部收入和支出都反映在预算中。馆陶县残疾人联合会机关及所属事业单位的收支包含在部门预算中。</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outlineLvl w:val="2"/>
        <w:rPr>
          <w:rFonts w:hint="eastAsia" w:ascii="Times New Roman" w:hAnsi="宋体" w:cs="Times New Roman"/>
          <w:sz w:val="32"/>
        </w:rPr>
      </w:pPr>
      <w:bookmarkStart w:id="11" w:name="_Toc71204451"/>
      <w:r>
        <w:rPr>
          <w:rFonts w:hint="eastAsia" w:ascii="黑体" w:hAnsi="黑体" w:eastAsia="黑体" w:cs="Times New Roman"/>
          <w:sz w:val="32"/>
        </w:rPr>
        <w:t>三、机关运行经费安排情况</w:t>
      </w:r>
      <w:bookmarkEnd w:id="11"/>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outlineLvl w:val="2"/>
        <w:rPr>
          <w:rFonts w:hint="eastAsia" w:ascii="Times New Roman" w:hAnsi="宋体" w:cs="Times New Roman"/>
          <w:sz w:val="32"/>
        </w:rPr>
      </w:pPr>
      <w:bookmarkStart w:id="12" w:name="_Toc71204452"/>
      <w:r>
        <w:rPr>
          <w:rFonts w:hint="eastAsia" w:ascii="黑体" w:hAnsi="黑体" w:eastAsia="黑体" w:cs="Times New Roman"/>
          <w:sz w:val="32"/>
        </w:rPr>
        <w:t>四、财政拨款</w:t>
      </w:r>
      <w:r>
        <w:rPr>
          <w:rFonts w:hint="cs" w:ascii="黑体" w:hAnsi="黑体" w:eastAsia="黑体" w:cs="Times New Roman"/>
          <w:sz w:val="32"/>
        </w:rPr>
        <w:t>“</w:t>
      </w:r>
      <w:r>
        <w:rPr>
          <w:rFonts w:hint="eastAsia" w:ascii="黑体" w:hAnsi="黑体" w:eastAsia="黑体" w:cs="Times New Roman"/>
          <w:sz w:val="32"/>
        </w:rPr>
        <w:t>三公</w:t>
      </w:r>
      <w:r>
        <w:rPr>
          <w:rFonts w:hint="cs" w:ascii="黑体" w:hAnsi="黑体" w:eastAsia="黑体" w:cs="Times New Roman"/>
          <w:sz w:val="32"/>
        </w:rPr>
        <w:t>”</w:t>
      </w:r>
      <w:r>
        <w:rPr>
          <w:rFonts w:hint="eastAsia" w:ascii="黑体" w:hAnsi="黑体" w:eastAsia="黑体" w:cs="Times New Roman"/>
          <w:sz w:val="32"/>
        </w:rPr>
        <w:t>经费预算情况及增减变化原因</w:t>
      </w:r>
      <w:bookmarkEnd w:id="12"/>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outlineLvl w:val="2"/>
        <w:rPr>
          <w:rFonts w:hint="eastAsia" w:ascii="Times New Roman" w:hAnsi="宋体" w:cs="Times New Roman"/>
          <w:sz w:val="32"/>
        </w:rPr>
      </w:pPr>
      <w:bookmarkStart w:id="13" w:name="_Toc71204453"/>
      <w:r>
        <w:rPr>
          <w:rFonts w:hint="eastAsia" w:ascii="黑体" w:hAnsi="黑体" w:eastAsia="黑体" w:cs="Times New Roman"/>
          <w:sz w:val="32"/>
        </w:rPr>
        <w:t>五、预算绩效信息</w:t>
      </w:r>
      <w:bookmarkEnd w:id="13"/>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第一部分</w:t>
      </w:r>
      <w:r>
        <w:rPr>
          <w:rFonts w:ascii="方正楷体_GBK" w:hAnsi="Times New Roman" w:eastAsia="方正楷体_GBK" w:cs="Times New Roman"/>
          <w:b/>
          <w:sz w:val="32"/>
        </w:rPr>
        <w:t xml:space="preserve"> </w:t>
      </w:r>
      <w:r>
        <w:rPr>
          <w:rFonts w:hint="eastAsia" w:ascii="方正楷体_GBK" w:hAnsi="Times New Roman" w:eastAsia="方正楷体_GBK" w:cs="Times New Roman"/>
          <w:b/>
          <w:sz w:val="32"/>
        </w:rPr>
        <w:t>部门整体绩效目标</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（一）总体绩效目标</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总体绩效目标</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残疾人联合会代表残疾人共同利益，维护残疾人的合法权益，开展各项业务和活动直接为残疾人的发展服务。保障残疾人平等地充分参与社会生活主要任务有：</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1、听取残疾人意见，反映残疾人需要维护残疾人权益为残疾人服务。</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2、</w:t>
      </w:r>
      <w:r>
        <w:rPr>
          <w:rFonts w:hint="eastAsia" w:ascii="Times New Roman" w:hAnsi="宋体" w:eastAsia="方正仿宋_GBK" w:cs="宋体"/>
          <w:sz w:val="28"/>
        </w:rPr>
        <w:t>按照上级文件要求和拨付资金数对</w:t>
      </w:r>
      <w:r>
        <w:rPr>
          <w:rFonts w:ascii="Times New Roman" w:hAnsi="Times New Roman" w:eastAsia="方正仿宋_GBK" w:cs="Times New Roman"/>
          <w:sz w:val="28"/>
        </w:rPr>
        <w:t>0-6</w:t>
      </w:r>
      <w:r>
        <w:rPr>
          <w:rFonts w:hint="eastAsia" w:ascii="Times New Roman" w:hAnsi="宋体" w:eastAsia="方正仿宋_GBK" w:cs="宋体"/>
          <w:sz w:val="28"/>
        </w:rPr>
        <w:t>周岁的听力，智力，脑瘫儿童进行康复训练。</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3、</w:t>
      </w:r>
      <w:r>
        <w:rPr>
          <w:rFonts w:hint="eastAsia" w:ascii="Times New Roman" w:hAnsi="宋体" w:eastAsia="方正仿宋_GBK" w:cs="宋体"/>
          <w:sz w:val="28"/>
        </w:rPr>
        <w:t>按照上级文件要求每年完成</w:t>
      </w:r>
      <w:r>
        <w:rPr>
          <w:rFonts w:ascii="Times New Roman" w:hAnsi="Times New Roman" w:eastAsia="方正仿宋_GBK" w:cs="Times New Roman"/>
          <w:sz w:val="28"/>
        </w:rPr>
        <w:t>300</w:t>
      </w:r>
      <w:r>
        <w:rPr>
          <w:rFonts w:hint="eastAsia" w:ascii="Times New Roman" w:hAnsi="宋体" w:eastAsia="方正仿宋_GBK" w:cs="宋体"/>
          <w:sz w:val="28"/>
        </w:rPr>
        <w:t>名成年残疾人的基本康复工作。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4、</w:t>
      </w:r>
      <w:r>
        <w:rPr>
          <w:rFonts w:hint="eastAsia" w:ascii="Times New Roman" w:hAnsi="宋体" w:eastAsia="方正仿宋_GBK" w:cs="宋体"/>
          <w:sz w:val="28"/>
        </w:rPr>
        <w:t>根据动态更新调查数据显示，对有需求条件贫困的残疾人家庭进行无障碍改造，改善残疾人的生活居住环境。</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５、</w:t>
      </w:r>
      <w:r>
        <w:rPr>
          <w:rFonts w:hint="eastAsia" w:ascii="Times New Roman" w:hAnsi="宋体" w:eastAsia="方正仿宋_GBK" w:cs="宋体"/>
          <w:sz w:val="28"/>
        </w:rPr>
        <w:t>根据动态更新调查数据显示，按照上级文件要求，对符合条件的残疾人进行实用技术培训，使他们至少掌握一门技术。</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６、</w:t>
      </w:r>
      <w:r>
        <w:rPr>
          <w:rFonts w:hint="eastAsia" w:ascii="Times New Roman" w:hAnsi="宋体" w:eastAsia="方正仿宋_GBK" w:cs="宋体"/>
          <w:sz w:val="28"/>
        </w:rPr>
        <w:t>按照上级文件要求，我县对</w:t>
      </w:r>
      <w:r>
        <w:rPr>
          <w:rFonts w:ascii="Times New Roman" w:hAnsi="Times New Roman" w:eastAsia="方正仿宋_GBK" w:cs="Times New Roman"/>
          <w:sz w:val="28"/>
        </w:rPr>
        <w:t>114</w:t>
      </w:r>
      <w:r>
        <w:rPr>
          <w:rFonts w:hint="eastAsia" w:ascii="Times New Roman" w:hAnsi="宋体" w:eastAsia="方正仿宋_GBK" w:cs="宋体"/>
          <w:sz w:val="28"/>
        </w:rPr>
        <w:t>名符合条件的残疾人进行居家托养，进一步改善他们的生活水平。</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７、</w:t>
      </w:r>
      <w:r>
        <w:rPr>
          <w:rFonts w:hint="eastAsia" w:ascii="Times New Roman" w:hAnsi="宋体" w:eastAsia="方正仿宋_GBK" w:cs="宋体"/>
          <w:sz w:val="28"/>
        </w:rPr>
        <w:t>根据动态更新调查数据，对符合条件的残疾人进行辅具适配，减少残疾人家庭支出。</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８、承担政府交办的其他工作。</w:t>
      </w:r>
    </w:p>
    <w:p>
      <w:pPr>
        <w:spacing w:line="500" w:lineRule="exact"/>
        <w:ind w:firstLine="560" w:firstLineChars="200"/>
        <w:jc w:val="left"/>
        <w:rPr>
          <w:rFonts w:ascii="Times New Roman" w:hAnsi="Times New Roman" w:eastAsia="方正仿宋_GBK" w:cs="Times New Roman"/>
          <w:sz w:val="28"/>
        </w:rPr>
      </w:pPr>
    </w:p>
    <w:p>
      <w:pPr>
        <w:spacing w:line="500" w:lineRule="exact"/>
        <w:ind w:firstLine="560" w:firstLineChars="200"/>
        <w:jc w:val="left"/>
        <w:rPr>
          <w:rFonts w:ascii="Times New Roman" w:hAnsi="Times New Roman" w:eastAsia="方正仿宋_GBK" w:cs="Times New Roman"/>
          <w:sz w:val="28"/>
        </w:rPr>
      </w:pP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（二）分项绩效目标</w:t>
      </w:r>
    </w:p>
    <w:p>
      <w:pPr>
        <w:spacing w:line="500" w:lineRule="exact"/>
        <w:ind w:firstLine="560" w:firstLineChars="200"/>
        <w:jc w:val="left"/>
        <w:rPr>
          <w:rFonts w:ascii="Times New Roman" w:hAnsi="Times New Roman" w:eastAsia="方正仿宋_GBK" w:cs="Times New Roman"/>
          <w:sz w:val="28"/>
        </w:rPr>
      </w:pP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1、残疾人补贴工作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绩效目标：落实好残疾人各项补贴。</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绩效指标：按照国务院常务会议精神和我省已经实行的残疾人补贴规定，积极做好困难残疾人生活补贴和重度残疾人护理补贴工作。我县目前已办证重度残疾人有2000余名，争取全部纳入护理补贴范围。</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2、培训工作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绩效目标：提高残疾人培训质量，做到精准扶贫。</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指标：计划今年培训残疾人300名，既有传统的实用技术培训也有现代的职业培训，同时针对残疾人的个体差异，因人施教，争取培训一人脱贫一人。做好残疾学生和贫困残疾人子女参加高考的统计工作，对考上大专和本科的给予2000---3000元不等的一次性补助。</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3、康复工作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绩效目标：稳步推进残疾人康复工作。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绩效指标：对0—6周岁的脑瘫和智力残疾儿童进行综合性康复训练，每次康复训练的时间为六个月，并由残联给予一定的经费补贴。</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在全县开展辅助用品用具的需求调查，建立需求数据库，根据调查结果为残疾人装配适宜的用品用具。</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4、办证工作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绩效目标：加大办证力度。</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指标：目前我县共有6000余人办理了残疾人证，仅仅占到了我县残疾人总数的五分之一。为了把国家对残疾人的优惠政策让每一个残疾人都能享受到，残联明年将采取上门服务、简化手续、广泛宣传等多种方式加大办证力度。</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5、规章制度工作</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绩效目标：制定出台《馆陶县残疾人保障规定》。</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绩效指标：报请县人大、县政府制定出台《馆陶县残疾人保障规定》，我县的规定将按照《</w:t>
      </w:r>
      <w:r>
        <w:rPr>
          <w:rFonts w:hint="eastAsia" w:ascii="Times New Roman" w:hAnsi="Times New Roman" w:eastAsia="方正仿宋_GBK" w:cs="Times New Roman"/>
          <w:sz w:val="28"/>
        </w:rPr>
        <w:t>中华人民共和国残疾人保障法</w:t>
      </w:r>
      <w:r>
        <w:rPr>
          <w:rFonts w:ascii="Times New Roman" w:hAnsi="Times New Roman" w:eastAsia="方正仿宋_GBK" w:cs="Times New Roman"/>
          <w:sz w:val="28"/>
        </w:rPr>
        <w:t>》、《河北省实施&lt;残疾人保障法&gt;办法》和《邯郸市残疾人保障办法》的精神和原则制定，同时与我县的实际情况和残疾人的生产生活的具体需求结合起来。</w:t>
      </w:r>
    </w:p>
    <w:p>
      <w:pPr>
        <w:spacing w:line="500" w:lineRule="exact"/>
        <w:ind w:firstLine="560" w:firstLineChars="200"/>
        <w:jc w:val="left"/>
        <w:rPr>
          <w:rFonts w:ascii="Times New Roman" w:hAnsi="Times New Roman" w:eastAsia="方正仿宋_GBK" w:cs="Times New Roman"/>
          <w:sz w:val="28"/>
        </w:rPr>
      </w:pP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（三）工作保障措施</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xml:space="preserve">    为了保证规划目标的顺利实现，围绕规划目标制定了如下保障措施：</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xml:space="preserve">    1、明确目标，责任到人。根据规划目标，把任务分解到各个科室，然后科室再把任务细化到人。做到每个任务都有具体责任人。</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xml:space="preserve">    2、建章立制，定期调度。为了更好的完成规划目标，残联制定了具体的工作制度，并定期召开工作调度会，促进工作进展。</w:t>
      </w:r>
    </w:p>
    <w:p>
      <w:pPr>
        <w:spacing w:line="500" w:lineRule="exact"/>
        <w:ind w:firstLine="560" w:firstLineChars="200"/>
        <w:jc w:val="left"/>
        <w:rPr>
          <w:rFonts w:ascii="Times New Roman" w:hAnsi="Times New Roman" w:eastAsia="方正仿宋_GBK" w:cs="Times New Roman"/>
          <w:sz w:val="28"/>
        </w:rPr>
      </w:pPr>
      <w:r>
        <w:rPr>
          <w:rFonts w:ascii="Times New Roman" w:hAnsi="Times New Roman" w:eastAsia="方正仿宋_GBK" w:cs="Times New Roman"/>
          <w:sz w:val="28"/>
        </w:rPr>
        <w:t xml:space="preserve">    3、加大残疾人保障金征收力度，做好资金保障。为了提供充足的残疾人培训和康复训练费用，保证工作的开展，残联将和有关部门紧密结合，做好残保金的征收工作。</w:t>
      </w:r>
    </w:p>
    <w:p>
      <w:pPr>
        <w:spacing w:line="500" w:lineRule="exact"/>
        <w:ind w:firstLine="560" w:firstLineChars="200"/>
        <w:jc w:val="left"/>
        <w:rPr>
          <w:rFonts w:ascii="Times New Roman" w:hAnsi="Times New Roman" w:eastAsia="方正仿宋_GBK" w:cs="Times New Roman"/>
          <w:sz w:val="28"/>
        </w:rPr>
      </w:pP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第二部分</w:t>
      </w:r>
      <w:r>
        <w:rPr>
          <w:rFonts w:ascii="方正楷体_GBK" w:hAnsi="Times New Roman" w:eastAsia="方正楷体_GBK" w:cs="Times New Roman"/>
          <w:b/>
          <w:sz w:val="32"/>
        </w:rPr>
        <w:t xml:space="preserve">  </w:t>
      </w:r>
      <w:r>
        <w:rPr>
          <w:rFonts w:hint="eastAsia" w:ascii="方正楷体_GBK" w:hAnsi="Times New Roman" w:eastAsia="方正楷体_GBK" w:cs="Times New Roman"/>
          <w:b/>
          <w:sz w:val="32"/>
        </w:rPr>
        <w:t>专项资金绩效目标</w:t>
      </w: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第三部分  预算项目绩效目标</w:t>
      </w:r>
    </w:p>
    <w:p>
      <w:pPr>
        <w:ind w:firstLine="420" w:firstLineChars="200"/>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1、残疾人保障金绩效目标表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该项资金用于我县残疾人事业发展。</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得到基本康复服务的残疾人数量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得到基本康复服务的农村残疾人数量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补助资金及时发放率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补助资金及时发放率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领取生活补贴和护理补贴的残疾人</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领取生活补贴和护理补贴的残疾人覆盖率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带动增加残疾人年度收入</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带动增加残疾人年度收入</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提高残疾人就业率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提高残疾人就业率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满意程度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残疾人及其家属对服务的满意度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残疾人及其家属对服务的满意度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96%</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满意和较满意的人数占调查人数的占比</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94%</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2、残疾人康复器材购置绩效目标表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本项资金用于购买残疾人辅助器具。</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购买残疾人辅助器具并配适给需要的残疾人。</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得到服务的残疾人数量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得到服务的残疾人数量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25</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辅助器具配适及时</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辅助器具配适及时</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及时配发</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辅助器具资金及时率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辅助器具资金及时率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辅助器具配适数量</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辅助器具配适数量</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25</w:t>
            </w:r>
            <w:r>
              <w:rPr>
                <w:rFonts w:hint="eastAsia" w:ascii="方正书宋_GBK" w:hAnsi="Times New Roman" w:eastAsia="方正书宋_GBK" w:cs="Times New Roman"/>
              </w:rPr>
              <w:t>件</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残疾人出行便利程度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残疾人出行便利程度</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3、河北省财政厅关于下达2020年中央专项彩票公益金支持残疾人事业发展补助资金预算（第二批】的通知绩效目标表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为符合条件的听力、智力、脑瘫残疾儿童康复服务，改善儿童的功能状况，提高他们的自理能力。</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w:t>
            </w:r>
            <w:r>
              <w:rPr>
                <w:rFonts w:ascii="方正书宋_GBK" w:hAnsi="Times New Roman" w:eastAsia="方正书宋_GBK" w:cs="Times New Roman"/>
              </w:rPr>
              <w:t xml:space="preserve"> </w:t>
            </w:r>
            <w:r>
              <w:rPr>
                <w:rFonts w:hint="eastAsia" w:ascii="方正书宋_GBK" w:hAnsi="Times New Roman" w:eastAsia="方正书宋_GBK" w:cs="Times New Roman"/>
              </w:rPr>
              <w:t>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符合《残疾人基本康复服务目录（</w:t>
            </w:r>
            <w:r>
              <w:rPr>
                <w:rFonts w:ascii="方正书宋_GBK" w:hAnsi="Times New Roman" w:eastAsia="方正书宋_GBK" w:cs="Times New Roman"/>
              </w:rPr>
              <w:t>2019</w:t>
            </w:r>
            <w:r>
              <w:rPr>
                <w:rFonts w:hint="eastAsia" w:ascii="方正书宋_GBK" w:hAnsi="Times New Roman" w:eastAsia="方正书宋_GBK" w:cs="Times New Roman"/>
              </w:rPr>
              <w:t>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残疾儿童或家属对基本康复的满意度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4、邯郸市财政局关于下达2020年度残疾儿童康复救助市级补助资金的通知绩效目标表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该项资金用于我县残疾儿童康复。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有所改善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5、河北省财政厅关于提取下达2020年省级残疾人事业发展补助资金预算的通知绩效目标表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用于残疾人基本康复。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得到基本康复残疾人数</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得到基本康复残疾人数</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6、冀财社【2020】197号河北省财政厅关于下达2021年省级残疾人事业发展补助资金预算的通知绩效目标表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该资金用于我县残疾人康复。</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该资金用于我县残疾人托养。</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w:t>
            </w:r>
            <w:r>
              <w:rPr>
                <w:rFonts w:hint="eastAsia" w:ascii="方正书宋_GBK" w:hAnsi="Times New Roman" w:eastAsia="方正书宋_GBK" w:cs="Times New Roman"/>
              </w:rPr>
              <w:t>该资金用于我县残疾人无障碍改造。</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康复显效率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康复显效率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资金及时发放率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资金及时发放率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发放及时</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残疾人居家无障碍改善程度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残疾人居家无障碍改善程度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7、冀财社【2020】159号文件 河北省财政厅关于下达中央2021年残疾人事业发展补助资金预算的通知绩效目标表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13</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康复儿童的身体状况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康复儿童的身体状况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及时让儿童得到康复</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及时让儿童得到康复</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及时开展</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每名儿童康复补贴数</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每名儿童康复补贴数</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残疾儿童家庭状况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残疾儿童家庭状况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资金及时拨付到位</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资金及时拨付到位</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及时拨付</w:t>
            </w:r>
            <w:r>
              <w:rPr>
                <w:rFonts w:ascii="方正书宋_GBK" w:hAnsi="Times New Roman" w:eastAsia="方正书宋_GBK" w:cs="Times New Roman"/>
              </w:rPr>
              <w:t xml:space="preserve"> </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得到康复服务的儿童家庭满意程度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得到服务家庭满意度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得到服务家庭满意度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8、河北省财政厅关于下达中央2020年残疾人事业发展补助资金预算的通知绩效目标表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该项资金将用于我县残疾人基本康复。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得到康复的残疾人数</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得到康复的残疾人数</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残疾人对服务满意度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残疾人对服务满意度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9、河北省财政厅关于下达中央2020年残疾人事业发展补助资金预算的通知绩效目标表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w:t>
            </w:r>
            <w:r>
              <w:rPr>
                <w:rFonts w:ascii="方正书宋_GBK" w:hAnsi="Times New Roman" w:eastAsia="方正书宋_GBK" w:cs="Times New Roman"/>
              </w:rPr>
              <w:t>10</w:t>
            </w:r>
            <w:r>
              <w:rPr>
                <w:rFonts w:hint="eastAsia" w:ascii="方正书宋_GBK" w:hAnsi="Times New Roman" w:eastAsia="方正书宋_GBK" w:cs="Times New Roman"/>
              </w:rPr>
              <w:t>名残疾儿童提供康复服务</w:t>
            </w:r>
            <w:r>
              <w:rPr>
                <w:rFonts w:ascii="方正书宋_GBK" w:hAnsi="Times New Roman" w:eastAsia="方正书宋_GBK" w:cs="Times New Roman"/>
              </w:rPr>
              <w:t>.</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为符合条件的肢体残疾人提供辅具适配</w:t>
            </w:r>
            <w:r>
              <w:rPr>
                <w:rFonts w:ascii="方正书宋_GBK" w:hAnsi="Times New Roman" w:eastAsia="方正书宋_GBK" w:cs="Times New Roman"/>
              </w:rPr>
              <w:t>,</w:t>
            </w:r>
            <w:r>
              <w:rPr>
                <w:rFonts w:hint="eastAsia" w:ascii="方正书宋_GBK" w:hAnsi="Times New Roman" w:eastAsia="方正书宋_GBK" w:cs="Times New Roman"/>
              </w:rPr>
              <w:t>减少他们的家庭经济支出</w:t>
            </w:r>
            <w:r>
              <w:rPr>
                <w:rFonts w:ascii="方正书宋_GBK" w:hAnsi="Times New Roman" w:eastAsia="方正书宋_GBK" w:cs="Times New Roman"/>
              </w:rPr>
              <w:t>.</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项目完成的及时率</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得到辅具适配残疾人数的覆盖率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得到辅具适配残疾人的覆盖率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残疾儿童对康复服务的满意度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残疾儿童或家属对康复服务的满意度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享受到辅具适配的残疾人的满意度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享受到辅具适配的残疾人的满意度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10、冀财社【2020】159号 河北省财政厅关于下达中央2021年残疾人河北省财政厅关于下达中央2021年残疾人事业发展补助资金预算的通知绩效目标表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该项资金用于我县残疾人康复、实用技术培训、残疾人托养等，减轻残疾人经济负担，提高残疾人生活水平。</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接受康复服务后的生活能力</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接受康复服务后的生活能力</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实用技术培训覆盖率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实用技术培训覆盖率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资金按时拨付</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资金按时拨付</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按时拨付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培训后生活能力</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培训后生活能力</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残疾人托养覆盖率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残疾人托养覆盖率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spacing w:before="156" w:beforeLines="50" w:after="156" w:afterLines="50"/>
        <w:ind w:firstLine="640" w:firstLineChars="200"/>
        <w:jc w:val="left"/>
        <w:outlineLvl w:val="2"/>
        <w:rPr>
          <w:rFonts w:hint="eastAsia" w:ascii="Times New Roman" w:hAnsi="宋体" w:cs="Times New Roman"/>
          <w:sz w:val="32"/>
        </w:rPr>
      </w:pPr>
      <w:bookmarkStart w:id="14" w:name="_Toc71204454"/>
      <w:r>
        <w:rPr>
          <w:rFonts w:hint="eastAsia" w:ascii="黑体" w:hAnsi="Times New Roman" w:eastAsia="黑体" w:cs="Times New Roman"/>
          <w:sz w:val="32"/>
        </w:rPr>
        <w:t>六、政府采购预算情况</w:t>
      </w:r>
      <w:bookmarkEnd w:id="14"/>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2021年，馆陶县残疾人联合会安排政府采购预算0.00万元。</w:t>
      </w:r>
    </w:p>
    <w:p>
      <w:pPr>
        <w:jc w:val="center"/>
        <w:rPr>
          <w:rFonts w:hint="eastAsia" w:ascii="Times New Roman" w:hAnsi="宋体" w:cs="Times New Roman"/>
          <w:sz w:val="36"/>
        </w:rPr>
      </w:pPr>
      <w:r>
        <w:rPr>
          <w:rFonts w:hint="eastAsia" w:ascii="方正小标宋_GBK" w:hAnsi="Times New Roman" w:eastAsia="方正小标宋_GBK" w:cs="Times New Roman"/>
          <w:sz w:val="36"/>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政府采购项目来源</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采购物品名称</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政府采购目录序号</w:t>
            </w:r>
          </w:p>
        </w:tc>
        <w:tc>
          <w:tcPr>
            <w:tcW w:w="709"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计量</w:t>
            </w:r>
            <w:r>
              <w:rPr>
                <w:rFonts w:ascii="方正书宋_GBK" w:hAnsi="Times New Roman" w:eastAsia="方正书宋_GBK" w:cs="Times New Roman"/>
                <w:b/>
              </w:rPr>
              <w:t xml:space="preserve">  </w:t>
            </w:r>
            <w:r>
              <w:rPr>
                <w:rFonts w:hint="eastAsia" w:ascii="方正书宋_GBK" w:hAnsi="Times New Roman" w:eastAsia="方正书宋_GBK" w:cs="Times New Roman"/>
                <w:b/>
              </w:rPr>
              <w:t>单位</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单价</w:t>
            </w:r>
          </w:p>
        </w:tc>
        <w:tc>
          <w:tcPr>
            <w:tcW w:w="6804" w:type="dxa"/>
            <w:gridSpan w:val="6"/>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预算资金</w:t>
            </w: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709"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基金预算拨款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财政专户核拨</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709"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注：无政府采购预算，空表列示。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outlineLvl w:val="2"/>
        <w:rPr>
          <w:rFonts w:hint="eastAsia" w:ascii="Times New Roman" w:hAnsi="宋体" w:cs="Times New Roman"/>
          <w:sz w:val="32"/>
        </w:rPr>
      </w:pPr>
      <w:bookmarkStart w:id="15" w:name="_Toc71204455"/>
      <w:r>
        <w:rPr>
          <w:rFonts w:hint="eastAsia" w:ascii="黑体" w:hAnsi="黑体" w:eastAsia="黑体" w:cs="Times New Roman"/>
          <w:sz w:val="32"/>
        </w:rPr>
        <w:t>七、国有资产信息</w:t>
      </w:r>
      <w:bookmarkEnd w:id="15"/>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馆陶县残疾人联合会（含所属单位）上年末固定资产金额为0.00万元（详见下表）。本年度拟购置固定资产总额为0.00万元，已按要求列入政府采购预算，详见政府采购预算表。</w:t>
      </w:r>
    </w:p>
    <w:p>
      <w:pPr>
        <w:jc w:val="center"/>
        <w:rPr>
          <w:rFonts w:hint="eastAsia" w:ascii="Times New Roman" w:hAnsi="宋体" w:cs="Times New Roman"/>
          <w:sz w:val="36"/>
        </w:rPr>
      </w:pPr>
      <w:r>
        <w:rPr>
          <w:rFonts w:hint="eastAsia" w:ascii="方正小标宋_GBK" w:hAnsi="Times New Roman" w:eastAsia="方正小标宋_GBK" w:cs="Times New Roman"/>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w:t>
            </w:r>
            <w:r>
              <w:rPr>
                <w:rFonts w:hint="eastAsia" w:ascii="方正小标宋_GBK" w:hAnsi="Times New Roman" w:eastAsia="方正小标宋_GBK" w:cs="Times New Roman"/>
                <w:sz w:val="24"/>
              </w:rPr>
              <w:t>馆陶县残疾人联合会</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截止时间：</w:t>
            </w:r>
            <w:r>
              <w:rPr>
                <w:rFonts w:ascii="方正小标宋_GBK" w:hAnsi="Times New Roman" w:eastAsia="方正小标宋_GBK" w:cs="Times New Roman"/>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hAnsi="Times New Roman" w:eastAsia="方正书宋_GBK" w:cs="Times New Roman"/>
              </w:rPr>
            </w:pPr>
          </w:p>
        </w:tc>
        <w:tc>
          <w:tcPr>
            <w:tcW w:w="2835" w:type="dxa"/>
            <w:shd w:val="clear" w:color="auto" w:fill="auto"/>
            <w:noWrap w:val="0"/>
            <w:vAlign w:val="center"/>
          </w:tcPr>
          <w:p>
            <w:pPr>
              <w:spacing w:line="300" w:lineRule="exact"/>
              <w:jc w:val="center"/>
              <w:rPr>
                <w:rFonts w:ascii="方正书宋_GBK" w:hAnsi="Times New Roman" w:eastAsia="方正书宋_GBK" w:cs="Times New Roman"/>
              </w:rPr>
            </w:pPr>
          </w:p>
        </w:tc>
        <w:tc>
          <w:tcPr>
            <w:tcW w:w="2835" w:type="dxa"/>
            <w:shd w:val="clear" w:color="auto" w:fill="auto"/>
            <w:noWrap w:val="0"/>
            <w:vAlign w:val="center"/>
          </w:tcPr>
          <w:p>
            <w:pPr>
              <w:spacing w:line="300" w:lineRule="exact"/>
              <w:jc w:val="right"/>
              <w:rPr>
                <w:rFonts w:ascii="方正书宋_GBK" w:hAnsi="Times New Roman" w:eastAsia="方正书宋_GBK" w:cs="Times New Roman"/>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注：无固定资产占用情况，空表列示。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outlineLvl w:val="2"/>
        <w:rPr>
          <w:rFonts w:hint="eastAsia" w:ascii="Times New Roman" w:hAnsi="宋体" w:cs="Times New Roman"/>
          <w:sz w:val="32"/>
        </w:rPr>
      </w:pPr>
      <w:bookmarkStart w:id="16" w:name="_Toc71204456"/>
      <w:r>
        <w:rPr>
          <w:rFonts w:hint="eastAsia" w:ascii="黑体" w:hAnsi="黑体" w:eastAsia="黑体" w:cs="Times New Roman"/>
          <w:sz w:val="32"/>
        </w:rPr>
        <w:t>八、名词解释</w:t>
      </w:r>
      <w:bookmarkEnd w:id="16"/>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w:t>
      </w:r>
      <w:r>
        <w:rPr>
          <w:rFonts w:hint="eastAsia" w:ascii="Times New Roman" w:hAnsi="Times New Roman" w:eastAsia="方正仿宋_GBK" w:cs="Times New Roman"/>
          <w:b/>
          <w:sz w:val="28"/>
        </w:rPr>
        <w:t>一般公共预算拨款收入：</w:t>
      </w:r>
      <w:r>
        <w:rPr>
          <w:rFonts w:hint="eastAsia" w:ascii="Times New Roman" w:hAnsi="Times New Roman" w:eastAsia="方正仿宋_GBK" w:cs="Times New Roman"/>
          <w:sz w:val="28"/>
        </w:rPr>
        <w:t>指省级财政当年拨付的资金。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w:t>
      </w:r>
      <w:r>
        <w:rPr>
          <w:rFonts w:hint="eastAsia" w:ascii="Times New Roman" w:hAnsi="Times New Roman" w:eastAsia="方正仿宋_GBK" w:cs="Times New Roman"/>
          <w:b/>
          <w:sz w:val="28"/>
        </w:rPr>
        <w:t>事业收入：</w:t>
      </w:r>
      <w:r>
        <w:rPr>
          <w:rFonts w:hint="eastAsia" w:ascii="Times New Roman" w:hAnsi="Times New Roman" w:eastAsia="方正仿宋_GBK" w:cs="Times New Roman"/>
          <w:sz w:val="28"/>
        </w:rPr>
        <w:t>指事业单位开展专业业务活动及辅助活动所取得的收入。</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3、</w:t>
      </w:r>
      <w:r>
        <w:rPr>
          <w:rFonts w:hint="eastAsia" w:ascii="Times New Roman" w:hAnsi="Times New Roman" w:eastAsia="方正仿宋_GBK" w:cs="Times New Roman"/>
          <w:b/>
          <w:sz w:val="28"/>
        </w:rPr>
        <w:t>其他收入：</w:t>
      </w:r>
      <w:r>
        <w:rPr>
          <w:rFonts w:hint="eastAsia" w:ascii="Times New Roman" w:hAnsi="Times New Roman" w:eastAsia="方正仿宋_GBK" w:cs="Times New Roman"/>
          <w:sz w:val="28"/>
        </w:rPr>
        <w:t>指除</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一般公共预算拨款收入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事业收入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等以外的收入。主要是按规定动用的租房收入、存款利息收入等。</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4、</w:t>
      </w:r>
      <w:r>
        <w:rPr>
          <w:rFonts w:hint="eastAsia" w:ascii="Times New Roman" w:hAnsi="Times New Roman" w:eastAsia="方正仿宋_GBK" w:cs="Times New Roman"/>
          <w:b/>
          <w:sz w:val="28"/>
        </w:rPr>
        <w:t>基本支出：</w:t>
      </w:r>
      <w:r>
        <w:rPr>
          <w:rFonts w:hint="eastAsia" w:ascii="Times New Roman" w:hAnsi="Times New Roman" w:eastAsia="方正仿宋_GBK" w:cs="Times New Roman"/>
          <w:sz w:val="28"/>
        </w:rPr>
        <w:t>指为保障机构正常运转、完成日常工作任务而发生的人员支出和公用支出。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5、</w:t>
      </w:r>
      <w:r>
        <w:rPr>
          <w:rFonts w:hint="eastAsia" w:ascii="Times New Roman" w:hAnsi="Times New Roman" w:eastAsia="方正仿宋_GBK" w:cs="Times New Roman"/>
          <w:b/>
          <w:sz w:val="28"/>
        </w:rPr>
        <w:t>项目支出：</w:t>
      </w:r>
      <w:r>
        <w:rPr>
          <w:rFonts w:hint="eastAsia" w:ascii="Times New Roman" w:hAnsi="Times New Roman" w:eastAsia="方正仿宋_GBK" w:cs="Times New Roman"/>
          <w:sz w:val="28"/>
        </w:rPr>
        <w:t>指在基本支出之外为完成特定行政任务和事业发展目标所发生的支出。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6、</w:t>
      </w:r>
      <w:r>
        <w:rPr>
          <w:rFonts w:hint="eastAsia" w:ascii="Times New Roman" w:hAnsi="Times New Roman" w:eastAsia="方正仿宋_GBK" w:cs="Times New Roman"/>
          <w:b/>
          <w:sz w:val="28"/>
        </w:rPr>
        <w:t>上缴上级支出：</w:t>
      </w:r>
      <w:r>
        <w:rPr>
          <w:rFonts w:hint="eastAsia" w:ascii="Times New Roman" w:hAnsi="Times New Roman" w:eastAsia="方正仿宋_GBK" w:cs="Times New Roman"/>
          <w:sz w:val="28"/>
        </w:rPr>
        <w:t>指下级单位上缴上级的支出。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7、</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三公</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经费：</w:t>
      </w:r>
      <w:r>
        <w:rPr>
          <w:rFonts w:hint="eastAsia" w:ascii="Times New Roman" w:hAnsi="Times New Roman" w:eastAsia="方正仿宋_GBK" w:cs="Times New Roman"/>
          <w:sz w:val="28"/>
        </w:rPr>
        <w:t>纳入省级财政预算管理的</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三公</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8、</w:t>
      </w:r>
      <w:r>
        <w:rPr>
          <w:rFonts w:hint="eastAsia" w:ascii="Times New Roman" w:hAnsi="Times New Roman" w:eastAsia="方正仿宋_GBK" w:cs="Times New Roman"/>
          <w:b/>
          <w:sz w:val="28"/>
        </w:rPr>
        <w:t>机关运行费：</w:t>
      </w:r>
      <w:r>
        <w:rPr>
          <w:rFonts w:hint="eastAsia" w:ascii="Times New Roman" w:hAnsi="Times New Roman" w:eastAsia="方正仿宋_GBK" w:cs="Times New Roman"/>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9、</w:t>
      </w:r>
      <w:r>
        <w:rPr>
          <w:rFonts w:hint="eastAsia" w:ascii="Times New Roman" w:hAnsi="Times New Roman" w:eastAsia="方正仿宋_GBK" w:cs="Times New Roman"/>
          <w:b/>
          <w:sz w:val="28"/>
        </w:rPr>
        <w:t>上年结转：</w:t>
      </w:r>
      <w:r>
        <w:rPr>
          <w:rFonts w:hint="eastAsia" w:ascii="Times New Roman" w:hAnsi="Times New Roman" w:eastAsia="方正仿宋_GBK" w:cs="Times New Roman"/>
          <w:sz w:val="28"/>
        </w:rPr>
        <w:t>指以前年度尚未完成、结转到本年仍按原规定用途继续使用的资金。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10、</w:t>
      </w:r>
      <w:r>
        <w:rPr>
          <w:rFonts w:hint="eastAsia" w:ascii="Times New Roman" w:hAnsi="Times New Roman" w:eastAsia="方正仿宋_GBK" w:cs="Times New Roman"/>
          <w:b/>
          <w:sz w:val="28"/>
        </w:rPr>
        <w:t>事业单位经营支出：</w:t>
      </w:r>
      <w:r>
        <w:rPr>
          <w:rFonts w:hint="eastAsia" w:ascii="Times New Roman" w:hAnsi="Times New Roman" w:eastAsia="方正仿宋_GBK" w:cs="Times New Roman"/>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ascii="Times New Roman" w:hAnsi="宋体" w:cs="Times New Roman"/>
          <w:sz w:val="32"/>
        </w:rPr>
      </w:pPr>
      <w:bookmarkStart w:id="17" w:name="_Toc71204457"/>
      <w:r>
        <w:rPr>
          <w:rFonts w:hint="eastAsia" w:ascii="黑体" w:hAnsi="黑体" w:eastAsia="黑体" w:cs="Times New Roman"/>
          <w:sz w:val="32"/>
        </w:rPr>
        <w:t>九、其他需要说明的事项</w:t>
      </w:r>
      <w:bookmarkEnd w:id="17"/>
    </w:p>
    <w:p>
      <w:pPr>
        <w:spacing w:line="500" w:lineRule="exact"/>
        <w:ind w:firstLine="560" w:firstLineChars="200"/>
        <w:jc w:val="left"/>
        <w:sectPr>
          <w:pgSz w:w="16839" w:h="11907" w:orient="landscape"/>
          <w:pgMar w:top="1361" w:right="1020" w:bottom="1361" w:left="1020" w:header="851" w:footer="992" w:gutter="0"/>
          <w:cols w:space="425" w:num="1"/>
          <w:docGrid w:type="lines" w:linePitch="312" w:charSpace="0"/>
        </w:sectPr>
      </w:pPr>
      <w:r>
        <w:rPr>
          <w:rFonts w:hint="eastAsia" w:ascii="Times New Roman" w:hAnsi="Times New Roman" w:eastAsia="方正仿宋_GBK" w:cs="Times New Roman"/>
          <w:sz w:val="28"/>
        </w:rPr>
        <w:t>我部门无其他需要说明的事项。</w:t>
      </w:r>
    </w:p>
    <w:p>
      <w:pPr>
        <w:jc w:val="both"/>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cs="Times New Roman"/>
      </w:rPr>
    </w:pPr>
    <w:r>
      <w:rPr>
        <w:rStyle w:val="9"/>
        <w:rFonts w:ascii="Times New Roman" w:hAnsi="Times New Roman" w:cs="Times New Roman"/>
      </w:rPr>
      <w:fldChar w:fldCharType="begin"/>
    </w:r>
    <w:r>
      <w:rPr>
        <w:rStyle w:val="9"/>
        <w:rFonts w:ascii="Times New Roman" w:hAnsi="Times New Roman" w:cs="Times New Roman"/>
      </w:rPr>
      <w:instrText xml:space="preserve">PAGE  </w:instrText>
    </w:r>
    <w:r>
      <w:rPr>
        <w:rStyle w:val="9"/>
        <w:rFonts w:ascii="Times New Roman" w:hAnsi="Times New Roman" w:cs="Times New Roman"/>
      </w:rPr>
      <w:fldChar w:fldCharType="separate"/>
    </w:r>
    <w:r>
      <w:rPr>
        <w:rStyle w:val="9"/>
        <w:rFonts w:ascii="Times New Roman" w:hAnsi="Times New Roman" w:cs="Times New Roman"/>
      </w:rPr>
      <w:t>2</w:t>
    </w:r>
    <w:r>
      <w:rPr>
        <w:rStyle w:val="9"/>
        <w:rFonts w:ascii="Times New Roman" w:hAnsi="Times New Roman" w:cs="Times New Roman"/>
      </w:rPr>
      <w:fldChar w:fldCharType="end"/>
    </w:r>
  </w:p>
  <w:p>
    <w:pPr>
      <w:pStyle w:val="3"/>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cs="Times New Roman"/>
      </w:rPr>
    </w:pPr>
    <w:r>
      <w:rPr>
        <w:rStyle w:val="9"/>
        <w:rFonts w:ascii="Times New Roman" w:hAnsi="Times New Roman" w:cs="Times New Roman"/>
      </w:rPr>
      <w:fldChar w:fldCharType="begin"/>
    </w:r>
    <w:r>
      <w:rPr>
        <w:rStyle w:val="9"/>
        <w:rFonts w:ascii="Times New Roman" w:hAnsi="Times New Roman" w:cs="Times New Roman"/>
      </w:rPr>
      <w:instrText xml:space="preserve">PAGE  </w:instrText>
    </w:r>
    <w:r>
      <w:rPr>
        <w:rStyle w:val="9"/>
        <w:rFonts w:ascii="Times New Roman" w:hAnsi="Times New Roman" w:cs="Times New Roman"/>
      </w:rPr>
      <w:fldChar w:fldCharType="separate"/>
    </w:r>
    <w:r>
      <w:rPr>
        <w:rStyle w:val="9"/>
        <w:rFonts w:ascii="Times New Roman" w:hAnsi="Times New Roman" w:cs="Times New Roman"/>
      </w:rPr>
      <w:t>72</w:t>
    </w:r>
    <w:r>
      <w:rPr>
        <w:rStyle w:val="9"/>
        <w:rFonts w:ascii="Times New Roman" w:hAnsi="Times New Roman" w:cs="Times New Roman"/>
      </w:rPr>
      <w:fldChar w:fldCharType="end"/>
    </w:r>
  </w:p>
  <w:p>
    <w:pPr>
      <w:pStyle w:val="3"/>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47F63C4"/>
    <w:rsid w:val="0D444B80"/>
    <w:rsid w:val="11884330"/>
    <w:rsid w:val="18183642"/>
    <w:rsid w:val="22F61C63"/>
    <w:rsid w:val="667D2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c 3"/>
    <w:next w:val="1"/>
    <w:semiHidden/>
    <w:qFormat/>
    <w:uiPriority w:val="0"/>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toc 4"/>
    <w:next w:val="1"/>
    <w:semiHidden/>
    <w:qFormat/>
    <w:uiPriority w:val="0"/>
    <w:pPr>
      <w:widowControl w:val="0"/>
      <w:ind w:left="1260" w:leftChars="600"/>
      <w:jc w:val="both"/>
    </w:pPr>
    <w:rPr>
      <w:rFonts w:ascii="Times New Roman" w:hAnsi="Times New Roman" w:eastAsia="宋体" w:cs="Times New Roman"/>
      <w:kern w:val="2"/>
      <w:sz w:val="21"/>
      <w:szCs w:val="24"/>
      <w:lang w:val="en-US" w:eastAsia="zh-CN" w:bidi="ar-SA"/>
    </w:rPr>
  </w:style>
  <w:style w:type="paragraph" w:styleId="6">
    <w:name w:val="toc 2"/>
    <w:next w:val="1"/>
    <w:semiHidden/>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character" w:styleId="9">
    <w:name w:val="page number"/>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9423</Words>
  <Characters>11778</Characters>
  <Lines>0</Lines>
  <Paragraphs>0</Paragraphs>
  <TotalTime>1</TotalTime>
  <ScaleCrop>false</ScaleCrop>
  <LinksUpToDate>false</LinksUpToDate>
  <CharactersWithSpaces>11930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Sally</cp:lastModifiedBy>
  <dcterms:modified xsi:type="dcterms:W3CDTF">2023-11-17T04:42:30Z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431B457A6B3647148269F9FCA64ABCDB</vt:lpwstr>
  </property>
</Properties>
</file>