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cs="黑体"/>
          <w:sz w:val="44"/>
          <w:szCs w:val="44"/>
        </w:rPr>
        <w:t>馆陶县魏僧寨镇</w:t>
      </w:r>
    </w:p>
    <w:p>
      <w:pPr>
        <w:jc w:val="center"/>
        <w:rPr>
          <w:rFonts w:ascii="黑体" w:hAnsi="黑体" w:eastAsia="黑体"/>
          <w:sz w:val="44"/>
          <w:szCs w:val="44"/>
        </w:rPr>
      </w:pPr>
      <w:r>
        <w:rPr>
          <w:rFonts w:ascii="黑体" w:hAnsi="黑体" w:eastAsia="黑体" w:cs="黑体"/>
          <w:sz w:val="44"/>
          <w:szCs w:val="44"/>
        </w:rPr>
        <w:t>202</w:t>
      </w:r>
      <w:r>
        <w:rPr>
          <w:rFonts w:hint="eastAsia" w:ascii="黑体" w:hAnsi="黑体" w:eastAsia="黑体" w:cs="黑体"/>
          <w:sz w:val="44"/>
          <w:szCs w:val="44"/>
        </w:rPr>
        <w:t>1年部门预算信息公开情况说明</w:t>
      </w:r>
    </w:p>
    <w:p>
      <w:pPr>
        <w:ind w:firstLine="640" w:firstLineChars="200"/>
        <w:rPr>
          <w:rFonts w:ascii="仿宋" w:hAnsi="仿宋" w:eastAsia="仿宋"/>
          <w:sz w:val="32"/>
          <w:szCs w:val="32"/>
        </w:rPr>
      </w:pPr>
    </w:p>
    <w:p>
      <w:pPr>
        <w:ind w:firstLine="643" w:firstLineChars="200"/>
        <w:rPr>
          <w:rFonts w:ascii="仿宋" w:hAnsi="仿宋" w:eastAsia="仿宋"/>
          <w:b/>
          <w:bCs/>
          <w:sz w:val="32"/>
          <w:szCs w:val="32"/>
        </w:rPr>
      </w:pPr>
      <w:r>
        <w:rPr>
          <w:rFonts w:hint="eastAsia" w:ascii="仿宋" w:hAnsi="仿宋" w:eastAsia="仿宋" w:cs="仿宋"/>
          <w:b/>
          <w:bCs/>
          <w:sz w:val="32"/>
          <w:szCs w:val="32"/>
        </w:rPr>
        <w:t>按照《</w:t>
      </w:r>
      <w:r>
        <w:rPr>
          <w:rFonts w:hint="eastAsia" w:ascii="仿宋" w:hAnsi="仿宋" w:eastAsia="仿宋" w:cs="仿宋"/>
          <w:b/>
          <w:bCs/>
          <w:sz w:val="32"/>
          <w:szCs w:val="32"/>
          <w:lang w:eastAsia="zh-CN"/>
        </w:rPr>
        <w:t>中华人民共和国</w:t>
      </w:r>
      <w:bookmarkStart w:id="2" w:name="_GoBack"/>
      <w:bookmarkEnd w:id="2"/>
      <w:r>
        <w:rPr>
          <w:rFonts w:hint="eastAsia" w:ascii="仿宋" w:hAnsi="仿宋" w:eastAsia="仿宋" w:cs="仿宋"/>
          <w:b/>
          <w:bCs/>
          <w:sz w:val="32"/>
          <w:szCs w:val="32"/>
        </w:rPr>
        <w:t>预算法》、《地方预决算公开操作规程》和《河北省省级预算公开办法》规定，现将魏僧寨镇</w:t>
      </w:r>
      <w:r>
        <w:rPr>
          <w:rFonts w:ascii="仿宋" w:hAnsi="仿宋" w:eastAsia="仿宋" w:cs="仿宋"/>
          <w:b/>
          <w:bCs/>
          <w:sz w:val="32"/>
          <w:szCs w:val="32"/>
        </w:rPr>
        <w:t>202</w:t>
      </w:r>
      <w:r>
        <w:rPr>
          <w:rFonts w:hint="eastAsia" w:ascii="仿宋" w:hAnsi="仿宋" w:eastAsia="仿宋" w:cs="仿宋"/>
          <w:b/>
          <w:bCs/>
          <w:sz w:val="32"/>
          <w:szCs w:val="32"/>
        </w:rPr>
        <w:t>1年部门预算公开如下：</w:t>
      </w:r>
    </w:p>
    <w:p>
      <w:pPr>
        <w:ind w:firstLine="640"/>
        <w:rPr>
          <w:rFonts w:ascii="黑体" w:hAnsi="黑体" w:eastAsia="黑体"/>
          <w:b/>
          <w:sz w:val="32"/>
          <w:szCs w:val="32"/>
        </w:rPr>
      </w:pPr>
      <w:r>
        <w:rPr>
          <w:rFonts w:hint="eastAsia" w:ascii="黑体" w:hAnsi="黑体" w:eastAsia="黑体"/>
          <w:b/>
          <w:sz w:val="32"/>
          <w:szCs w:val="32"/>
        </w:rPr>
        <w:t>一、部门职责及机构设置情况</w:t>
      </w:r>
    </w:p>
    <w:p>
      <w:pPr>
        <w:ind w:firstLine="643" w:firstLineChars="200"/>
        <w:rPr>
          <w:rFonts w:ascii="黑体" w:hAnsi="Times New Roman" w:eastAsia="黑体"/>
          <w:b/>
          <w:sz w:val="32"/>
          <w:szCs w:val="32"/>
        </w:rPr>
      </w:pPr>
      <w:r>
        <w:rPr>
          <w:rFonts w:hint="eastAsia" w:ascii="黑体" w:hAnsi="Times New Roman" w:eastAsia="黑体"/>
          <w:b/>
          <w:sz w:val="32"/>
          <w:szCs w:val="32"/>
        </w:rPr>
        <w:t>部门职责：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镇党委的主要职能是：</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宣传、贯彻党的路线、方针、政策和上级党组织的指示、决定，执行乡党员代表大会（党员大会）决议，讨论决定本乡的重大问题。</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抓好自身和所属党组织的思想、组织和作风建设。</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领导乡经济建设，制定本乡经济和社会发展规划并组织实施。</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领导乡社会主义精神文明和民主法治建设。加强农村社会治安综合治理，贯彻执行党和国家的计划生育政策。</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领导并支持乡政府依法行使各项行政管理职权。</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领到人大主席团及经济组织、人民武装和共青团、妇联等人民团体的工作。</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领导上级有关部门派驻乡单位的党的建设，领导、支持和协调上级有关部门派驻乡单位的工作。</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完成上级党组织交办的其他任务。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乡政府的主要职能是：贯彻落实好党和国家在农村的各项方针政策和法律法规，做好农业、农村、农民工作。其主要职能为：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（一）促进经济发展、增加农民收入。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科学制定乡村发展规划，推动产业结构调整，根据本地产业优势，培育壮大本地支柱产业；营造良好的发展环境、扶持典型、示范引导，提高经济发展的质量和水平；加强农村基础设施建设和新型农村服务体系建设，落实强农惠农措施，促进农业发展，增加农民收入；大力发展民营经济，增强农村集体经济实力，培育和发展农村经济合作组织、经济实体、行业协会和中介组织，尊重农民的生产经营自主权，提高农民的自我发展能力；搞好农业新技术示范，促进农业新技术推广；搞好政策、信息、咨询服务，宣传国家投资方向、重点支持的产业产品，培训经济人才，及时为农民提供产、供、销等市场信息，发布经济致富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（二）强化公共服务、着力改善民生。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拓宽服务渠道，改进服务方式，通过“一站式”服务、办事代理制等多种形式，方便群众办事；推进依法行政，严格依法履行职责；推行行政机关首问办理负责制度，强化责任意识；着力解决群众生产生活中的突出问题，切实维护农民合法权益；加强农村市场体系建设，增强市场服务能力；加强农田水利基本建设，增强农业抗御自然灾害的能力；加强基础设施建设，改善农民生产生活环境；搞好科技、信息服务，提高农民运用现代信息技术水平；加强对农村劳动力的职业技能培训，发布劳务信息，搞好劳务输出，扩大农村劳动力就业；做好农村社会保障工作，扩大农村新型合作医疗覆盖面，提高农民参合率，建立健全农村困难群众最底生活保障制度，做好烈军属、五保户养老金的社会化发放和申领资格认证，解除农民后顾之忧；做好育龄妇女普查和生殖健康检查；保证粮食直补，农资直补等各项惠农政策落实到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（三）加强社会管理、维护农村稳定。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抓好农村思想政治建设和精神文明建设，加强农村教育、卫生、文化、体育、环境保护等社会事业的管理，促进农村经济社会的健康、和谐、可持续发展；加强计划生育管理，确保基本国策各项工作落到实处；加强安全生产管理，做好各项安全生产的监督检查、隐患排查，落实安全生产责任制；加强社会治安综合治理，综合发挥人民调解、行政调解和司法调解的作用，及时化解农村社会矛盾，消除社会不稳定因素；协助司法机关打击各类刑事犯罪活动，妥善处理突发性、群体性事件，确保人民群众生命财产安全；切实解决好农村征地、集体资产管理等方面损害农民利益的突出问题，确保社会稳定；指导村民自治，积极稳妥有序推进农村新民居建设，促进社会组织健康发展，增强社会自治功能，完善村规民约，深化农村平安创建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（四）推进基层民主、促进农村和谐。</w:t>
      </w:r>
    </w:p>
    <w:p>
      <w:pPr>
        <w:ind w:firstLine="640" w:firstLineChars="200"/>
        <w:rPr>
          <w:rFonts w:ascii="Times New Roman" w:hAnsi="Times New Roman" w:eastAsia="方正仿宋_GBK"/>
          <w:sz w:val="32"/>
          <w:szCs w:val="32"/>
        </w:rPr>
      </w:pPr>
      <w:r>
        <w:rPr>
          <w:rFonts w:hint="eastAsia" w:ascii="仿宋_GB2312" w:hAnsi="仿宋_GB2312" w:eastAsia="仿宋_GB2312" w:cs="仿宋_GB2312"/>
          <w:sz w:val="32"/>
          <w:szCs w:val="32"/>
        </w:rPr>
        <w:t>坚持党的领导，保障农民群众的选举权；健全完善村党组织领导的充满活力的村民自治机制，保障村民的参与权；健全村务公开制度，保障农民群众的知情权；规范民主决策机制，拓宽村民民主参与村级事物的渠道，调度村民群众参与村级事务的积极性，保证村民的决策权；强化村务管理的监督制约机制，保障农民群众的监督权；着力解决群众生产生活中的突出问题，切实维护农民合法权益；创新方法，不断深化基层民主管理内涵，着力解决基层民主管理中的薄弱问题，进一步密切党群干群关系、巩固党的执政基础，促进和谐社会建设。</w:t>
      </w:r>
    </w:p>
    <w:p>
      <w:pPr>
        <w:autoSpaceDE w:val="0"/>
        <w:autoSpaceDN w:val="0"/>
        <w:ind w:left="198" w:firstLine="643" w:firstLineChars="200"/>
        <w:rPr>
          <w:rFonts w:ascii="黑体" w:hAnsi="Times New Roman" w:eastAsia="黑体"/>
          <w:b/>
          <w:sz w:val="32"/>
          <w:szCs w:val="32"/>
        </w:rPr>
      </w:pPr>
      <w:r>
        <w:rPr>
          <w:rFonts w:hint="eastAsia" w:ascii="黑体" w:hAnsi="Times New Roman" w:eastAsia="黑体"/>
          <w:b/>
          <w:sz w:val="32"/>
          <w:szCs w:val="32"/>
        </w:rPr>
        <w:t>机构设置：</w:t>
      </w:r>
    </w:p>
    <w:tbl>
      <w:tblPr>
        <w:tblStyle w:val="7"/>
        <w:tblpPr w:leftFromText="180" w:rightFromText="180" w:vertAnchor="text" w:horzAnchor="page" w:tblpXSpec="center" w:tblpY="1136"/>
        <w:tblOverlap w:val="never"/>
        <w:tblW w:w="112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23"/>
        <w:gridCol w:w="1740"/>
        <w:gridCol w:w="1845"/>
        <w:gridCol w:w="4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3" w:hRule="atLeast"/>
          <w:tblHeader/>
          <w:jc w:val="center"/>
        </w:trPr>
        <w:tc>
          <w:tcPr>
            <w:tcW w:w="3323" w:type="dxa"/>
            <w:vMerge w:val="restart"/>
            <w:vAlign w:val="center"/>
          </w:tcPr>
          <w:p>
            <w:pPr>
              <w:jc w:val="center"/>
              <w:rPr>
                <w:rFonts w:ascii="Times New Roman" w:hAnsi="Times New Roman" w:eastAsia="方正书宋_GBK"/>
                <w:b/>
                <w:sz w:val="32"/>
                <w:szCs w:val="32"/>
              </w:rPr>
            </w:pPr>
            <w:r>
              <w:rPr>
                <w:rFonts w:hint="eastAsia" w:ascii="Times New Roman" w:hAnsi="Times New Roman" w:eastAsia="方正书宋_GBK"/>
                <w:b/>
                <w:sz w:val="32"/>
                <w:szCs w:val="32"/>
              </w:rPr>
              <w:t>单位名称</w:t>
            </w:r>
          </w:p>
        </w:tc>
        <w:tc>
          <w:tcPr>
            <w:tcW w:w="1740" w:type="dxa"/>
            <w:vMerge w:val="restart"/>
            <w:vAlign w:val="center"/>
          </w:tcPr>
          <w:p>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单位性质</w:t>
            </w:r>
          </w:p>
        </w:tc>
        <w:tc>
          <w:tcPr>
            <w:tcW w:w="1845" w:type="dxa"/>
            <w:vMerge w:val="restart"/>
            <w:vAlign w:val="center"/>
          </w:tcPr>
          <w:p>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单位规格</w:t>
            </w:r>
          </w:p>
        </w:tc>
        <w:tc>
          <w:tcPr>
            <w:tcW w:w="4371" w:type="dxa"/>
            <w:vMerge w:val="restart"/>
            <w:vAlign w:val="center"/>
          </w:tcPr>
          <w:p>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8" w:hRule="atLeast"/>
          <w:tblHeader/>
          <w:jc w:val="center"/>
        </w:trPr>
        <w:tc>
          <w:tcPr>
            <w:tcW w:w="3323" w:type="dxa"/>
            <w:vMerge w:val="continue"/>
            <w:vAlign w:val="center"/>
          </w:tcPr>
          <w:p>
            <w:pPr>
              <w:spacing w:line="300" w:lineRule="exact"/>
              <w:outlineLvl w:val="0"/>
              <w:rPr>
                <w:rFonts w:ascii="Times New Roman" w:hAnsi="Times New Roman"/>
                <w:sz w:val="32"/>
                <w:szCs w:val="32"/>
              </w:rPr>
            </w:pPr>
          </w:p>
        </w:tc>
        <w:tc>
          <w:tcPr>
            <w:tcW w:w="1740" w:type="dxa"/>
            <w:vMerge w:val="continue"/>
            <w:vAlign w:val="center"/>
          </w:tcPr>
          <w:p>
            <w:pPr>
              <w:spacing w:line="300" w:lineRule="exact"/>
              <w:outlineLvl w:val="0"/>
              <w:rPr>
                <w:rFonts w:ascii="Times New Roman" w:hAnsi="Times New Roman"/>
                <w:sz w:val="32"/>
                <w:szCs w:val="32"/>
              </w:rPr>
            </w:pPr>
          </w:p>
        </w:tc>
        <w:tc>
          <w:tcPr>
            <w:tcW w:w="1845" w:type="dxa"/>
            <w:vMerge w:val="continue"/>
            <w:vAlign w:val="center"/>
          </w:tcPr>
          <w:p>
            <w:pPr>
              <w:spacing w:line="300" w:lineRule="exact"/>
              <w:outlineLvl w:val="0"/>
              <w:rPr>
                <w:rFonts w:ascii="Times New Roman" w:hAnsi="Times New Roman"/>
                <w:sz w:val="32"/>
                <w:szCs w:val="32"/>
              </w:rPr>
            </w:pPr>
          </w:p>
        </w:tc>
        <w:tc>
          <w:tcPr>
            <w:tcW w:w="4371" w:type="dxa"/>
            <w:vMerge w:val="continue"/>
            <w:vAlign w:val="center"/>
          </w:tcPr>
          <w:p>
            <w:pPr>
              <w:spacing w:line="300" w:lineRule="exact"/>
              <w:outlineLvl w:val="0"/>
              <w:rPr>
                <w:rFonts w:ascii="Times New Roman" w:hAnsi="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3323" w:type="dxa"/>
            <w:vAlign w:val="center"/>
          </w:tcPr>
          <w:p>
            <w:pPr>
              <w:spacing w:line="300" w:lineRule="exact"/>
              <w:jc w:val="center"/>
              <w:rPr>
                <w:rFonts w:ascii="方正书宋_GBK" w:eastAsia="方正书宋_GBK"/>
                <w:b/>
                <w:sz w:val="32"/>
                <w:szCs w:val="32"/>
              </w:rPr>
            </w:pPr>
            <w:r>
              <w:rPr>
                <w:rStyle w:val="9"/>
                <w:rFonts w:hint="eastAsia" w:ascii="Times New Roman" w:eastAsia="方正仿宋_GBK"/>
                <w:color w:val="000000"/>
                <w:sz w:val="28"/>
                <w:u w:val="none"/>
                <w:lang w:eastAsia="zh-CN"/>
              </w:rPr>
              <w:t>魏僧寨</w:t>
            </w:r>
            <w:r>
              <w:rPr>
                <w:rStyle w:val="9"/>
                <w:rFonts w:hint="eastAsia" w:ascii="Times New Roman" w:eastAsia="方正仿宋_GBK"/>
                <w:color w:val="000000"/>
                <w:sz w:val="28"/>
                <w:u w:val="none"/>
                <w:lang w:val="en-US" w:eastAsia="zh-CN"/>
              </w:rPr>
              <w:t>镇人民政府</w:t>
            </w:r>
            <w:r>
              <w:rPr>
                <w:rStyle w:val="9"/>
                <w:rFonts w:hint="eastAsia" w:ascii="Times New Roman" w:eastAsia="方正仿宋_GBK"/>
                <w:color w:val="000000"/>
                <w:sz w:val="28"/>
                <w:u w:val="none"/>
              </w:rPr>
              <w:t>本级</w:t>
            </w:r>
          </w:p>
        </w:tc>
        <w:tc>
          <w:tcPr>
            <w:tcW w:w="1740" w:type="dxa"/>
            <w:vAlign w:val="center"/>
          </w:tcPr>
          <w:p>
            <w:pPr>
              <w:spacing w:line="300" w:lineRule="exact"/>
              <w:jc w:val="center"/>
              <w:rPr>
                <w:rFonts w:ascii="仿宋_GB2312" w:hAnsi="Calibri" w:eastAsia="仿宋_GB2312" w:cs="Calibri"/>
                <w:kern w:val="2"/>
                <w:sz w:val="32"/>
                <w:szCs w:val="32"/>
                <w:lang w:val="en-US" w:eastAsia="zh-CN" w:bidi="ar-SA"/>
              </w:rPr>
            </w:pPr>
            <w:r>
              <w:rPr>
                <w:rFonts w:hint="eastAsia" w:ascii="仿宋_GB2312" w:eastAsia="仿宋_GB2312"/>
                <w:sz w:val="32"/>
                <w:szCs w:val="32"/>
              </w:rPr>
              <w:t>行政</w:t>
            </w:r>
          </w:p>
        </w:tc>
        <w:tc>
          <w:tcPr>
            <w:tcW w:w="1845" w:type="dxa"/>
            <w:vAlign w:val="center"/>
          </w:tcPr>
          <w:p>
            <w:pPr>
              <w:spacing w:line="300" w:lineRule="exact"/>
              <w:jc w:val="center"/>
              <w:rPr>
                <w:rFonts w:ascii="仿宋_GB2312" w:hAnsi="Calibri" w:eastAsia="仿宋_GB2312" w:cs="Calibri"/>
                <w:kern w:val="2"/>
                <w:sz w:val="32"/>
                <w:szCs w:val="32"/>
                <w:lang w:val="en-US" w:eastAsia="zh-CN" w:bidi="ar-SA"/>
              </w:rPr>
            </w:pPr>
            <w:r>
              <w:rPr>
                <w:rFonts w:hint="eastAsia" w:ascii="仿宋_GB2312" w:eastAsia="仿宋_GB2312"/>
                <w:sz w:val="32"/>
                <w:szCs w:val="32"/>
              </w:rPr>
              <w:t>正科级</w:t>
            </w:r>
          </w:p>
        </w:tc>
        <w:tc>
          <w:tcPr>
            <w:tcW w:w="4371" w:type="dxa"/>
            <w:vAlign w:val="center"/>
          </w:tcPr>
          <w:p>
            <w:pPr>
              <w:spacing w:line="300" w:lineRule="exact"/>
              <w:jc w:val="center"/>
              <w:rPr>
                <w:rFonts w:ascii="方正书宋_GBK" w:eastAsia="方正书宋_GBK"/>
                <w:b/>
                <w:sz w:val="32"/>
                <w:szCs w:val="32"/>
              </w:rPr>
            </w:pPr>
            <w:r>
              <w:rPr>
                <w:rFonts w:hint="eastAsia" w:ascii="仿宋_GB2312" w:eastAsia="仿宋_GB2312"/>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3323" w:type="dxa"/>
            <w:vAlign w:val="center"/>
          </w:tcPr>
          <w:p>
            <w:pPr>
              <w:spacing w:line="300" w:lineRule="exact"/>
              <w:rPr>
                <w:rFonts w:ascii="仿宋_GB2312" w:eastAsia="仿宋_GB2312"/>
                <w:sz w:val="32"/>
                <w:szCs w:val="32"/>
              </w:rPr>
            </w:pPr>
            <w:r>
              <w:rPr>
                <w:rStyle w:val="9"/>
                <w:rFonts w:hint="eastAsia" w:ascii="Times New Roman" w:eastAsia="方正仿宋_GBK"/>
                <w:color w:val="000000"/>
                <w:sz w:val="28"/>
                <w:u w:val="none"/>
                <w:lang w:val="en-US" w:eastAsia="zh-CN"/>
              </w:rPr>
              <w:t>中共</w:t>
            </w:r>
            <w:r>
              <w:rPr>
                <w:rStyle w:val="9"/>
                <w:rFonts w:hint="eastAsia" w:ascii="Times New Roman" w:eastAsia="方正仿宋_GBK"/>
                <w:color w:val="000000"/>
                <w:sz w:val="28"/>
                <w:u w:val="none"/>
                <w:lang w:eastAsia="zh-CN"/>
              </w:rPr>
              <w:t>魏僧寨</w:t>
            </w:r>
            <w:r>
              <w:rPr>
                <w:rStyle w:val="9"/>
                <w:rFonts w:hint="eastAsia" w:ascii="Times New Roman" w:eastAsia="方正仿宋_GBK"/>
                <w:color w:val="000000"/>
                <w:sz w:val="28"/>
                <w:u w:val="none"/>
                <w:lang w:val="en-US" w:eastAsia="zh-CN"/>
              </w:rPr>
              <w:t>镇委员会</w:t>
            </w:r>
          </w:p>
        </w:tc>
        <w:tc>
          <w:tcPr>
            <w:tcW w:w="1740" w:type="dxa"/>
            <w:vAlign w:val="center"/>
          </w:tcPr>
          <w:p>
            <w:pPr>
              <w:spacing w:line="300" w:lineRule="exact"/>
              <w:jc w:val="center"/>
              <w:rPr>
                <w:rFonts w:ascii="仿宋_GB2312" w:hAnsi="Calibri" w:eastAsia="仿宋_GB2312" w:cs="Calibri"/>
                <w:kern w:val="2"/>
                <w:sz w:val="32"/>
                <w:szCs w:val="32"/>
                <w:lang w:val="en-US" w:eastAsia="zh-CN" w:bidi="ar-SA"/>
              </w:rPr>
            </w:pPr>
            <w:r>
              <w:rPr>
                <w:rFonts w:hint="eastAsia" w:ascii="仿宋_GB2312" w:eastAsia="仿宋_GB2312" w:cs="Calibri"/>
                <w:kern w:val="2"/>
                <w:sz w:val="32"/>
                <w:szCs w:val="32"/>
                <w:lang w:val="en-US" w:eastAsia="zh-CN" w:bidi="ar-SA"/>
              </w:rPr>
              <w:t>行政</w:t>
            </w:r>
          </w:p>
        </w:tc>
        <w:tc>
          <w:tcPr>
            <w:tcW w:w="1845" w:type="dxa"/>
            <w:vAlign w:val="center"/>
          </w:tcPr>
          <w:p>
            <w:pPr>
              <w:spacing w:line="300" w:lineRule="exact"/>
              <w:jc w:val="center"/>
              <w:rPr>
                <w:rFonts w:ascii="仿宋_GB2312" w:hAnsi="Calibri" w:eastAsia="仿宋_GB2312" w:cs="Calibri"/>
                <w:kern w:val="2"/>
                <w:sz w:val="32"/>
                <w:szCs w:val="32"/>
                <w:lang w:val="en-US" w:eastAsia="zh-CN" w:bidi="ar-SA"/>
              </w:rPr>
            </w:pPr>
            <w:r>
              <w:rPr>
                <w:rFonts w:hint="eastAsia" w:ascii="仿宋_GB2312" w:eastAsia="仿宋_GB2312"/>
                <w:sz w:val="32"/>
                <w:szCs w:val="32"/>
              </w:rPr>
              <w:t>正科级</w:t>
            </w:r>
          </w:p>
        </w:tc>
        <w:tc>
          <w:tcPr>
            <w:tcW w:w="4371" w:type="dxa"/>
            <w:vAlign w:val="center"/>
          </w:tcPr>
          <w:p>
            <w:pPr>
              <w:spacing w:line="300" w:lineRule="exact"/>
              <w:jc w:val="center"/>
              <w:rPr>
                <w:rFonts w:ascii="仿宋_GB2312" w:eastAsia="仿宋_GB2312"/>
                <w:sz w:val="32"/>
                <w:szCs w:val="32"/>
              </w:rPr>
            </w:pPr>
            <w:r>
              <w:rPr>
                <w:rFonts w:hint="eastAsia" w:ascii="仿宋_GB2312" w:eastAsia="仿宋_GB2312"/>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4" w:hRule="atLeast"/>
          <w:jc w:val="center"/>
        </w:trPr>
        <w:tc>
          <w:tcPr>
            <w:tcW w:w="3323" w:type="dxa"/>
            <w:vAlign w:val="center"/>
          </w:tcPr>
          <w:p>
            <w:pPr>
              <w:spacing w:line="300" w:lineRule="exact"/>
              <w:rPr>
                <w:rFonts w:ascii="仿宋_GB2312" w:eastAsia="仿宋_GB2312"/>
                <w:sz w:val="32"/>
                <w:szCs w:val="32"/>
              </w:rPr>
            </w:pPr>
            <w:r>
              <w:rPr>
                <w:rStyle w:val="9"/>
                <w:rFonts w:hint="eastAsia" w:ascii="Times New Roman" w:eastAsia="方正仿宋_GBK"/>
                <w:color w:val="000000"/>
                <w:sz w:val="28"/>
                <w:u w:val="none"/>
                <w:lang w:eastAsia="zh-CN"/>
              </w:rPr>
              <w:t>魏僧寨</w:t>
            </w:r>
            <w:r>
              <w:rPr>
                <w:rStyle w:val="9"/>
                <w:rFonts w:hint="eastAsia" w:ascii="Times New Roman" w:eastAsia="方正仿宋_GBK"/>
                <w:color w:val="000000"/>
                <w:sz w:val="28"/>
                <w:u w:val="none"/>
                <w:lang w:val="en-US" w:eastAsia="zh-CN"/>
              </w:rPr>
              <w:t>镇人民政府（事业）</w:t>
            </w:r>
          </w:p>
        </w:tc>
        <w:tc>
          <w:tcPr>
            <w:tcW w:w="1740" w:type="dxa"/>
            <w:vAlign w:val="center"/>
          </w:tcPr>
          <w:p>
            <w:pPr>
              <w:spacing w:line="300" w:lineRule="exact"/>
              <w:jc w:val="center"/>
              <w:rPr>
                <w:rFonts w:ascii="仿宋_GB2312" w:eastAsia="仿宋_GB2312"/>
                <w:sz w:val="32"/>
                <w:szCs w:val="32"/>
              </w:rPr>
            </w:pPr>
            <w:r>
              <w:rPr>
                <w:rFonts w:hint="eastAsia" w:ascii="仿宋_GB2312" w:eastAsia="仿宋_GB2312"/>
                <w:sz w:val="32"/>
                <w:szCs w:val="32"/>
              </w:rPr>
              <w:t>事业</w:t>
            </w:r>
          </w:p>
        </w:tc>
        <w:tc>
          <w:tcPr>
            <w:tcW w:w="1845" w:type="dxa"/>
            <w:vAlign w:val="center"/>
          </w:tcPr>
          <w:p>
            <w:pPr>
              <w:spacing w:line="300" w:lineRule="exact"/>
              <w:jc w:val="center"/>
              <w:rPr>
                <w:rFonts w:ascii="仿宋_GB2312" w:eastAsia="仿宋_GB2312"/>
                <w:sz w:val="32"/>
                <w:szCs w:val="32"/>
              </w:rPr>
            </w:pPr>
            <w:r>
              <w:rPr>
                <w:rFonts w:hint="eastAsia" w:ascii="仿宋_GB2312" w:eastAsia="仿宋_GB2312"/>
                <w:sz w:val="32"/>
                <w:szCs w:val="32"/>
              </w:rPr>
              <w:t>正科级</w:t>
            </w:r>
          </w:p>
        </w:tc>
        <w:tc>
          <w:tcPr>
            <w:tcW w:w="4371" w:type="dxa"/>
            <w:vAlign w:val="center"/>
          </w:tcPr>
          <w:p>
            <w:pPr>
              <w:spacing w:line="300" w:lineRule="exact"/>
              <w:jc w:val="center"/>
              <w:rPr>
                <w:rFonts w:ascii="仿宋_GB2312" w:eastAsia="仿宋_GB2312"/>
                <w:sz w:val="32"/>
                <w:szCs w:val="32"/>
              </w:rPr>
            </w:pPr>
            <w:r>
              <w:rPr>
                <w:rFonts w:hint="eastAsia" w:ascii="仿宋_GB2312" w:eastAsia="仿宋_GB2312"/>
                <w:sz w:val="32"/>
                <w:szCs w:val="32"/>
              </w:rPr>
              <w:t>财政拨款</w:t>
            </w:r>
          </w:p>
        </w:tc>
      </w:tr>
    </w:tbl>
    <w:p>
      <w:pPr>
        <w:jc w:val="center"/>
        <w:outlineLvl w:val="0"/>
        <w:rPr>
          <w:rFonts w:ascii="仿宋_GB2312" w:hAnsi="Times New Roman" w:eastAsia="仿宋_GB2312"/>
          <w:sz w:val="32"/>
          <w:szCs w:val="24"/>
        </w:rPr>
      </w:pPr>
      <w:r>
        <w:rPr>
          <w:rFonts w:hint="eastAsia" w:ascii="仿宋_GB2312" w:hAnsi="Times New Roman" w:eastAsia="仿宋_GB2312"/>
          <w:sz w:val="32"/>
          <w:szCs w:val="24"/>
        </w:rPr>
        <w:t>部门机构设置情况</w:t>
      </w:r>
    </w:p>
    <w:p>
      <w:r>
        <w:rPr/>
        <w:br w:type="textWrapping" w:clear="all"/>
      </w:r>
    </w:p>
    <w:p>
      <w:pPr>
        <w:ind w:firstLine="640"/>
        <w:rPr>
          <w:rFonts w:ascii="黑体" w:hAnsi="黑体" w:eastAsia="黑体"/>
          <w:sz w:val="32"/>
          <w:szCs w:val="32"/>
        </w:rPr>
      </w:pPr>
      <w:r>
        <w:rPr>
          <w:rFonts w:hint="eastAsia" w:ascii="黑体" w:hAnsi="黑体" w:eastAsia="黑体" w:cs="黑体"/>
          <w:sz w:val="32"/>
          <w:szCs w:val="32"/>
        </w:rPr>
        <w:t>二、部门预算安排的总体情况</w:t>
      </w:r>
    </w:p>
    <w:p>
      <w:pPr>
        <w:ind w:firstLine="640"/>
        <w:rPr>
          <w:rFonts w:ascii="Times New Roman" w:hAnsi="Times New Roman" w:eastAsia="仿宋"/>
          <w:sz w:val="32"/>
          <w:szCs w:val="32"/>
        </w:rPr>
      </w:pPr>
      <w:r>
        <w:rPr>
          <w:rFonts w:hint="eastAsia" w:ascii="Times New Roman" w:hAnsi="Times New Roman" w:eastAsia="仿宋" w:cs="仿宋"/>
          <w:sz w:val="32"/>
          <w:szCs w:val="32"/>
        </w:rPr>
        <w:t>按照预算管理有关规定，目前我县部门预算的编制实行综合预算管理，即全部收入和支出都反映的预算中。馆陶县</w:t>
      </w:r>
      <w:r>
        <w:rPr>
          <w:rFonts w:hint="eastAsia" w:ascii="Times New Roman" w:hAnsi="Times New Roman" w:eastAsia="仿宋" w:cs="Times New Roman"/>
          <w:sz w:val="32"/>
          <w:szCs w:val="32"/>
        </w:rPr>
        <w:t>魏僧寨镇</w:t>
      </w:r>
      <w:r>
        <w:rPr>
          <w:rFonts w:hint="eastAsia" w:ascii="Times New Roman" w:hAnsi="Times New Roman" w:eastAsia="仿宋" w:cs="仿宋"/>
          <w:sz w:val="32"/>
          <w:szCs w:val="32"/>
        </w:rPr>
        <w:t>的收支包含在部门预算中。</w:t>
      </w:r>
    </w:p>
    <w:p>
      <w:pPr>
        <w:ind w:firstLine="640"/>
        <w:rPr>
          <w:rFonts w:ascii="Times New Roman" w:hAnsi="Times New Roman" w:eastAsia="仿宋"/>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、收入说明</w:t>
      </w:r>
    </w:p>
    <w:p>
      <w:pPr>
        <w:ind w:firstLine="640"/>
        <w:rPr>
          <w:rFonts w:ascii="Times New Roman" w:hAnsi="Times New Roman" w:eastAsia="仿宋"/>
          <w:sz w:val="32"/>
          <w:szCs w:val="32"/>
        </w:rPr>
      </w:pPr>
      <w:r>
        <w:rPr>
          <w:rFonts w:hint="eastAsia" w:ascii="Times New Roman" w:hAnsi="Times New Roman" w:eastAsia="仿宋" w:cs="仿宋"/>
          <w:sz w:val="32"/>
          <w:szCs w:val="32"/>
        </w:rPr>
        <w:t>反映本部门当年全部收入。</w:t>
      </w:r>
      <w:r>
        <w:rPr>
          <w:rFonts w:hint="eastAsia" w:ascii="Times New Roman" w:hAnsi="Times New Roman" w:eastAsia="仿宋" w:cs="Times New Roman"/>
          <w:sz w:val="32"/>
          <w:szCs w:val="32"/>
        </w:rPr>
        <w:t>2021</w:t>
      </w:r>
      <w:r>
        <w:rPr>
          <w:rFonts w:hint="eastAsia" w:ascii="Times New Roman" w:hAnsi="Times New Roman" w:eastAsia="仿宋" w:cs="仿宋"/>
          <w:sz w:val="32"/>
          <w:szCs w:val="32"/>
        </w:rPr>
        <w:t>年预算收入</w:t>
      </w:r>
      <w:r>
        <w:rPr>
          <w:rFonts w:ascii="Times New Roman" w:hAnsi="Times New Roman" w:eastAsia="仿宋" w:cs="Times New Roman"/>
          <w:sz w:val="32"/>
          <w:szCs w:val="32"/>
        </w:rPr>
        <w:t>5186.47</w:t>
      </w:r>
      <w:r>
        <w:rPr>
          <w:rFonts w:hint="eastAsia" w:ascii="Times New Roman" w:hAnsi="Times New Roman" w:eastAsia="仿宋" w:cs="仿宋"/>
          <w:sz w:val="32"/>
          <w:szCs w:val="32"/>
        </w:rPr>
        <w:t>万元，其中：一般公共预算收入</w:t>
      </w:r>
      <w:r>
        <w:rPr>
          <w:rFonts w:ascii="Times New Roman" w:hAnsi="Times New Roman" w:eastAsia="仿宋" w:cs="仿宋"/>
          <w:sz w:val="32"/>
          <w:szCs w:val="32"/>
        </w:rPr>
        <w:t>2148.74</w:t>
      </w:r>
      <w:r>
        <w:rPr>
          <w:rFonts w:hint="eastAsia" w:ascii="Times New Roman" w:hAnsi="Times New Roman" w:eastAsia="仿宋" w:cs="仿宋"/>
          <w:sz w:val="32"/>
          <w:szCs w:val="32"/>
        </w:rPr>
        <w:t>万元，基金预算收入</w:t>
      </w:r>
      <w:r>
        <w:rPr>
          <w:rFonts w:hint="eastAsia" w:ascii="Times New Roman" w:hAnsi="Times New Roman" w:eastAsia="仿宋" w:cs="Times New Roman"/>
          <w:sz w:val="32"/>
          <w:szCs w:val="32"/>
        </w:rPr>
        <w:t>3037.73</w:t>
      </w:r>
      <w:r>
        <w:rPr>
          <w:rFonts w:hint="eastAsia" w:ascii="Times New Roman" w:hAnsi="Times New Roman" w:eastAsia="仿宋" w:cs="仿宋"/>
          <w:sz w:val="32"/>
          <w:szCs w:val="32"/>
        </w:rPr>
        <w:t>万元。</w:t>
      </w:r>
    </w:p>
    <w:p>
      <w:pPr>
        <w:ind w:firstLine="640"/>
        <w:rPr>
          <w:rFonts w:ascii="Times New Roman" w:hAnsi="Times New Roman" w:eastAsia="仿宋"/>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、支出说明</w:t>
      </w:r>
    </w:p>
    <w:p>
      <w:pPr>
        <w:ind w:firstLine="640"/>
        <w:rPr>
          <w:rFonts w:ascii="Times New Roman" w:hAnsi="Times New Roman" w:eastAsia="仿宋"/>
          <w:sz w:val="32"/>
          <w:szCs w:val="32"/>
        </w:rPr>
      </w:pPr>
      <w:r>
        <w:rPr>
          <w:rFonts w:hint="eastAsia" w:ascii="Times New Roman" w:hAnsi="Times New Roman" w:eastAsia="仿宋" w:cs="仿宋"/>
          <w:sz w:val="32"/>
          <w:szCs w:val="32"/>
        </w:rPr>
        <w:t>收支预算总表支出栏、基本支出表、项目支出表按经济分类和支出功能分类科目编制，反映馆陶县</w:t>
      </w:r>
      <w:r>
        <w:rPr>
          <w:rFonts w:hint="eastAsia" w:ascii="Times New Roman" w:hAnsi="Times New Roman" w:eastAsia="仿宋" w:cs="Times New Roman"/>
          <w:sz w:val="32"/>
          <w:szCs w:val="32"/>
        </w:rPr>
        <w:t>魏僧寨镇</w:t>
      </w:r>
      <w:r>
        <w:rPr>
          <w:rFonts w:hint="eastAsia" w:ascii="Times New Roman" w:hAnsi="Times New Roman" w:eastAsia="仿宋" w:cs="仿宋"/>
          <w:sz w:val="32"/>
          <w:szCs w:val="32"/>
        </w:rPr>
        <w:t>单位年度部门预算中支出预算的总体情况。</w:t>
      </w:r>
      <w:r>
        <w:rPr>
          <w:rFonts w:ascii="Times New Roman" w:hAnsi="Times New Roman" w:eastAsia="仿宋" w:cs="Times New Roman"/>
          <w:sz w:val="32"/>
          <w:szCs w:val="32"/>
        </w:rPr>
        <w:t>202</w:t>
      </w:r>
      <w:r>
        <w:rPr>
          <w:rFonts w:hint="eastAsia" w:ascii="Times New Roman" w:hAnsi="Times New Roman" w:eastAsia="仿宋" w:cs="Times New Roman"/>
          <w:sz w:val="32"/>
          <w:szCs w:val="32"/>
        </w:rPr>
        <w:t>1</w:t>
      </w:r>
      <w:r>
        <w:rPr>
          <w:rFonts w:hint="eastAsia" w:ascii="Times New Roman" w:hAnsi="Times New Roman" w:eastAsia="仿宋" w:cs="仿宋"/>
          <w:sz w:val="32"/>
          <w:szCs w:val="32"/>
        </w:rPr>
        <w:t>年部门支出预算为</w:t>
      </w:r>
      <w:r>
        <w:rPr>
          <w:rFonts w:hint="eastAsia" w:ascii="Times New Roman" w:hAnsi="Times New Roman" w:eastAsia="仿宋" w:cs="Times New Roman"/>
          <w:sz w:val="32"/>
          <w:szCs w:val="32"/>
        </w:rPr>
        <w:t>5186.47</w:t>
      </w:r>
      <w:r>
        <w:rPr>
          <w:rFonts w:hint="eastAsia" w:ascii="Times New Roman" w:hAnsi="Times New Roman" w:eastAsia="仿宋" w:cs="仿宋"/>
          <w:sz w:val="32"/>
          <w:szCs w:val="32"/>
        </w:rPr>
        <w:t>万元，其中基本支出</w:t>
      </w:r>
      <w:r>
        <w:rPr>
          <w:rFonts w:hint="eastAsia" w:ascii="Times New Roman" w:hAnsi="Times New Roman" w:eastAsia="仿宋" w:cs="Times New Roman"/>
          <w:sz w:val="32"/>
          <w:szCs w:val="32"/>
        </w:rPr>
        <w:t>514.67</w:t>
      </w:r>
      <w:r>
        <w:rPr>
          <w:rFonts w:hint="eastAsia" w:ascii="Times New Roman" w:hAnsi="Times New Roman" w:eastAsia="仿宋" w:cs="仿宋"/>
          <w:sz w:val="32"/>
          <w:szCs w:val="32"/>
        </w:rPr>
        <w:t>万元，包括人员经费</w:t>
      </w:r>
      <w:r>
        <w:rPr>
          <w:rFonts w:hint="eastAsia" w:ascii="Times New Roman" w:hAnsi="Times New Roman" w:eastAsia="仿宋" w:cs="Times New Roman"/>
          <w:sz w:val="32"/>
          <w:szCs w:val="32"/>
        </w:rPr>
        <w:t>482.67</w:t>
      </w:r>
      <w:r>
        <w:rPr>
          <w:rFonts w:hint="eastAsia" w:ascii="Times New Roman" w:hAnsi="Times New Roman" w:eastAsia="仿宋" w:cs="仿宋"/>
          <w:sz w:val="32"/>
          <w:szCs w:val="32"/>
        </w:rPr>
        <w:t>万元和日常公用经费</w:t>
      </w:r>
      <w:r>
        <w:rPr>
          <w:rFonts w:hint="eastAsia" w:ascii="Times New Roman" w:hAnsi="Times New Roman" w:eastAsia="仿宋" w:cs="Times New Roman"/>
          <w:sz w:val="32"/>
          <w:szCs w:val="32"/>
        </w:rPr>
        <w:t>32</w:t>
      </w:r>
      <w:r>
        <w:rPr>
          <w:rFonts w:hint="eastAsia" w:ascii="Times New Roman" w:hAnsi="Times New Roman" w:eastAsia="仿宋" w:cs="仿宋"/>
          <w:sz w:val="32"/>
          <w:szCs w:val="32"/>
        </w:rPr>
        <w:t>万元；项目支出</w:t>
      </w:r>
      <w:r>
        <w:rPr>
          <w:rFonts w:hint="eastAsia" w:ascii="Times New Roman" w:hAnsi="Times New Roman" w:eastAsia="仿宋" w:cs="Times New Roman"/>
          <w:sz w:val="32"/>
          <w:szCs w:val="32"/>
        </w:rPr>
        <w:t>4671.8</w:t>
      </w:r>
      <w:r>
        <w:rPr>
          <w:rFonts w:hint="eastAsia" w:ascii="Times New Roman" w:hAnsi="Times New Roman" w:eastAsia="仿宋" w:cs="仿宋"/>
          <w:sz w:val="32"/>
          <w:szCs w:val="32"/>
        </w:rPr>
        <w:t>万元，主要为村级组织办公经费51万元，农村两委干部职务补贴资金317.95万元，正常离任村干部补贴资金30万元，村支书养老、医疗、人身意外保险资金22.22万元，服务群众专项经费155万元，村党组织活动经费21.9万元，乡镇分税制财政体制补助资金1000万元，</w:t>
      </w:r>
      <w:r>
        <w:rPr>
          <w:rFonts w:hint="eastAsia" w:ascii="Times New Roman" w:hAnsi="Times New Roman" w:eastAsia="仿宋" w:cs="Times New Roman"/>
          <w:sz w:val="32"/>
          <w:szCs w:val="32"/>
        </w:rPr>
        <w:t>轴承园区征地补偿</w:t>
      </w:r>
      <w:r>
        <w:rPr>
          <w:rFonts w:hint="eastAsia" w:ascii="Times New Roman" w:hAnsi="Times New Roman" w:eastAsia="仿宋" w:cs="仿宋"/>
          <w:sz w:val="32"/>
          <w:szCs w:val="32"/>
        </w:rPr>
        <w:t>支出30</w:t>
      </w:r>
      <w:r>
        <w:rPr>
          <w:rFonts w:ascii="Times New Roman" w:hAnsi="Times New Roman" w:eastAsia="仿宋" w:cs="仿宋"/>
          <w:sz w:val="32"/>
          <w:szCs w:val="32"/>
        </w:rPr>
        <w:t>21</w:t>
      </w:r>
      <w:r>
        <w:rPr>
          <w:rFonts w:hint="eastAsia" w:ascii="Times New Roman" w:hAnsi="Times New Roman" w:eastAsia="仿宋" w:cs="仿宋"/>
          <w:sz w:val="32"/>
          <w:szCs w:val="32"/>
        </w:rPr>
        <w:t>.73万元，</w:t>
      </w:r>
      <w:r>
        <w:rPr>
          <w:rFonts w:hint="eastAsia" w:ascii="Times New Roman" w:hAnsi="Times New Roman" w:eastAsia="仿宋" w:cs="Times New Roman"/>
          <w:sz w:val="32"/>
          <w:szCs w:val="32"/>
        </w:rPr>
        <w:t>轴承园区招商经费20</w:t>
      </w:r>
      <w:r>
        <w:rPr>
          <w:rFonts w:hint="eastAsia" w:ascii="Times New Roman" w:hAnsi="Times New Roman" w:eastAsia="仿宋" w:cs="仿宋"/>
          <w:sz w:val="32"/>
          <w:szCs w:val="32"/>
        </w:rPr>
        <w:t>万元，轴承峰会招商引资推介会经费10万，魏僧寨镇区路灯维护资金6万元，健康步道北延水站点迁移工程资金1</w:t>
      </w:r>
      <w:r>
        <w:rPr>
          <w:rFonts w:ascii="Times New Roman" w:hAnsi="Times New Roman" w:eastAsia="仿宋" w:cs="仿宋"/>
          <w:sz w:val="32"/>
          <w:szCs w:val="32"/>
        </w:rPr>
        <w:t>6</w:t>
      </w:r>
      <w:r>
        <w:rPr>
          <w:rFonts w:hint="eastAsia" w:ascii="Times New Roman" w:hAnsi="Times New Roman" w:eastAsia="仿宋" w:cs="仿宋"/>
          <w:sz w:val="32"/>
          <w:szCs w:val="32"/>
        </w:rPr>
        <w:t>万元。</w:t>
      </w:r>
    </w:p>
    <w:p>
      <w:pPr>
        <w:ind w:firstLine="640"/>
        <w:rPr>
          <w:rFonts w:ascii="Times New Roman" w:hAnsi="Times New Roman" w:eastAsia="仿宋"/>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、比上年增减情况</w:t>
      </w:r>
    </w:p>
    <w:p>
      <w:pPr>
        <w:ind w:firstLine="640"/>
        <w:rPr>
          <w:rFonts w:ascii="Times New Roman" w:hAnsi="Times New Roman" w:eastAsia="仿宋"/>
          <w:sz w:val="32"/>
          <w:szCs w:val="32"/>
        </w:rPr>
      </w:pPr>
      <w:r>
        <w:rPr>
          <w:rFonts w:ascii="Times New Roman" w:hAnsi="Times New Roman" w:eastAsia="仿宋" w:cs="Times New Roman"/>
          <w:color w:val="000000"/>
          <w:sz w:val="32"/>
          <w:szCs w:val="32"/>
        </w:rPr>
        <w:t>202</w:t>
      </w:r>
      <w:r>
        <w:rPr>
          <w:rFonts w:hint="eastAsia" w:ascii="Times New Roman" w:hAnsi="Times New Roman" w:eastAsia="仿宋" w:cs="Times New Roman"/>
          <w:color w:val="000000"/>
          <w:sz w:val="32"/>
          <w:szCs w:val="32"/>
        </w:rPr>
        <w:t>1</w:t>
      </w:r>
      <w:r>
        <w:rPr>
          <w:rFonts w:hint="eastAsia" w:ascii="Times New Roman" w:hAnsi="Times New Roman" w:eastAsia="仿宋" w:cs="仿宋"/>
          <w:color w:val="000000"/>
          <w:sz w:val="32"/>
          <w:szCs w:val="32"/>
        </w:rPr>
        <w:t>年部门预算收支安排</w:t>
      </w:r>
      <w:r>
        <w:rPr>
          <w:rFonts w:hint="eastAsia" w:ascii="Times New Roman" w:hAnsi="Times New Roman" w:eastAsia="仿宋" w:cs="Times New Roman"/>
          <w:sz w:val="32"/>
          <w:szCs w:val="32"/>
        </w:rPr>
        <w:t>5186.47</w:t>
      </w:r>
      <w:r>
        <w:rPr>
          <w:rFonts w:hint="eastAsia" w:ascii="Times New Roman" w:hAnsi="Times New Roman" w:eastAsia="仿宋" w:cs="仿宋"/>
          <w:color w:val="000000"/>
          <w:sz w:val="32"/>
          <w:szCs w:val="32"/>
        </w:rPr>
        <w:t>万元，</w:t>
      </w:r>
      <w:r>
        <w:rPr>
          <w:rFonts w:hint="eastAsia" w:ascii="Times New Roman" w:hAnsi="Times New Roman" w:eastAsia="仿宋" w:cs="仿宋"/>
          <w:sz w:val="32"/>
          <w:szCs w:val="32"/>
        </w:rPr>
        <w:t>较</w:t>
      </w:r>
      <w:r>
        <w:rPr>
          <w:rFonts w:hint="eastAsia" w:ascii="Times New Roman" w:hAnsi="Times New Roman" w:eastAsia="仿宋" w:cs="Times New Roman"/>
          <w:sz w:val="32"/>
          <w:szCs w:val="32"/>
        </w:rPr>
        <w:t>2021</w:t>
      </w:r>
      <w:r>
        <w:rPr>
          <w:rFonts w:hint="eastAsia" w:ascii="Times New Roman" w:hAnsi="Times New Roman" w:eastAsia="仿宋" w:cs="仿宋"/>
          <w:sz w:val="32"/>
          <w:szCs w:val="32"/>
        </w:rPr>
        <w:t>年增加</w:t>
      </w:r>
      <w:r>
        <w:rPr>
          <w:rFonts w:hint="eastAsia" w:ascii="Times New Roman" w:hAnsi="Times New Roman" w:eastAsia="仿宋" w:cs="Times New Roman"/>
          <w:sz w:val="32"/>
          <w:szCs w:val="32"/>
        </w:rPr>
        <w:t>1449.13</w:t>
      </w:r>
      <w:r>
        <w:rPr>
          <w:rFonts w:hint="eastAsia" w:ascii="Times New Roman" w:hAnsi="Times New Roman" w:eastAsia="仿宋" w:cs="仿宋"/>
          <w:sz w:val="32"/>
          <w:szCs w:val="32"/>
        </w:rPr>
        <w:t>万元，其中：基本支出增加</w:t>
      </w:r>
      <w:r>
        <w:rPr>
          <w:rFonts w:hint="eastAsia" w:ascii="Times New Roman" w:hAnsi="Times New Roman" w:eastAsia="仿宋" w:cs="Times New Roman"/>
          <w:sz w:val="32"/>
          <w:szCs w:val="32"/>
        </w:rPr>
        <w:t>212.94</w:t>
      </w:r>
      <w:r>
        <w:rPr>
          <w:rFonts w:hint="eastAsia" w:ascii="Times New Roman" w:hAnsi="Times New Roman" w:eastAsia="仿宋" w:cs="仿宋"/>
          <w:sz w:val="32"/>
          <w:szCs w:val="32"/>
        </w:rPr>
        <w:t>万元，主要是</w:t>
      </w:r>
      <w:r>
        <w:rPr>
          <w:rFonts w:hint="eastAsia" w:ascii="Times New Roman" w:hAnsi="Times New Roman" w:eastAsia="仿宋" w:cs="Times New Roman"/>
          <w:sz w:val="32"/>
          <w:szCs w:val="32"/>
        </w:rPr>
        <w:t>人员工资水平提高所致</w:t>
      </w:r>
      <w:r>
        <w:rPr>
          <w:rFonts w:hint="eastAsia" w:ascii="Times New Roman" w:hAnsi="Times New Roman" w:eastAsia="仿宋" w:cs="仿宋"/>
          <w:sz w:val="32"/>
          <w:szCs w:val="32"/>
        </w:rPr>
        <w:t>；项目支出增加</w:t>
      </w:r>
      <w:r>
        <w:rPr>
          <w:rFonts w:hint="eastAsia" w:ascii="Times New Roman" w:hAnsi="Times New Roman" w:eastAsia="仿宋" w:cs="Times New Roman"/>
          <w:sz w:val="32"/>
          <w:szCs w:val="32"/>
        </w:rPr>
        <w:t>1236.19</w:t>
      </w:r>
      <w:r>
        <w:rPr>
          <w:rFonts w:hint="eastAsia" w:ascii="Times New Roman" w:hAnsi="Times New Roman" w:eastAsia="仿宋" w:cs="仿宋"/>
          <w:sz w:val="32"/>
          <w:szCs w:val="32"/>
        </w:rPr>
        <w:t>万元，主要是</w:t>
      </w:r>
      <w:r>
        <w:rPr>
          <w:rFonts w:hint="eastAsia" w:ascii="Times New Roman" w:hAnsi="Times New Roman" w:eastAsia="仿宋" w:cs="Times New Roman"/>
          <w:sz w:val="32"/>
          <w:szCs w:val="32"/>
        </w:rPr>
        <w:t>轴承园区征地补偿支出增加所致</w:t>
      </w:r>
      <w:r>
        <w:rPr>
          <w:rFonts w:hint="eastAsia" w:ascii="Times New Roman" w:hAnsi="Times New Roman" w:eastAsia="仿宋" w:cs="仿宋"/>
          <w:sz w:val="32"/>
          <w:szCs w:val="32"/>
        </w:rPr>
        <w:t>；其他支出无增减变化。</w:t>
      </w:r>
    </w:p>
    <w:p>
      <w:pPr>
        <w:autoSpaceDE w:val="0"/>
        <w:autoSpaceDN w:val="0"/>
        <w:adjustRightInd w:val="0"/>
        <w:ind w:firstLine="960" w:firstLineChars="300"/>
        <w:jc w:val="left"/>
        <w:rPr>
          <w:rFonts w:ascii="黑体" w:hAnsi="黑体" w:eastAsia="黑体"/>
          <w:sz w:val="32"/>
          <w:szCs w:val="32"/>
        </w:rPr>
      </w:pPr>
      <w:r>
        <w:rPr>
          <w:rFonts w:hint="eastAsia" w:ascii="黑体" w:hAnsi="黑体" w:eastAsia="黑体" w:cs="黑体"/>
          <w:sz w:val="32"/>
          <w:szCs w:val="32"/>
        </w:rPr>
        <w:t>三、机关运行经费安排情况</w:t>
      </w:r>
    </w:p>
    <w:p>
      <w:pPr>
        <w:autoSpaceDE w:val="0"/>
        <w:autoSpaceDN w:val="0"/>
        <w:adjustRightInd w:val="0"/>
        <w:ind w:left="198" w:firstLine="640" w:firstLineChars="200"/>
        <w:jc w:val="left"/>
        <w:rPr>
          <w:rFonts w:ascii="Times New Roman" w:hAnsi="Times New Roman" w:eastAsia="仿宋"/>
          <w:sz w:val="32"/>
          <w:szCs w:val="32"/>
        </w:rPr>
      </w:pPr>
      <w:r>
        <w:rPr>
          <w:rFonts w:ascii="Times New Roman" w:hAnsi="Times New Roman" w:eastAsia="仿宋" w:cs="Times New Roman"/>
          <w:sz w:val="32"/>
          <w:szCs w:val="32"/>
        </w:rPr>
        <w:t>202</w:t>
      </w:r>
      <w:r>
        <w:rPr>
          <w:rFonts w:hint="eastAsia" w:ascii="Times New Roman" w:hAnsi="Times New Roman" w:eastAsia="仿宋" w:cs="Times New Roman"/>
          <w:sz w:val="32"/>
          <w:szCs w:val="32"/>
        </w:rPr>
        <w:t>1</w:t>
      </w:r>
      <w:r>
        <w:rPr>
          <w:rFonts w:hint="eastAsia" w:ascii="Times New Roman" w:hAnsi="Times New Roman" w:eastAsia="仿宋" w:cs="仿宋"/>
          <w:sz w:val="32"/>
          <w:szCs w:val="32"/>
        </w:rPr>
        <w:t>年，我部门机关运行经费共计安排</w:t>
      </w:r>
      <w:r>
        <w:rPr>
          <w:rFonts w:hint="eastAsia" w:ascii="Times New Roman" w:hAnsi="Times New Roman" w:eastAsia="仿宋" w:cs="Times New Roman"/>
          <w:sz w:val="32"/>
          <w:szCs w:val="32"/>
        </w:rPr>
        <w:t>32</w:t>
      </w:r>
      <w:r>
        <w:rPr>
          <w:rFonts w:hint="eastAsia" w:ascii="Times New Roman" w:hAnsi="Times New Roman" w:eastAsia="仿宋" w:cs="仿宋"/>
          <w:sz w:val="32"/>
          <w:szCs w:val="32"/>
        </w:rPr>
        <w:t>万元，</w:t>
      </w:r>
      <w:r>
        <w:rPr>
          <w:rFonts w:hint="eastAsia" w:ascii="仿宋_GB2312" w:hAnsi="Times New Roman" w:eastAsia="仿宋_GB2312"/>
          <w:sz w:val="32"/>
          <w:szCs w:val="32"/>
        </w:rPr>
        <w:t>主要用于办公费、印刷费、邮电费、公务交通补贴等日常运行</w:t>
      </w:r>
      <w:r>
        <w:rPr>
          <w:rFonts w:hint="eastAsia" w:ascii="Times New Roman" w:hAnsi="Times New Roman" w:eastAsia="仿宋" w:cs="仿宋"/>
          <w:sz w:val="32"/>
          <w:szCs w:val="32"/>
        </w:rPr>
        <w:t>等支出。</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cs="仿宋"/>
          <w:sz w:val="32"/>
          <w:szCs w:val="32"/>
        </w:rPr>
      </w:pPr>
      <w:r>
        <w:rPr>
          <w:rFonts w:ascii="Times New Roman" w:hAnsi="Times New Roman" w:eastAsia="仿宋" w:cs="Times New Roman"/>
          <w:sz w:val="32"/>
          <w:szCs w:val="32"/>
        </w:rPr>
        <w:t>202</w:t>
      </w:r>
      <w:r>
        <w:rPr>
          <w:rFonts w:hint="eastAsia" w:ascii="Times New Roman" w:hAnsi="Times New Roman" w:eastAsia="仿宋" w:cs="Times New Roman"/>
          <w:sz w:val="32"/>
          <w:szCs w:val="32"/>
        </w:rPr>
        <w:t>1</w:t>
      </w:r>
      <w:r>
        <w:rPr>
          <w:rFonts w:hint="eastAsia" w:ascii="Times New Roman" w:hAnsi="Times New Roman" w:eastAsia="仿宋" w:cs="仿宋"/>
          <w:sz w:val="32"/>
          <w:szCs w:val="32"/>
        </w:rPr>
        <w:t>年，我部门财政拨款“三公”经费预算安排0万元，其中：因公出国（境）费0万元；公务用车购置及运维费0万元（其中：公务用车购置费0万元，公务用车运行维护费0万元</w:t>
      </w:r>
      <w:r>
        <w:rPr>
          <w:rFonts w:ascii="Times New Roman" w:hAnsi="Times New Roman" w:eastAsia="仿宋" w:cs="Times New Roman"/>
          <w:sz w:val="32"/>
          <w:szCs w:val="32"/>
        </w:rPr>
        <w:t>)</w:t>
      </w:r>
      <w:r>
        <w:rPr>
          <w:rFonts w:hint="eastAsia" w:ascii="Times New Roman" w:hAnsi="Times New Roman" w:eastAsia="仿宋" w:cs="仿宋"/>
          <w:sz w:val="32"/>
          <w:szCs w:val="32"/>
        </w:rPr>
        <w:t>；公务接待费0万元。“三公”经费与上年的增减变化。</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五、预算绩效信息</w:t>
      </w:r>
    </w:p>
    <w:p>
      <w:pPr>
        <w:autoSpaceDE w:val="0"/>
        <w:autoSpaceDN w:val="0"/>
        <w:adjustRightInd w:val="0"/>
        <w:ind w:left="198" w:firstLine="643" w:firstLineChars="200"/>
        <w:jc w:val="center"/>
        <w:rPr>
          <w:rFonts w:ascii="Times New Roman" w:hAnsi="Times New Roman" w:eastAsia="仿宋"/>
          <w:b/>
          <w:bCs/>
          <w:sz w:val="32"/>
          <w:szCs w:val="32"/>
        </w:rPr>
      </w:pPr>
      <w:bookmarkStart w:id="0" w:name="_Toc471398463"/>
      <w:r>
        <w:rPr>
          <w:rFonts w:hint="eastAsia" w:ascii="Times New Roman" w:hAnsi="Times New Roman" w:eastAsia="仿宋" w:cs="仿宋"/>
          <w:b/>
          <w:bCs/>
          <w:sz w:val="32"/>
          <w:szCs w:val="32"/>
        </w:rPr>
        <w:t>第一部分</w:t>
      </w:r>
      <w:r>
        <w:rPr>
          <w:rFonts w:ascii="Times New Roman" w:hAnsi="Times New Roman" w:eastAsia="仿宋" w:cs="Times New Roman"/>
          <w:b/>
          <w:bCs/>
          <w:sz w:val="32"/>
          <w:szCs w:val="32"/>
        </w:rPr>
        <w:t xml:space="preserve">  </w:t>
      </w:r>
      <w:r>
        <w:rPr>
          <w:rFonts w:hint="eastAsia" w:ascii="Times New Roman" w:hAnsi="Times New Roman" w:eastAsia="仿宋" w:cs="仿宋"/>
          <w:b/>
          <w:bCs/>
          <w:sz w:val="32"/>
          <w:szCs w:val="32"/>
        </w:rPr>
        <w:t>部门整体绩效目标</w:t>
      </w:r>
    </w:p>
    <w:p>
      <w:pPr>
        <w:autoSpaceDE w:val="0"/>
        <w:autoSpaceDN w:val="0"/>
        <w:adjustRightInd w:val="0"/>
        <w:ind w:left="198"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（一）总体绩效目标</w:t>
      </w:r>
    </w:p>
    <w:bookmarkEnd w:id="0"/>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atLeast"/>
        <w:ind w:firstLine="640" w:firstLineChars="200"/>
        <w:rPr>
          <w:rFonts w:hint="eastAsia" w:ascii="新宋体" w:hAnsi="新宋体" w:eastAsia="新宋体"/>
          <w:sz w:val="32"/>
          <w:lang w:eastAsia="zh-CN"/>
        </w:rPr>
      </w:pPr>
      <w:r>
        <w:rPr>
          <w:rFonts w:hint="eastAsia" w:ascii="新宋体" w:hAnsi="新宋体" w:eastAsia="新宋体"/>
          <w:sz w:val="32"/>
        </w:rPr>
        <w:t>2021</w:t>
      </w:r>
      <w:r>
        <w:rPr>
          <w:rFonts w:ascii="新宋体" w:hAnsi="新宋体" w:eastAsia="新宋体"/>
          <w:sz w:val="32"/>
        </w:rPr>
        <w:t>年是贯彻党的十九大精神的开局之年，是实施“十三五”规划承上启下的关键之年，魏僧寨镇在总结20</w:t>
      </w:r>
      <w:r>
        <w:rPr>
          <w:rFonts w:hint="eastAsia" w:ascii="新宋体" w:hAnsi="新宋体" w:eastAsia="新宋体"/>
          <w:sz w:val="32"/>
        </w:rPr>
        <w:t>20</w:t>
      </w:r>
      <w:r>
        <w:rPr>
          <w:rFonts w:ascii="新宋体" w:hAnsi="新宋体" w:eastAsia="新宋体"/>
          <w:sz w:val="32"/>
        </w:rPr>
        <w:t>年工作经验的基础上，本着从魏僧寨镇实情出发，以建设“经济强镇、美丽魏僧寨”为目标，作出以下发展规划：</w:t>
      </w:r>
      <w:r>
        <w:rPr>
          <w:rFonts w:hint="eastAsia" w:ascii="新宋体" w:hAnsi="新宋体" w:eastAsia="新宋体"/>
          <w:sz w:val="32"/>
        </w:rPr>
        <w:t xml:space="preserve"> 一、党建工作真抓落实</w:t>
      </w:r>
      <w:r>
        <w:rPr>
          <w:rFonts w:hint="eastAsia" w:ascii="新宋体" w:hAnsi="新宋体" w:eastAsia="新宋体"/>
          <w:sz w:val="32"/>
          <w:lang w:eastAsia="zh-CN"/>
        </w:rPr>
        <w:t>；</w:t>
      </w:r>
      <w:r>
        <w:rPr>
          <w:rFonts w:hint="eastAsia" w:ascii="新宋体" w:hAnsi="新宋体" w:eastAsia="新宋体"/>
          <w:sz w:val="32"/>
        </w:rPr>
        <w:t>二、创新工作措施，夯实党风廉政建设基础</w:t>
      </w:r>
      <w:r>
        <w:rPr>
          <w:rFonts w:hint="eastAsia" w:ascii="新宋体" w:hAnsi="新宋体" w:eastAsia="新宋体"/>
          <w:sz w:val="32"/>
          <w:lang w:eastAsia="zh-CN"/>
        </w:rPr>
        <w:t>；</w:t>
      </w:r>
      <w:r>
        <w:rPr>
          <w:rFonts w:hint="eastAsia" w:ascii="新宋体" w:hAnsi="新宋体" w:eastAsia="新宋体"/>
          <w:sz w:val="32"/>
        </w:rPr>
        <w:t>三、高度重视，认真做好村两委换届工作</w:t>
      </w:r>
      <w:r>
        <w:rPr>
          <w:rFonts w:hint="eastAsia" w:ascii="新宋体" w:hAnsi="新宋体" w:eastAsia="新宋体"/>
          <w:sz w:val="32"/>
          <w:lang w:eastAsia="zh-CN"/>
        </w:rPr>
        <w:t>；</w:t>
      </w:r>
      <w:r>
        <w:rPr>
          <w:rFonts w:hint="eastAsia" w:ascii="新宋体" w:hAnsi="新宋体" w:eastAsia="新宋体"/>
          <w:sz w:val="32"/>
        </w:rPr>
        <w:t>四、加快轴承园区建设，大力扶持轴承产业的稳步发展</w:t>
      </w:r>
      <w:r>
        <w:rPr>
          <w:rFonts w:hint="eastAsia" w:ascii="新宋体" w:hAnsi="新宋体" w:eastAsia="新宋体"/>
          <w:sz w:val="32"/>
          <w:lang w:eastAsia="zh-CN"/>
        </w:rPr>
        <w:t>；</w:t>
      </w:r>
      <w:r>
        <w:rPr>
          <w:rFonts w:hint="eastAsia" w:ascii="新宋体" w:hAnsi="新宋体" w:eastAsia="新宋体"/>
          <w:sz w:val="32"/>
        </w:rPr>
        <w:t>五、严格落实强化措施，全力做好大气污染整治工作</w:t>
      </w:r>
      <w:r>
        <w:rPr>
          <w:rFonts w:hint="eastAsia" w:ascii="新宋体" w:hAnsi="新宋体" w:eastAsia="新宋体"/>
          <w:sz w:val="32"/>
          <w:lang w:eastAsia="zh-CN"/>
        </w:rPr>
        <w:t>；</w:t>
      </w:r>
      <w:r>
        <w:rPr>
          <w:rFonts w:hint="eastAsia" w:ascii="新宋体" w:hAnsi="新宋体" w:eastAsia="新宋体"/>
          <w:sz w:val="32"/>
        </w:rPr>
        <w:t>六、继续加大对扶贫工作的推进力度</w:t>
      </w:r>
      <w:r>
        <w:rPr>
          <w:rFonts w:hint="eastAsia" w:ascii="新宋体" w:hAnsi="新宋体" w:eastAsia="新宋体"/>
          <w:sz w:val="32"/>
          <w:lang w:eastAsia="zh-CN"/>
        </w:rPr>
        <w:t>；</w:t>
      </w:r>
      <w:r>
        <w:rPr>
          <w:rFonts w:hint="eastAsia" w:ascii="新宋体" w:hAnsi="新宋体" w:eastAsia="新宋体"/>
          <w:sz w:val="32"/>
        </w:rPr>
        <w:t>七、继续大力度推进黄瓜基地建设工作</w:t>
      </w:r>
      <w:r>
        <w:rPr>
          <w:rFonts w:hint="eastAsia" w:ascii="新宋体" w:hAnsi="新宋体" w:eastAsia="新宋体"/>
          <w:sz w:val="32"/>
          <w:lang w:eastAsia="zh-CN"/>
        </w:rPr>
        <w:t>；</w:t>
      </w:r>
      <w:r>
        <w:rPr>
          <w:rFonts w:hint="eastAsia" w:ascii="新宋体" w:hAnsi="新宋体" w:eastAsia="新宋体"/>
          <w:sz w:val="32"/>
        </w:rPr>
        <w:t>八、全力推进农业农村建设，优化生产生活环境</w:t>
      </w:r>
      <w:r>
        <w:rPr>
          <w:rFonts w:hint="eastAsia" w:ascii="新宋体" w:hAnsi="新宋体" w:eastAsia="新宋体"/>
          <w:sz w:val="32"/>
          <w:lang w:eastAsia="zh-CN"/>
        </w:rPr>
        <w:t>；</w:t>
      </w:r>
      <w:r>
        <w:rPr>
          <w:rFonts w:hint="eastAsia" w:ascii="新宋体" w:hAnsi="新宋体" w:eastAsia="新宋体"/>
          <w:sz w:val="32"/>
        </w:rPr>
        <w:t>九、充分发挥乡镇纪委监督执纪问责的职能</w:t>
      </w:r>
      <w:r>
        <w:rPr>
          <w:rFonts w:hint="eastAsia" w:ascii="新宋体" w:hAnsi="新宋体" w:eastAsia="新宋体"/>
          <w:sz w:val="32"/>
          <w:lang w:eastAsia="zh-CN"/>
        </w:rPr>
        <w:t>。</w:t>
      </w:r>
    </w:p>
    <w:p>
      <w:pPr>
        <w:numPr>
          <w:ilvl w:val="0"/>
          <w:numId w:val="2"/>
        </w:numPr>
        <w:autoSpaceDE w:val="0"/>
        <w:autoSpaceDN w:val="0"/>
        <w:ind w:left="198" w:firstLine="643" w:firstLineChars="200"/>
        <w:rPr>
          <w:rFonts w:ascii="Times New Roman" w:hAnsi="Times New Roman" w:eastAsia="仿宋"/>
          <w:b/>
          <w:bCs/>
          <w:sz w:val="32"/>
          <w:szCs w:val="32"/>
        </w:rPr>
      </w:pPr>
      <w:r>
        <w:rPr>
          <w:rFonts w:hint="eastAsia" w:ascii="Times New Roman" w:hAnsi="Times New Roman" w:eastAsia="仿宋" w:cs="仿宋"/>
          <w:b/>
          <w:bCs/>
          <w:sz w:val="32"/>
          <w:szCs w:val="32"/>
        </w:rPr>
        <w:t>分项绩效目标</w:t>
      </w:r>
    </w:p>
    <w:p>
      <w:pPr>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firstLineChars="200"/>
        <w:rPr>
          <w:rFonts w:ascii="宋体" w:hAnsi="宋体"/>
          <w:sz w:val="32"/>
        </w:rPr>
      </w:pPr>
      <w:r>
        <w:rPr>
          <w:rFonts w:ascii="宋体" w:hAnsi="宋体"/>
          <w:b/>
          <w:sz w:val="32"/>
        </w:rPr>
        <w:t>政务管理。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宋体" w:hAnsi="宋体"/>
          <w:sz w:val="32"/>
        </w:rPr>
      </w:pPr>
      <w:r>
        <w:rPr>
          <w:rFonts w:hint="eastAsia" w:ascii="宋体" w:hAnsi="宋体"/>
          <w:sz w:val="32"/>
        </w:rPr>
        <w:t>绩效目标：</w:t>
      </w:r>
      <w:r>
        <w:rPr>
          <w:rFonts w:ascii="宋体" w:hAnsi="宋体"/>
          <w:sz w:val="32"/>
        </w:rPr>
        <w:t>承办党委交办的其他事项，协调各办公室的工作关系。依法依规履行机关日常管理事务，确保机关工作正常运行。</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宋体" w:hAnsi="宋体"/>
          <w:sz w:val="32"/>
        </w:rPr>
      </w:pPr>
      <w:r>
        <w:rPr>
          <w:rFonts w:hint="eastAsia" w:ascii="宋体" w:hAnsi="宋体"/>
          <w:sz w:val="32"/>
        </w:rPr>
        <w:t>绩效指标：事务性工作完成率、群众满意度。</w:t>
      </w:r>
    </w:p>
    <w:p>
      <w:pPr>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firstLineChars="200"/>
        <w:rPr>
          <w:rFonts w:ascii="宋体" w:hAnsi="宋体"/>
          <w:sz w:val="32"/>
        </w:rPr>
      </w:pPr>
      <w:r>
        <w:rPr>
          <w:rFonts w:ascii="宋体" w:hAnsi="宋体"/>
          <w:b/>
          <w:sz w:val="32"/>
        </w:rPr>
        <w:t>推动经济发展，</w:t>
      </w:r>
      <w:r>
        <w:rPr>
          <w:rFonts w:hint="eastAsia" w:ascii="宋体" w:hAnsi="宋体"/>
          <w:b/>
          <w:sz w:val="32"/>
        </w:rPr>
        <w:t>保障民生工作</w:t>
      </w:r>
      <w:r>
        <w:rPr>
          <w:rFonts w:ascii="宋体" w:hAnsi="宋体"/>
          <w:b/>
          <w:sz w:val="32"/>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宋体" w:hAnsi="宋体"/>
          <w:sz w:val="32"/>
        </w:rPr>
      </w:pPr>
      <w:r>
        <w:rPr>
          <w:rFonts w:hint="eastAsia" w:ascii="宋体" w:hAnsi="宋体"/>
          <w:sz w:val="32"/>
        </w:rPr>
        <w:t>绩效目标：完成</w:t>
      </w:r>
      <w:r>
        <w:rPr>
          <w:rFonts w:ascii="宋体" w:hAnsi="宋体"/>
          <w:sz w:val="32"/>
        </w:rPr>
        <w:t>经济发展和民生改善</w:t>
      </w:r>
      <w:r>
        <w:rPr>
          <w:rFonts w:hint="eastAsia" w:ascii="宋体" w:hAnsi="宋体"/>
          <w:sz w:val="32"/>
        </w:rPr>
        <w:t>、</w:t>
      </w:r>
      <w:r>
        <w:rPr>
          <w:rFonts w:ascii="宋体" w:hAnsi="宋体"/>
          <w:sz w:val="32"/>
        </w:rPr>
        <w:t>社会救助体系建设</w:t>
      </w:r>
      <w:r>
        <w:rPr>
          <w:rFonts w:hint="eastAsia" w:ascii="宋体" w:hAnsi="宋体"/>
          <w:sz w:val="32"/>
        </w:rPr>
        <w:t>；保障</w:t>
      </w:r>
      <w:r>
        <w:rPr>
          <w:rFonts w:ascii="宋体" w:hAnsi="宋体"/>
          <w:sz w:val="32"/>
        </w:rPr>
        <w:t>农村居民最低生活保障、五保供养、医疗救助</w:t>
      </w:r>
      <w:r>
        <w:rPr>
          <w:rFonts w:hint="eastAsia" w:ascii="宋体" w:hAnsi="宋体"/>
          <w:sz w:val="32"/>
        </w:rPr>
        <w:t>；</w:t>
      </w:r>
      <w:r>
        <w:rPr>
          <w:rFonts w:ascii="宋体" w:hAnsi="宋体"/>
          <w:sz w:val="32"/>
        </w:rPr>
        <w:t>培育支柱产业，加强基础设施建设和新型农村服务体系建设</w:t>
      </w:r>
      <w:r>
        <w:rPr>
          <w:rFonts w:hint="eastAsia" w:ascii="宋体" w:hAnsi="宋体"/>
          <w:sz w:val="32"/>
        </w:rPr>
        <w:t>；</w:t>
      </w:r>
      <w:r>
        <w:rPr>
          <w:rFonts w:ascii="宋体" w:hAnsi="宋体"/>
          <w:sz w:val="32"/>
        </w:rPr>
        <w:t>落实安全生产责任制，搞好农业新技术示范推广</w:t>
      </w:r>
      <w:r>
        <w:rPr>
          <w:rFonts w:hint="eastAsia" w:ascii="宋体" w:hAnsi="宋体"/>
          <w:sz w:val="32"/>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宋体" w:hAnsi="宋体"/>
          <w:sz w:val="32"/>
        </w:rPr>
      </w:pPr>
      <w:r>
        <w:rPr>
          <w:rFonts w:hint="eastAsia" w:ascii="宋体" w:hAnsi="宋体"/>
          <w:sz w:val="32"/>
        </w:rPr>
        <w:t>绩效指标：民生工作完成率、经济建设提升率、村民满意度。</w:t>
      </w:r>
    </w:p>
    <w:p>
      <w:pPr>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firstLineChars="200"/>
        <w:rPr>
          <w:rFonts w:ascii="宋体" w:hAnsi="宋体"/>
          <w:sz w:val="32"/>
        </w:rPr>
      </w:pPr>
      <w:r>
        <w:rPr>
          <w:rFonts w:hint="eastAsia" w:ascii="宋体" w:hAnsi="宋体"/>
          <w:b/>
          <w:sz w:val="32"/>
        </w:rPr>
        <w:t>计划生育工作</w:t>
      </w:r>
      <w:r>
        <w:rPr>
          <w:rFonts w:ascii="宋体" w:hAnsi="宋体"/>
          <w:b/>
          <w:sz w:val="32"/>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宋体" w:hAnsi="宋体"/>
          <w:sz w:val="32"/>
        </w:rPr>
      </w:pPr>
      <w:r>
        <w:rPr>
          <w:rFonts w:hint="eastAsia" w:ascii="宋体" w:hAnsi="宋体"/>
          <w:bCs/>
          <w:sz w:val="32"/>
        </w:rPr>
        <w:t>绩效目标：</w:t>
      </w:r>
      <w:r>
        <w:rPr>
          <w:rFonts w:ascii="宋体" w:hAnsi="宋体"/>
          <w:bCs/>
          <w:sz w:val="32"/>
        </w:rPr>
        <w:t>提供各类计划生育技术服务，建立利益导向机制，开展出生人口性别比治理以及流动人口计划生育管理等各项工作。</w:t>
      </w:r>
      <w:r>
        <w:rPr>
          <w:rFonts w:ascii="宋体" w:hAnsi="宋体"/>
          <w:sz w:val="32"/>
        </w:rPr>
        <w:t>稳定适度的低生育水平，有效保障计划生育家庭生活水平，提高妇女生殖健康水平，降低出生缺陷的发生，有效遏制出生人口性别比偏高问题。</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宋体" w:hAnsi="宋体"/>
          <w:sz w:val="32"/>
        </w:rPr>
      </w:pPr>
      <w:r>
        <w:rPr>
          <w:rFonts w:hint="eastAsia" w:ascii="宋体" w:hAnsi="宋体"/>
          <w:sz w:val="32"/>
        </w:rPr>
        <w:t>绩效指标：工作完成率、政策宣传率。</w:t>
      </w:r>
    </w:p>
    <w:p>
      <w:pPr>
        <w:numPr>
          <w:ilvl w:val="0"/>
          <w:numId w:val="4"/>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sz w:val="32"/>
        </w:rPr>
      </w:pPr>
      <w:r>
        <w:rPr>
          <w:rFonts w:ascii="宋体" w:hAnsi="宋体"/>
          <w:b/>
          <w:sz w:val="32"/>
        </w:rPr>
        <w:t>维护社会稳定</w:t>
      </w:r>
      <w:r>
        <w:rPr>
          <w:rFonts w:hint="eastAsia" w:ascii="宋体" w:hAnsi="宋体"/>
          <w:b/>
          <w:sz w:val="32"/>
        </w:rPr>
        <w:t>和</w:t>
      </w:r>
      <w:r>
        <w:rPr>
          <w:rFonts w:ascii="宋体" w:hAnsi="宋体"/>
          <w:b/>
          <w:sz w:val="32"/>
        </w:rPr>
        <w:t>安全</w:t>
      </w:r>
      <w:r>
        <w:rPr>
          <w:rFonts w:hint="eastAsia" w:ascii="宋体" w:hAnsi="宋体"/>
          <w:b/>
          <w:sz w:val="32"/>
        </w:rPr>
        <w:t>工作</w:t>
      </w:r>
      <w:r>
        <w:rPr>
          <w:rFonts w:ascii="宋体" w:hAnsi="宋体"/>
          <w:b/>
          <w:sz w:val="32"/>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宋体" w:hAnsi="宋体"/>
          <w:sz w:val="32"/>
        </w:rPr>
      </w:pPr>
      <w:r>
        <w:rPr>
          <w:rFonts w:hint="eastAsia" w:ascii="宋体" w:hAnsi="宋体"/>
          <w:sz w:val="32"/>
        </w:rPr>
        <w:t>绩效目标：</w:t>
      </w:r>
      <w:r>
        <w:rPr>
          <w:rFonts w:ascii="宋体" w:hAnsi="宋体"/>
          <w:sz w:val="32"/>
        </w:rPr>
        <w:t>贯彻实施国家安全战略，推进国家安全法制建设，贯彻落实国家安全工作方针，研究解决涉及国家安全工作的重大问题</w:t>
      </w:r>
      <w:r>
        <w:rPr>
          <w:rFonts w:hint="eastAsia" w:ascii="宋体" w:hAnsi="宋体"/>
          <w:sz w:val="32"/>
        </w:rPr>
        <w:t>，</w:t>
      </w:r>
      <w:r>
        <w:rPr>
          <w:rFonts w:ascii="宋体" w:hAnsi="宋体"/>
          <w:sz w:val="32"/>
        </w:rPr>
        <w:t>指导、协调和督导各级各部门排查、化解影响社会稳定的重大不稳定隐患、群体性事件和突发事件。</w:t>
      </w:r>
      <w:r>
        <w:rPr>
          <w:rFonts w:hint="eastAsia" w:ascii="宋体" w:hAnsi="宋体"/>
          <w:sz w:val="32"/>
        </w:rPr>
        <w:t>保障</w:t>
      </w:r>
      <w:r>
        <w:rPr>
          <w:rFonts w:ascii="宋体" w:hAnsi="宋体"/>
          <w:sz w:val="32"/>
        </w:rPr>
        <w:t>本乡公共设施的建设维护。预防减少不稳定因素的发生，有效化解不稳定隐患、群体性事件和突发事件。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宋体" w:hAnsi="宋体"/>
          <w:sz w:val="32"/>
        </w:rPr>
      </w:pPr>
      <w:r>
        <w:rPr>
          <w:rFonts w:hint="eastAsia" w:ascii="宋体" w:hAnsi="宋体"/>
          <w:sz w:val="32"/>
        </w:rPr>
        <w:t>绩效指标：工作完成率、基础设施利用率、群众满意度。</w:t>
      </w:r>
    </w:p>
    <w:p>
      <w:pPr>
        <w:numPr>
          <w:ilvl w:val="0"/>
          <w:numId w:val="4"/>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sz w:val="32"/>
        </w:rPr>
      </w:pPr>
      <w:r>
        <w:rPr>
          <w:rFonts w:ascii="宋体" w:hAnsi="宋体"/>
          <w:b/>
          <w:sz w:val="32"/>
        </w:rPr>
        <w:t>财政业务</w:t>
      </w:r>
      <w:r>
        <w:rPr>
          <w:rFonts w:hint="eastAsia" w:ascii="宋体" w:hAnsi="宋体"/>
          <w:b/>
          <w:sz w:val="32"/>
        </w:rPr>
        <w:t>、涉农资金</w:t>
      </w:r>
      <w:r>
        <w:rPr>
          <w:rFonts w:ascii="宋体" w:hAnsi="宋体"/>
          <w:b/>
          <w:sz w:val="32"/>
        </w:rPr>
        <w:t>管理</w:t>
      </w:r>
      <w:r>
        <w:rPr>
          <w:rFonts w:hint="eastAsia" w:ascii="宋体" w:hAnsi="宋体"/>
          <w:b/>
          <w:sz w:val="32"/>
        </w:rPr>
        <w:t>工作</w:t>
      </w:r>
      <w:r>
        <w:rPr>
          <w:rFonts w:ascii="宋体" w:hAnsi="宋体"/>
          <w:b/>
          <w:sz w:val="32"/>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宋体" w:hAnsi="宋体"/>
          <w:sz w:val="32"/>
        </w:rPr>
      </w:pPr>
      <w:r>
        <w:rPr>
          <w:rFonts w:hint="eastAsia" w:ascii="宋体" w:hAnsi="宋体"/>
          <w:sz w:val="32"/>
        </w:rPr>
        <w:t>绩效目标：</w:t>
      </w:r>
      <w:r>
        <w:rPr>
          <w:rFonts w:ascii="宋体" w:hAnsi="宋体"/>
          <w:sz w:val="32"/>
        </w:rPr>
        <w:t>保证镇机关正常运转，合理安排支出，规范村级财务管理，监督管理涉农资金兑付落实，加强国有资产管理，杜绝增加政府债务，提高预算完整性，做好项目绩效评价。</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宋体" w:hAnsi="宋体"/>
          <w:sz w:val="32"/>
        </w:rPr>
      </w:pPr>
      <w:r>
        <w:rPr>
          <w:rFonts w:hint="eastAsia" w:ascii="宋体" w:hAnsi="宋体"/>
          <w:sz w:val="32"/>
        </w:rPr>
        <w:t>绩效指标：财政绩效评价合格率、预决算完成率、国有资产利用率。</w:t>
      </w:r>
    </w:p>
    <w:p>
      <w:pPr>
        <w:numPr>
          <w:ilvl w:val="0"/>
          <w:numId w:val="4"/>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sz w:val="32"/>
        </w:rPr>
      </w:pPr>
      <w:r>
        <w:rPr>
          <w:rFonts w:ascii="宋体" w:hAnsi="宋体"/>
          <w:b/>
          <w:sz w:val="32"/>
        </w:rPr>
        <w:t>农业科技</w:t>
      </w:r>
      <w:r>
        <w:rPr>
          <w:rFonts w:hint="eastAsia" w:ascii="宋体" w:hAnsi="宋体"/>
          <w:b/>
          <w:sz w:val="32"/>
        </w:rPr>
        <w:t>、</w:t>
      </w:r>
      <w:r>
        <w:rPr>
          <w:rFonts w:ascii="宋体" w:hAnsi="宋体"/>
          <w:b/>
          <w:sz w:val="32"/>
        </w:rPr>
        <w:t>公共服务</w:t>
      </w:r>
      <w:r>
        <w:rPr>
          <w:rFonts w:hint="eastAsia" w:ascii="宋体" w:hAnsi="宋体"/>
          <w:b/>
          <w:sz w:val="32"/>
        </w:rPr>
        <w:t>和</w:t>
      </w:r>
      <w:r>
        <w:rPr>
          <w:rFonts w:ascii="宋体" w:hAnsi="宋体"/>
          <w:b/>
          <w:sz w:val="32"/>
        </w:rPr>
        <w:t>文化发展</w:t>
      </w:r>
      <w:r>
        <w:rPr>
          <w:rFonts w:hint="eastAsia" w:ascii="宋体" w:hAnsi="宋体"/>
          <w:b/>
          <w:sz w:val="32"/>
        </w:rPr>
        <w:t>工作</w:t>
      </w:r>
      <w:r>
        <w:rPr>
          <w:rFonts w:ascii="宋体" w:hAnsi="宋体"/>
          <w:b/>
          <w:sz w:val="32"/>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宋体" w:hAnsi="宋体"/>
          <w:sz w:val="32"/>
        </w:rPr>
      </w:pPr>
      <w:r>
        <w:rPr>
          <w:rFonts w:hint="eastAsia" w:ascii="宋体" w:hAnsi="宋体"/>
          <w:sz w:val="32"/>
        </w:rPr>
        <w:t>绩效目标：</w:t>
      </w:r>
      <w:r>
        <w:rPr>
          <w:rFonts w:ascii="宋体" w:hAnsi="宋体"/>
          <w:sz w:val="32"/>
        </w:rPr>
        <w:t>提高农业机械化水平，建立健全农业科技服务和防灾减灾体系，推动农业生产向现代农业发展。运用多种文化艺术手段，开展丰富多彩群众活动。促进农业现代化，提高农业劳动生产率，增加农民收入。运用多种文化艺术手段，丰富群众文化、提高农民基本素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宋体" w:hAnsi="宋体"/>
          <w:sz w:val="32"/>
        </w:rPr>
      </w:pPr>
      <w:r>
        <w:rPr>
          <w:rFonts w:hint="eastAsia" w:ascii="宋体" w:hAnsi="宋体"/>
          <w:sz w:val="32"/>
        </w:rPr>
        <w:t>绩效指标：农业科技普及率、农民收入增加率、文化生活提高率。</w:t>
      </w:r>
    </w:p>
    <w:p>
      <w:pPr>
        <w:autoSpaceDE w:val="0"/>
        <w:autoSpaceDN w:val="0"/>
        <w:ind w:left="198" w:firstLine="643" w:firstLineChars="200"/>
        <w:rPr>
          <w:rFonts w:ascii="仿宋_GB2312" w:hAnsi="Times New Roman" w:eastAsia="仿宋_GB2312"/>
          <w:sz w:val="32"/>
          <w:szCs w:val="32"/>
        </w:rPr>
      </w:pPr>
      <w:r>
        <w:rPr>
          <w:rFonts w:hint="eastAsia" w:ascii="Times New Roman" w:hAnsi="Times New Roman" w:eastAsia="仿宋" w:cs="仿宋"/>
          <w:b/>
          <w:bCs/>
          <w:sz w:val="32"/>
          <w:szCs w:val="32"/>
        </w:rPr>
        <w:t>（三）工作保障措施</w:t>
      </w:r>
    </w:p>
    <w:p>
      <w:pPr>
        <w:pStyle w:val="16"/>
        <w:spacing w:line="600" w:lineRule="exact"/>
        <w:ind w:firstLine="640" w:firstLineChars="200"/>
        <w:rPr>
          <w:sz w:val="30"/>
          <w:lang w:eastAsia="zh-CN"/>
        </w:rPr>
      </w:pPr>
      <w:r>
        <w:rPr>
          <w:rFonts w:hint="eastAsia" w:ascii="黑体" w:hAnsi="黑体" w:eastAsia="黑体"/>
          <w:sz w:val="32"/>
          <w:lang w:eastAsia="zh-CN"/>
        </w:rPr>
        <w:t>1、</w:t>
      </w:r>
      <w:r>
        <w:rPr>
          <w:rFonts w:ascii="黑体" w:hAnsi="黑体" w:eastAsia="黑体"/>
          <w:sz w:val="32"/>
          <w:lang w:eastAsia="zh-CN"/>
        </w:rPr>
        <w:t>加强组织领导。</w:t>
      </w:r>
    </w:p>
    <w:p>
      <w:pPr>
        <w:pStyle w:val="16"/>
        <w:spacing w:line="600" w:lineRule="exact"/>
        <w:ind w:firstLine="640"/>
        <w:rPr>
          <w:rFonts w:ascii="新宋体" w:hAnsi="新宋体" w:eastAsia="新宋体"/>
          <w:sz w:val="32"/>
          <w:lang w:eastAsia="zh-CN"/>
        </w:rPr>
      </w:pPr>
      <w:r>
        <w:rPr>
          <w:rFonts w:ascii="新宋体" w:hAnsi="新宋体" w:eastAsia="新宋体"/>
          <w:sz w:val="32"/>
          <w:lang w:eastAsia="zh-CN"/>
        </w:rPr>
        <w:t>魏僧寨镇领导及全体工作人员要严格落实政府对去镇居民的安全负责的要求，纳入当地国民经济和社会发展规划，合理确定相关部门建设任务，及时研究解决保障体系建设中的重大问题，明确任务分工和进度安排，按计划、由步骤地抓好各项工作落实。</w:t>
      </w:r>
    </w:p>
    <w:p>
      <w:pPr>
        <w:pStyle w:val="16"/>
        <w:spacing w:line="600" w:lineRule="exact"/>
        <w:ind w:firstLine="640" w:firstLineChars="200"/>
        <w:rPr>
          <w:rFonts w:ascii="黑体" w:hAnsi="黑体" w:eastAsia="黑体"/>
          <w:sz w:val="32"/>
          <w:lang w:eastAsia="zh-CN"/>
        </w:rPr>
      </w:pPr>
      <w:r>
        <w:rPr>
          <w:rFonts w:hint="eastAsia" w:ascii="黑体" w:hAnsi="黑体" w:eastAsia="黑体"/>
          <w:sz w:val="32"/>
          <w:lang w:eastAsia="zh-CN"/>
        </w:rPr>
        <w:t>2、</w:t>
      </w:r>
      <w:r>
        <w:rPr>
          <w:rFonts w:ascii="黑体" w:hAnsi="黑体" w:eastAsia="黑体"/>
          <w:sz w:val="32"/>
          <w:lang w:eastAsia="zh-CN"/>
        </w:rPr>
        <w:t>完善政策措施。</w:t>
      </w:r>
    </w:p>
    <w:p>
      <w:pPr>
        <w:pStyle w:val="16"/>
        <w:spacing w:line="600" w:lineRule="exact"/>
        <w:ind w:firstLine="707"/>
        <w:jc w:val="both"/>
        <w:rPr>
          <w:rFonts w:ascii="新宋体" w:hAnsi="新宋体" w:eastAsia="新宋体"/>
          <w:sz w:val="32"/>
          <w:lang w:eastAsia="zh-CN"/>
        </w:rPr>
      </w:pPr>
      <w:r>
        <w:rPr>
          <w:rFonts w:ascii="新宋体" w:hAnsi="新宋体" w:eastAsia="新宋体"/>
          <w:sz w:val="32"/>
          <w:lang w:eastAsia="zh-CN"/>
        </w:rPr>
        <w:t>围绕本规划目标，制订出台配套政策措施，有序推进保障体系建设工作。及时研究提出职能和机构编制调整、人财物划转、技术力量整合的办法，确保有关部门履行职责；发展改革部门要制定优惠支持政策，推动相关重点项目按规定程序及时立项、开工建设。</w:t>
      </w:r>
    </w:p>
    <w:p>
      <w:pPr>
        <w:pStyle w:val="16"/>
        <w:spacing w:line="600" w:lineRule="exact"/>
        <w:ind w:left="420" w:leftChars="200"/>
        <w:rPr>
          <w:rFonts w:ascii="黑体" w:hAnsi="黑体" w:eastAsia="黑体"/>
          <w:sz w:val="32"/>
          <w:lang w:eastAsia="zh-CN"/>
        </w:rPr>
      </w:pPr>
      <w:r>
        <w:rPr>
          <w:rFonts w:hint="eastAsia" w:ascii="黑体" w:hAnsi="黑体" w:eastAsia="黑体"/>
          <w:sz w:val="32"/>
          <w:lang w:eastAsia="zh-CN"/>
        </w:rPr>
        <w:t>3、</w:t>
      </w:r>
      <w:r>
        <w:rPr>
          <w:rFonts w:ascii="黑体" w:hAnsi="黑体" w:eastAsia="黑体"/>
          <w:sz w:val="32"/>
          <w:lang w:eastAsia="zh-CN"/>
        </w:rPr>
        <w:t>保障经费投入。</w:t>
      </w:r>
    </w:p>
    <w:p>
      <w:pPr>
        <w:pStyle w:val="16"/>
        <w:spacing w:line="600" w:lineRule="exact"/>
        <w:ind w:left="420" w:leftChars="200" w:firstLine="640" w:firstLineChars="200"/>
        <w:rPr>
          <w:rFonts w:ascii="新宋体" w:hAnsi="新宋体" w:eastAsia="新宋体"/>
          <w:sz w:val="32"/>
          <w:lang w:eastAsia="zh-CN"/>
        </w:rPr>
      </w:pPr>
      <w:r>
        <w:rPr>
          <w:rFonts w:ascii="新宋体" w:hAnsi="新宋体" w:eastAsia="新宋体"/>
          <w:sz w:val="32"/>
          <w:lang w:eastAsia="zh-CN"/>
        </w:rPr>
        <w:t>科学划分监管事权与支出责任，研究制订保障体系建设的投入分担比例和具体办法，及时落实配套资金；建立安全投入稳定机制，重点加强监管项目建设，并将专项经费纳入同级财政预算，足额落实到位；严格建设资金使用情况审计、监管，确保资金使用高效、合规。</w:t>
      </w:r>
    </w:p>
    <w:p>
      <w:pPr>
        <w:pStyle w:val="16"/>
        <w:spacing w:line="600" w:lineRule="exact"/>
        <w:ind w:firstLine="640" w:firstLineChars="200"/>
        <w:rPr>
          <w:rFonts w:ascii="黑体" w:hAnsi="黑体" w:eastAsia="黑体"/>
          <w:sz w:val="32"/>
          <w:lang w:eastAsia="zh-CN"/>
        </w:rPr>
      </w:pPr>
      <w:r>
        <w:rPr>
          <w:rFonts w:hint="eastAsia" w:ascii="黑体" w:hAnsi="黑体" w:eastAsia="黑体"/>
          <w:sz w:val="32"/>
          <w:lang w:eastAsia="zh-CN"/>
        </w:rPr>
        <w:t>4、</w:t>
      </w:r>
      <w:r>
        <w:rPr>
          <w:rFonts w:ascii="黑体" w:hAnsi="黑体" w:eastAsia="黑体"/>
          <w:sz w:val="32"/>
          <w:lang w:eastAsia="zh-CN"/>
        </w:rPr>
        <w:t>加强督导工作。</w:t>
      </w:r>
    </w:p>
    <w:p>
      <w:pPr>
        <w:pStyle w:val="16"/>
        <w:spacing w:line="600" w:lineRule="exact"/>
        <w:ind w:firstLine="640"/>
        <w:rPr>
          <w:rFonts w:ascii="新宋体" w:hAnsi="新宋体" w:eastAsia="新宋体"/>
          <w:sz w:val="32"/>
          <w:lang w:eastAsia="zh-CN"/>
        </w:rPr>
      </w:pPr>
      <w:r>
        <w:rPr>
          <w:rFonts w:ascii="新宋体" w:hAnsi="新宋体" w:eastAsia="新宋体"/>
          <w:sz w:val="32"/>
          <w:lang w:eastAsia="zh-CN"/>
        </w:rPr>
        <w:t>切实发挥本规划对我镇职能的指导作用，督促检查各项建设任务全面落实。</w:t>
      </w:r>
    </w:p>
    <w:p>
      <w:pPr>
        <w:rPr>
          <w:rFonts w:ascii="黑体" w:hAnsi="仿宋" w:eastAsia="黑体"/>
          <w:b/>
          <w:sz w:val="32"/>
          <w:szCs w:val="32"/>
        </w:rPr>
      </w:pPr>
    </w:p>
    <w:p>
      <w:pPr>
        <w:ind w:firstLine="790" w:firstLineChars="246"/>
        <w:rPr>
          <w:rFonts w:ascii="黑体" w:hAnsi="仿宋" w:eastAsia="黑体"/>
          <w:b/>
          <w:sz w:val="32"/>
          <w:szCs w:val="32"/>
        </w:rPr>
      </w:pPr>
      <w:r>
        <w:rPr>
          <w:rFonts w:hint="eastAsia" w:ascii="黑体" w:hAnsi="仿宋" w:eastAsia="黑体"/>
          <w:b/>
          <w:sz w:val="32"/>
          <w:szCs w:val="32"/>
        </w:rPr>
        <w:t>第二部分  预算项目绩效目标</w:t>
      </w:r>
    </w:p>
    <w:p>
      <w:pPr>
        <w:ind w:firstLine="790" w:firstLineChars="246"/>
        <w:rPr>
          <w:rFonts w:ascii="黑体" w:hAnsi="仿宋" w:eastAsia="黑体"/>
          <w:b/>
          <w:sz w:val="32"/>
          <w:szCs w:val="32"/>
        </w:rPr>
      </w:pPr>
      <w:r>
        <w:rPr>
          <w:rFonts w:hint="eastAsia" w:ascii="黑体" w:hAnsi="仿宋" w:eastAsia="黑体"/>
          <w:b/>
          <w:sz w:val="32"/>
          <w:szCs w:val="32"/>
        </w:rPr>
        <w:t>1、魏僧寨镇村支书养老、医疗、人身意外保险资金项目绩效表</w:t>
      </w:r>
    </w:p>
    <w:tbl>
      <w:tblPr>
        <w:tblStyle w:val="7"/>
        <w:tblW w:w="9918" w:type="dxa"/>
        <w:jc w:val="center"/>
        <w:tblLayout w:type="autofit"/>
        <w:tblCellMar>
          <w:top w:w="0" w:type="dxa"/>
          <w:left w:w="0" w:type="dxa"/>
          <w:bottom w:w="0" w:type="dxa"/>
          <w:right w:w="0" w:type="dxa"/>
        </w:tblCellMar>
      </w:tblPr>
      <w:tblGrid>
        <w:gridCol w:w="934"/>
        <w:gridCol w:w="1650"/>
        <w:gridCol w:w="1197"/>
        <w:gridCol w:w="2502"/>
        <w:gridCol w:w="1792"/>
        <w:gridCol w:w="1843"/>
      </w:tblGrid>
      <w:tr>
        <w:tblPrEx>
          <w:tblCellMar>
            <w:top w:w="0" w:type="dxa"/>
            <w:left w:w="0" w:type="dxa"/>
            <w:bottom w:w="0" w:type="dxa"/>
            <w:right w:w="0" w:type="dxa"/>
          </w:tblCellMar>
        </w:tblPrEx>
        <w:trPr>
          <w:trHeight w:val="1143" w:hRule="atLeast"/>
          <w:jc w:val="center"/>
        </w:trPr>
        <w:tc>
          <w:tcPr>
            <w:tcW w:w="8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绩效目标</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目标1</w:t>
            </w:r>
          </w:p>
        </w:tc>
        <w:tc>
          <w:tcPr>
            <w:tcW w:w="769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确保村支书养老、医疗、人身意外保险资金按时足额发放到位。</w:t>
            </w:r>
          </w:p>
        </w:tc>
      </w:tr>
      <w:tr>
        <w:tblPrEx>
          <w:tblCellMar>
            <w:top w:w="0" w:type="dxa"/>
            <w:left w:w="0" w:type="dxa"/>
            <w:bottom w:w="0" w:type="dxa"/>
            <w:right w:w="0" w:type="dxa"/>
          </w:tblCellMar>
        </w:tblPrEx>
        <w:trPr>
          <w:trHeight w:val="87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二级指标</w:t>
            </w:r>
          </w:p>
        </w:tc>
        <w:tc>
          <w:tcPr>
            <w:tcW w:w="12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三级指标</w:t>
            </w:r>
          </w:p>
        </w:tc>
        <w:tc>
          <w:tcPr>
            <w:tcW w:w="26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绩效指标描述</w:t>
            </w:r>
          </w:p>
        </w:tc>
        <w:tc>
          <w:tcPr>
            <w:tcW w:w="179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指标值</w:t>
            </w:r>
          </w:p>
        </w:tc>
        <w:tc>
          <w:tcPr>
            <w:tcW w:w="197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指标值确定依据</w:t>
            </w:r>
          </w:p>
        </w:tc>
      </w:tr>
      <w:tr>
        <w:tblPrEx>
          <w:tblCellMar>
            <w:top w:w="0" w:type="dxa"/>
            <w:left w:w="0" w:type="dxa"/>
            <w:bottom w:w="0" w:type="dxa"/>
            <w:right w:w="0" w:type="dxa"/>
          </w:tblCellMar>
        </w:tblPrEx>
        <w:trPr>
          <w:trHeight w:val="45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12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18"/>
                <w:szCs w:val="18"/>
              </w:rPr>
            </w:pPr>
          </w:p>
        </w:tc>
        <w:tc>
          <w:tcPr>
            <w:tcW w:w="26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18"/>
                <w:szCs w:val="18"/>
              </w:rPr>
            </w:pPr>
          </w:p>
        </w:tc>
        <w:tc>
          <w:tcPr>
            <w:tcW w:w="17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18"/>
                <w:szCs w:val="18"/>
              </w:rPr>
            </w:pPr>
          </w:p>
        </w:tc>
        <w:tc>
          <w:tcPr>
            <w:tcW w:w="19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33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产出指标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时效指标</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补助覆盖率（%）</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已补助人数占应补助人数的比率</w:t>
            </w:r>
          </w:p>
        </w:tc>
        <w:tc>
          <w:tcPr>
            <w:tcW w:w="17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&gt;=95%</w:t>
            </w:r>
          </w:p>
        </w:tc>
        <w:tc>
          <w:tcPr>
            <w:tcW w:w="1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lang w:bidi="ar"/>
              </w:rPr>
            </w:pPr>
            <w:r>
              <w:rPr>
                <w:rFonts w:hint="eastAsia" w:ascii="宋体" w:hAnsi="宋体" w:cs="宋体"/>
                <w:color w:val="000000"/>
                <w:sz w:val="18"/>
                <w:szCs w:val="18"/>
                <w:lang w:bidi="ar"/>
              </w:rPr>
              <w:t>上级文件规定</w:t>
            </w:r>
          </w:p>
        </w:tc>
      </w:tr>
      <w:tr>
        <w:tblPrEx>
          <w:tblCellMar>
            <w:top w:w="0" w:type="dxa"/>
            <w:left w:w="0" w:type="dxa"/>
            <w:bottom w:w="0" w:type="dxa"/>
            <w:right w:w="0" w:type="dxa"/>
          </w:tblCellMar>
        </w:tblPrEx>
        <w:trPr>
          <w:trHeight w:val="6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质量指标</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补助资金发放率（%）</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实际发放的补助资金金额占计划发放金额的比率</w:t>
            </w:r>
          </w:p>
        </w:tc>
        <w:tc>
          <w:tcPr>
            <w:tcW w:w="17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&gt;=95%</w:t>
            </w:r>
          </w:p>
        </w:tc>
        <w:tc>
          <w:tcPr>
            <w:tcW w:w="1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上级文件规定</w:t>
            </w:r>
          </w:p>
        </w:tc>
      </w:tr>
      <w:tr>
        <w:tblPrEx>
          <w:tblCellMar>
            <w:top w:w="0" w:type="dxa"/>
            <w:left w:w="0" w:type="dxa"/>
            <w:bottom w:w="0" w:type="dxa"/>
            <w:right w:w="0" w:type="dxa"/>
          </w:tblCellMar>
        </w:tblPrEx>
        <w:trPr>
          <w:trHeight w:val="39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数量指标</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补助人数（人）</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补助的人数</w:t>
            </w:r>
          </w:p>
        </w:tc>
        <w:tc>
          <w:tcPr>
            <w:tcW w:w="1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=30人</w:t>
            </w:r>
          </w:p>
        </w:tc>
        <w:tc>
          <w:tcPr>
            <w:tcW w:w="1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上级文件规定</w:t>
            </w:r>
          </w:p>
        </w:tc>
      </w:tr>
      <w:tr>
        <w:tblPrEx>
          <w:tblCellMar>
            <w:top w:w="0" w:type="dxa"/>
            <w:left w:w="0" w:type="dxa"/>
            <w:bottom w:w="0" w:type="dxa"/>
            <w:right w:w="0" w:type="dxa"/>
          </w:tblCellMar>
        </w:tblPrEx>
        <w:trPr>
          <w:trHeight w:val="64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效果指标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社会效益指标</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补助人群生活改善情况</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补助人群在生活、医疗、教育等方面的改善情况</w:t>
            </w:r>
          </w:p>
        </w:tc>
        <w:tc>
          <w:tcPr>
            <w:tcW w:w="17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&gt;=95%</w:t>
            </w:r>
          </w:p>
        </w:tc>
        <w:tc>
          <w:tcPr>
            <w:tcW w:w="1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调查补助人群生活改善情况</w:t>
            </w:r>
          </w:p>
        </w:tc>
      </w:tr>
      <w:tr>
        <w:tblPrEx>
          <w:tblCellMar>
            <w:top w:w="0" w:type="dxa"/>
            <w:left w:w="0" w:type="dxa"/>
            <w:bottom w:w="0" w:type="dxa"/>
            <w:right w:w="0" w:type="dxa"/>
          </w:tblCellMar>
        </w:tblPrEx>
        <w:trPr>
          <w:trHeight w:val="39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7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1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39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7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1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64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满意度指标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服务对象满意度指标</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服务对象满意度</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通过问卷调查，满意和较满意的收益对象占全部调研对象的比例</w:t>
            </w:r>
          </w:p>
        </w:tc>
        <w:tc>
          <w:tcPr>
            <w:tcW w:w="17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&gt;=95%</w:t>
            </w:r>
          </w:p>
        </w:tc>
        <w:tc>
          <w:tcPr>
            <w:tcW w:w="1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调查问卷</w:t>
            </w:r>
          </w:p>
        </w:tc>
      </w:tr>
      <w:tr>
        <w:tblPrEx>
          <w:tblCellMar>
            <w:top w:w="0" w:type="dxa"/>
            <w:left w:w="0" w:type="dxa"/>
            <w:bottom w:w="0" w:type="dxa"/>
            <w:right w:w="0" w:type="dxa"/>
          </w:tblCellMar>
        </w:tblPrEx>
        <w:trPr>
          <w:trHeight w:val="39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7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1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0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7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1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r>
    </w:tbl>
    <w:p>
      <w:pPr>
        <w:ind w:firstLine="790" w:firstLineChars="246"/>
        <w:rPr>
          <w:rFonts w:ascii="黑体" w:hAnsi="仿宋" w:eastAsia="黑体"/>
          <w:b/>
          <w:sz w:val="32"/>
          <w:szCs w:val="32"/>
        </w:rPr>
      </w:pPr>
    </w:p>
    <w:p>
      <w:pPr>
        <w:numPr>
          <w:ilvl w:val="0"/>
          <w:numId w:val="5"/>
        </w:numPr>
        <w:rPr>
          <w:rFonts w:ascii="黑体" w:hAnsi="仿宋" w:eastAsia="黑体"/>
          <w:b/>
          <w:sz w:val="32"/>
          <w:szCs w:val="32"/>
        </w:rPr>
      </w:pPr>
      <w:r>
        <w:rPr>
          <w:rFonts w:hint="eastAsia" w:ascii="黑体" w:hAnsi="仿宋" w:eastAsia="黑体"/>
          <w:b/>
          <w:sz w:val="32"/>
          <w:szCs w:val="32"/>
        </w:rPr>
        <w:t>魏僧寨镇村党组织活动经费项目绩效表</w:t>
      </w:r>
    </w:p>
    <w:tbl>
      <w:tblPr>
        <w:tblStyle w:val="7"/>
        <w:tblW w:w="9899" w:type="dxa"/>
        <w:jc w:val="center"/>
        <w:tblLayout w:type="autofit"/>
        <w:tblCellMar>
          <w:top w:w="0" w:type="dxa"/>
          <w:left w:w="0" w:type="dxa"/>
          <w:bottom w:w="0" w:type="dxa"/>
          <w:right w:w="0" w:type="dxa"/>
        </w:tblCellMar>
      </w:tblPr>
      <w:tblGrid>
        <w:gridCol w:w="959"/>
        <w:gridCol w:w="1650"/>
        <w:gridCol w:w="1416"/>
        <w:gridCol w:w="2666"/>
        <w:gridCol w:w="1412"/>
        <w:gridCol w:w="1796"/>
      </w:tblGrid>
      <w:tr>
        <w:tblPrEx>
          <w:tblCellMar>
            <w:top w:w="0" w:type="dxa"/>
            <w:left w:w="0" w:type="dxa"/>
            <w:bottom w:w="0" w:type="dxa"/>
            <w:right w:w="0" w:type="dxa"/>
          </w:tblCellMar>
        </w:tblPrEx>
        <w:trPr>
          <w:trHeight w:val="486" w:hRule="atLeast"/>
          <w:jc w:val="center"/>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绩效目标</w:t>
            </w:r>
          </w:p>
        </w:tc>
        <w:tc>
          <w:tcPr>
            <w:tcW w:w="13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目标1</w:t>
            </w:r>
          </w:p>
        </w:tc>
        <w:tc>
          <w:tcPr>
            <w:tcW w:w="762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确保村党组织活动经费按时足额发放到位。</w:t>
            </w:r>
          </w:p>
        </w:tc>
      </w:tr>
      <w:tr>
        <w:tblPrEx>
          <w:tblCellMar>
            <w:top w:w="0" w:type="dxa"/>
            <w:left w:w="0" w:type="dxa"/>
            <w:bottom w:w="0" w:type="dxa"/>
            <w:right w:w="0" w:type="dxa"/>
          </w:tblCellMar>
        </w:tblPrEx>
        <w:trPr>
          <w:trHeight w:val="441"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二级指标</w:t>
            </w:r>
          </w:p>
        </w:tc>
        <w:tc>
          <w:tcPr>
            <w:tcW w:w="14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三级指标</w:t>
            </w:r>
          </w:p>
        </w:tc>
        <w:tc>
          <w:tcPr>
            <w:tcW w:w="28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绩效指标描述</w:t>
            </w:r>
          </w:p>
        </w:tc>
        <w:tc>
          <w:tcPr>
            <w:tcW w:w="14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指标值</w:t>
            </w:r>
          </w:p>
        </w:tc>
        <w:tc>
          <w:tcPr>
            <w:tcW w:w="19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指标值确定依据</w:t>
            </w:r>
          </w:p>
        </w:tc>
      </w:tr>
      <w:tr>
        <w:tblPrEx>
          <w:tblCellMar>
            <w:top w:w="0" w:type="dxa"/>
            <w:left w:w="0" w:type="dxa"/>
            <w:bottom w:w="0" w:type="dxa"/>
            <w:right w:w="0" w:type="dxa"/>
          </w:tblCellMar>
        </w:tblPrEx>
        <w:trPr>
          <w:trHeight w:val="44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14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18"/>
                <w:szCs w:val="18"/>
              </w:rPr>
            </w:pPr>
          </w:p>
        </w:tc>
        <w:tc>
          <w:tcPr>
            <w:tcW w:w="28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18"/>
                <w:szCs w:val="18"/>
              </w:rPr>
            </w:pPr>
          </w:p>
        </w:tc>
        <w:tc>
          <w:tcPr>
            <w:tcW w:w="14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18"/>
                <w:szCs w:val="18"/>
              </w:rPr>
            </w:pPr>
          </w:p>
        </w:tc>
        <w:tc>
          <w:tcPr>
            <w:tcW w:w="1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3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产出指标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数量指标</w:t>
            </w: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组织党员培训学习次数</w:t>
            </w:r>
          </w:p>
        </w:tc>
        <w:tc>
          <w:tcPr>
            <w:tcW w:w="2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组织党员培训学习次数</w:t>
            </w: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50次</w:t>
            </w:r>
          </w:p>
        </w:tc>
        <w:tc>
          <w:tcPr>
            <w:tcW w:w="19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组织党员培训学习次数</w:t>
            </w:r>
          </w:p>
        </w:tc>
      </w:tr>
      <w:tr>
        <w:tblPrEx>
          <w:tblCellMar>
            <w:top w:w="0" w:type="dxa"/>
            <w:left w:w="0" w:type="dxa"/>
            <w:bottom w:w="0" w:type="dxa"/>
            <w:right w:w="0" w:type="dxa"/>
          </w:tblCellMar>
        </w:tblPrEx>
        <w:trPr>
          <w:trHeight w:val="62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质量指标</w:t>
            </w: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补助资金发放率（%）</w:t>
            </w:r>
          </w:p>
        </w:tc>
        <w:tc>
          <w:tcPr>
            <w:tcW w:w="2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实际发放的补助资金金额占计划发放金额的比率</w:t>
            </w: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&gt;=95%</w:t>
            </w:r>
          </w:p>
        </w:tc>
        <w:tc>
          <w:tcPr>
            <w:tcW w:w="19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上级文件规定</w:t>
            </w:r>
          </w:p>
        </w:tc>
      </w:tr>
      <w:tr>
        <w:tblPrEx>
          <w:tblCellMar>
            <w:top w:w="0" w:type="dxa"/>
            <w:left w:w="0" w:type="dxa"/>
            <w:bottom w:w="0" w:type="dxa"/>
            <w:right w:w="0" w:type="dxa"/>
          </w:tblCellMar>
        </w:tblPrEx>
        <w:trPr>
          <w:trHeight w:val="3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数量指标</w:t>
            </w: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补助村个数（村）</w:t>
            </w:r>
          </w:p>
        </w:tc>
        <w:tc>
          <w:tcPr>
            <w:tcW w:w="2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补助村个数</w:t>
            </w: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30村</w:t>
            </w:r>
          </w:p>
        </w:tc>
        <w:tc>
          <w:tcPr>
            <w:tcW w:w="19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补助干部人数</w:t>
            </w:r>
          </w:p>
        </w:tc>
      </w:tr>
      <w:tr>
        <w:tblPrEx>
          <w:tblCellMar>
            <w:top w:w="0" w:type="dxa"/>
            <w:left w:w="0" w:type="dxa"/>
            <w:bottom w:w="0" w:type="dxa"/>
            <w:right w:w="0" w:type="dxa"/>
          </w:tblCellMar>
        </w:tblPrEx>
        <w:trPr>
          <w:trHeight w:val="62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效果指标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社会效益指标</w:t>
            </w: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补助人群生活改善情况</w:t>
            </w:r>
          </w:p>
        </w:tc>
        <w:tc>
          <w:tcPr>
            <w:tcW w:w="2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补助人群在生活、医疗、教育等方面的改善情况</w:t>
            </w: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&gt;=95%</w:t>
            </w:r>
          </w:p>
        </w:tc>
        <w:tc>
          <w:tcPr>
            <w:tcW w:w="19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上级文件规定</w:t>
            </w:r>
          </w:p>
        </w:tc>
      </w:tr>
      <w:tr>
        <w:tblPrEx>
          <w:tblCellMar>
            <w:top w:w="0" w:type="dxa"/>
            <w:left w:w="0" w:type="dxa"/>
            <w:bottom w:w="0" w:type="dxa"/>
            <w:right w:w="0" w:type="dxa"/>
          </w:tblCellMar>
        </w:tblPrEx>
        <w:trPr>
          <w:trHeight w:val="3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19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19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847"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满意度指标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服务对象满意度指标</w:t>
            </w: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服务对象满意度</w:t>
            </w:r>
          </w:p>
        </w:tc>
        <w:tc>
          <w:tcPr>
            <w:tcW w:w="2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通过问卷调查，满意和较满意的收益对象占全部调研对象的比例</w:t>
            </w: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&gt;=95%</w:t>
            </w:r>
          </w:p>
        </w:tc>
        <w:tc>
          <w:tcPr>
            <w:tcW w:w="19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调查问卷</w:t>
            </w:r>
          </w:p>
        </w:tc>
      </w:tr>
      <w:tr>
        <w:tblPrEx>
          <w:tblCellMar>
            <w:top w:w="0" w:type="dxa"/>
            <w:left w:w="0" w:type="dxa"/>
            <w:bottom w:w="0" w:type="dxa"/>
            <w:right w:w="0" w:type="dxa"/>
          </w:tblCellMar>
        </w:tblPrEx>
        <w:trPr>
          <w:trHeight w:val="32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18"/>
                <w:szCs w:val="18"/>
              </w:rPr>
            </w:pPr>
          </w:p>
        </w:tc>
        <w:tc>
          <w:tcPr>
            <w:tcW w:w="19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33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18"/>
                <w:szCs w:val="18"/>
              </w:rPr>
            </w:pPr>
          </w:p>
        </w:tc>
        <w:tc>
          <w:tcPr>
            <w:tcW w:w="19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r>
    </w:tbl>
    <w:p>
      <w:pPr>
        <w:ind w:left="707"/>
        <w:rPr>
          <w:rFonts w:ascii="黑体" w:hAnsi="仿宋" w:eastAsia="黑体"/>
          <w:b/>
          <w:sz w:val="32"/>
          <w:szCs w:val="32"/>
        </w:rPr>
      </w:pPr>
    </w:p>
    <w:p>
      <w:pPr>
        <w:numPr>
          <w:ilvl w:val="0"/>
          <w:numId w:val="5"/>
        </w:numPr>
        <w:rPr>
          <w:rFonts w:ascii="黑体" w:hAnsi="仿宋" w:eastAsia="黑体"/>
          <w:b/>
          <w:sz w:val="32"/>
          <w:szCs w:val="32"/>
        </w:rPr>
      </w:pPr>
      <w:r>
        <w:rPr>
          <w:rFonts w:hint="eastAsia" w:ascii="黑体" w:hAnsi="仿宋" w:eastAsia="黑体"/>
          <w:b/>
          <w:sz w:val="32"/>
          <w:szCs w:val="32"/>
        </w:rPr>
        <w:t>魏僧寨镇村两委干部职务补贴资金项目绩效表</w:t>
      </w:r>
    </w:p>
    <w:tbl>
      <w:tblPr>
        <w:tblStyle w:val="7"/>
        <w:tblW w:w="9938" w:type="dxa"/>
        <w:jc w:val="center"/>
        <w:tblLayout w:type="fixed"/>
        <w:tblCellMar>
          <w:top w:w="0" w:type="dxa"/>
          <w:left w:w="0" w:type="dxa"/>
          <w:bottom w:w="0" w:type="dxa"/>
          <w:right w:w="0" w:type="dxa"/>
        </w:tblCellMar>
      </w:tblPr>
      <w:tblGrid>
        <w:gridCol w:w="1001"/>
        <w:gridCol w:w="1377"/>
        <w:gridCol w:w="1622"/>
        <w:gridCol w:w="3113"/>
        <w:gridCol w:w="1347"/>
        <w:gridCol w:w="1478"/>
      </w:tblGrid>
      <w:tr>
        <w:tblPrEx>
          <w:tblCellMar>
            <w:top w:w="0" w:type="dxa"/>
            <w:left w:w="0" w:type="dxa"/>
            <w:bottom w:w="0" w:type="dxa"/>
            <w:right w:w="0" w:type="dxa"/>
          </w:tblCellMar>
        </w:tblPrEx>
        <w:trPr>
          <w:trHeight w:val="336" w:hRule="atLeast"/>
          <w:jc w:val="center"/>
        </w:trPr>
        <w:tc>
          <w:tcPr>
            <w:tcW w:w="10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绩效目标</w:t>
            </w:r>
          </w:p>
        </w:tc>
        <w:tc>
          <w:tcPr>
            <w:tcW w:w="13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目标1</w:t>
            </w:r>
          </w:p>
        </w:tc>
        <w:tc>
          <w:tcPr>
            <w:tcW w:w="756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按照县级部门审核的村“两委”干部考核结果，将全部村“两委”干部补贴分四个季度发放到位。</w:t>
            </w:r>
          </w:p>
        </w:tc>
      </w:tr>
      <w:tr>
        <w:tblPrEx>
          <w:tblCellMar>
            <w:top w:w="0" w:type="dxa"/>
            <w:left w:w="0" w:type="dxa"/>
            <w:bottom w:w="0" w:type="dxa"/>
            <w:right w:w="0" w:type="dxa"/>
          </w:tblCellMar>
        </w:tblPrEx>
        <w:trPr>
          <w:trHeight w:val="456" w:hRule="atLeast"/>
          <w:jc w:val="center"/>
        </w:trPr>
        <w:tc>
          <w:tcPr>
            <w:tcW w:w="100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一级指标</w:t>
            </w:r>
          </w:p>
        </w:tc>
        <w:tc>
          <w:tcPr>
            <w:tcW w:w="137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二级指标</w:t>
            </w:r>
          </w:p>
        </w:tc>
        <w:tc>
          <w:tcPr>
            <w:tcW w:w="16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三级指标</w:t>
            </w:r>
          </w:p>
        </w:tc>
        <w:tc>
          <w:tcPr>
            <w:tcW w:w="311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绩效指标描述</w:t>
            </w:r>
          </w:p>
        </w:tc>
        <w:tc>
          <w:tcPr>
            <w:tcW w:w="134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指标值</w:t>
            </w:r>
          </w:p>
        </w:tc>
        <w:tc>
          <w:tcPr>
            <w:tcW w:w="147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指标值确定依据</w:t>
            </w:r>
          </w:p>
        </w:tc>
      </w:tr>
      <w:tr>
        <w:tblPrEx>
          <w:tblCellMar>
            <w:top w:w="0" w:type="dxa"/>
            <w:left w:w="0" w:type="dxa"/>
            <w:bottom w:w="0" w:type="dxa"/>
            <w:right w:w="0" w:type="dxa"/>
          </w:tblCellMar>
        </w:tblPrEx>
        <w:trPr>
          <w:trHeight w:val="456" w:hRule="atLeast"/>
          <w:jc w:val="center"/>
        </w:trPr>
        <w:tc>
          <w:tcPr>
            <w:tcW w:w="100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137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16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18"/>
                <w:szCs w:val="18"/>
              </w:rPr>
            </w:pPr>
          </w:p>
        </w:tc>
        <w:tc>
          <w:tcPr>
            <w:tcW w:w="311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18"/>
                <w:szCs w:val="18"/>
              </w:rPr>
            </w:pPr>
          </w:p>
        </w:tc>
        <w:tc>
          <w:tcPr>
            <w:tcW w:w="134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18"/>
                <w:szCs w:val="18"/>
              </w:rPr>
            </w:pPr>
          </w:p>
        </w:tc>
        <w:tc>
          <w:tcPr>
            <w:tcW w:w="14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398" w:hRule="atLeast"/>
          <w:jc w:val="center"/>
        </w:trPr>
        <w:tc>
          <w:tcPr>
            <w:tcW w:w="100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产出指标</w:t>
            </w:r>
          </w:p>
        </w:tc>
        <w:tc>
          <w:tcPr>
            <w:tcW w:w="13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时效指标</w:t>
            </w:r>
          </w:p>
        </w:tc>
        <w:tc>
          <w:tcPr>
            <w:tcW w:w="16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补助覆盖率（%）</w:t>
            </w:r>
          </w:p>
        </w:tc>
        <w:tc>
          <w:tcPr>
            <w:tcW w:w="3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已补助人数占应补助人数的比率</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&gt;=95%</w:t>
            </w: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上级文件规定</w:t>
            </w:r>
          </w:p>
        </w:tc>
      </w:tr>
      <w:tr>
        <w:tblPrEx>
          <w:tblCellMar>
            <w:top w:w="0" w:type="dxa"/>
            <w:left w:w="0" w:type="dxa"/>
            <w:bottom w:w="0" w:type="dxa"/>
            <w:right w:w="0" w:type="dxa"/>
          </w:tblCellMar>
        </w:tblPrEx>
        <w:trPr>
          <w:trHeight w:val="646" w:hRule="atLeast"/>
          <w:jc w:val="center"/>
        </w:trPr>
        <w:tc>
          <w:tcPr>
            <w:tcW w:w="100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13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质量指标</w:t>
            </w:r>
          </w:p>
        </w:tc>
        <w:tc>
          <w:tcPr>
            <w:tcW w:w="16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补助资金发放率（%）</w:t>
            </w:r>
          </w:p>
        </w:tc>
        <w:tc>
          <w:tcPr>
            <w:tcW w:w="3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实际发放的补助资金金额占计划发放金额的比率</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&gt;=95%</w:t>
            </w: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上级文件规定</w:t>
            </w:r>
          </w:p>
        </w:tc>
      </w:tr>
      <w:tr>
        <w:tblPrEx>
          <w:tblCellMar>
            <w:top w:w="0" w:type="dxa"/>
            <w:left w:w="0" w:type="dxa"/>
            <w:bottom w:w="0" w:type="dxa"/>
            <w:right w:w="0" w:type="dxa"/>
          </w:tblCellMar>
        </w:tblPrEx>
        <w:trPr>
          <w:trHeight w:val="398" w:hRule="atLeast"/>
          <w:jc w:val="center"/>
        </w:trPr>
        <w:tc>
          <w:tcPr>
            <w:tcW w:w="100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13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数量指标</w:t>
            </w:r>
          </w:p>
        </w:tc>
        <w:tc>
          <w:tcPr>
            <w:tcW w:w="16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补助人数（人）</w:t>
            </w:r>
          </w:p>
        </w:tc>
        <w:tc>
          <w:tcPr>
            <w:tcW w:w="3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补助的人数</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152人</w:t>
            </w: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政策规定</w:t>
            </w:r>
          </w:p>
        </w:tc>
      </w:tr>
      <w:tr>
        <w:tblPrEx>
          <w:tblCellMar>
            <w:top w:w="0" w:type="dxa"/>
            <w:left w:w="0" w:type="dxa"/>
            <w:bottom w:w="0" w:type="dxa"/>
            <w:right w:w="0" w:type="dxa"/>
          </w:tblCellMar>
        </w:tblPrEx>
        <w:trPr>
          <w:trHeight w:val="646" w:hRule="atLeast"/>
          <w:jc w:val="center"/>
        </w:trPr>
        <w:tc>
          <w:tcPr>
            <w:tcW w:w="100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效果指标</w:t>
            </w:r>
          </w:p>
        </w:tc>
        <w:tc>
          <w:tcPr>
            <w:tcW w:w="13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经济效益指标</w:t>
            </w:r>
          </w:p>
        </w:tc>
        <w:tc>
          <w:tcPr>
            <w:tcW w:w="16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补助人群生活改善情况</w:t>
            </w:r>
          </w:p>
        </w:tc>
        <w:tc>
          <w:tcPr>
            <w:tcW w:w="3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补助人群在生活、医疗、教育等方面的改善情况</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&gt;=95%</w:t>
            </w: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补助人群生活改善情况</w:t>
            </w:r>
          </w:p>
        </w:tc>
      </w:tr>
      <w:tr>
        <w:tblPrEx>
          <w:tblCellMar>
            <w:top w:w="0" w:type="dxa"/>
            <w:left w:w="0" w:type="dxa"/>
            <w:bottom w:w="0" w:type="dxa"/>
            <w:right w:w="0" w:type="dxa"/>
          </w:tblCellMar>
        </w:tblPrEx>
        <w:trPr>
          <w:trHeight w:val="398" w:hRule="atLeast"/>
          <w:jc w:val="center"/>
        </w:trPr>
        <w:tc>
          <w:tcPr>
            <w:tcW w:w="100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13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16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3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398" w:hRule="atLeast"/>
          <w:jc w:val="center"/>
        </w:trPr>
        <w:tc>
          <w:tcPr>
            <w:tcW w:w="100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13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16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3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876" w:hRule="atLeast"/>
          <w:jc w:val="center"/>
        </w:trPr>
        <w:tc>
          <w:tcPr>
            <w:tcW w:w="100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满意度指标</w:t>
            </w:r>
          </w:p>
        </w:tc>
        <w:tc>
          <w:tcPr>
            <w:tcW w:w="13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服务对象满意度指标</w:t>
            </w:r>
          </w:p>
        </w:tc>
        <w:tc>
          <w:tcPr>
            <w:tcW w:w="16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服务对象满意度</w:t>
            </w:r>
          </w:p>
        </w:tc>
        <w:tc>
          <w:tcPr>
            <w:tcW w:w="3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通过问卷调查，满意和较满意的收益对象占全部调研对象的比例</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&gt;=95%</w:t>
            </w: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调查问卷</w:t>
            </w:r>
          </w:p>
        </w:tc>
      </w:tr>
      <w:tr>
        <w:tblPrEx>
          <w:tblCellMar>
            <w:top w:w="0" w:type="dxa"/>
            <w:left w:w="0" w:type="dxa"/>
            <w:bottom w:w="0" w:type="dxa"/>
            <w:right w:w="0" w:type="dxa"/>
          </w:tblCellMar>
        </w:tblPrEx>
        <w:trPr>
          <w:trHeight w:val="336" w:hRule="atLeast"/>
          <w:jc w:val="center"/>
        </w:trPr>
        <w:tc>
          <w:tcPr>
            <w:tcW w:w="100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13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16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3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346" w:hRule="atLeast"/>
          <w:jc w:val="center"/>
        </w:trPr>
        <w:tc>
          <w:tcPr>
            <w:tcW w:w="100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13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16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3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r>
    </w:tbl>
    <w:p>
      <w:pPr>
        <w:numPr>
          <w:ilvl w:val="0"/>
          <w:numId w:val="5"/>
        </w:numPr>
        <w:rPr>
          <w:rFonts w:ascii="黑体" w:hAnsi="仿宋" w:eastAsia="黑体"/>
          <w:b/>
          <w:sz w:val="32"/>
          <w:szCs w:val="32"/>
        </w:rPr>
      </w:pPr>
      <w:r>
        <w:rPr>
          <w:rFonts w:hint="eastAsia" w:ascii="黑体" w:hAnsi="仿宋" w:eastAsia="黑体"/>
          <w:b/>
          <w:sz w:val="32"/>
          <w:szCs w:val="32"/>
        </w:rPr>
        <w:t>魏僧寨镇服务群众专项经费项目绩效表</w:t>
      </w:r>
    </w:p>
    <w:tbl>
      <w:tblPr>
        <w:tblStyle w:val="7"/>
        <w:tblW w:w="9939" w:type="dxa"/>
        <w:jc w:val="center"/>
        <w:tblLayout w:type="autofit"/>
        <w:tblCellMar>
          <w:top w:w="0" w:type="dxa"/>
          <w:left w:w="0" w:type="dxa"/>
          <w:bottom w:w="0" w:type="dxa"/>
          <w:right w:w="0" w:type="dxa"/>
        </w:tblCellMar>
      </w:tblPr>
      <w:tblGrid>
        <w:gridCol w:w="990"/>
        <w:gridCol w:w="1650"/>
        <w:gridCol w:w="1396"/>
        <w:gridCol w:w="2722"/>
        <w:gridCol w:w="1781"/>
        <w:gridCol w:w="1400"/>
      </w:tblGrid>
      <w:tr>
        <w:tblPrEx>
          <w:tblCellMar>
            <w:top w:w="0" w:type="dxa"/>
            <w:left w:w="0" w:type="dxa"/>
            <w:bottom w:w="0" w:type="dxa"/>
            <w:right w:w="0" w:type="dxa"/>
          </w:tblCellMar>
        </w:tblPrEx>
        <w:trPr>
          <w:trHeight w:val="321" w:hRule="atLeast"/>
          <w:jc w:val="center"/>
        </w:trPr>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绩效目标</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目标1</w:t>
            </w:r>
          </w:p>
        </w:tc>
        <w:tc>
          <w:tcPr>
            <w:tcW w:w="758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进一步加强村级组织运转经费保障工作，提高服务群众水平。</w:t>
            </w:r>
          </w:p>
        </w:tc>
      </w:tr>
      <w:tr>
        <w:tblPrEx>
          <w:tblCellMar>
            <w:top w:w="0" w:type="dxa"/>
            <w:left w:w="0" w:type="dxa"/>
            <w:bottom w:w="0" w:type="dxa"/>
            <w:right w:w="0" w:type="dxa"/>
          </w:tblCellMar>
        </w:tblPrEx>
        <w:trPr>
          <w:trHeight w:val="437"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二级指标</w:t>
            </w:r>
          </w:p>
        </w:tc>
        <w:tc>
          <w:tcPr>
            <w:tcW w:w="14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三级指标</w:t>
            </w:r>
          </w:p>
        </w:tc>
        <w:tc>
          <w:tcPr>
            <w:tcW w:w="284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绩效指标描述</w:t>
            </w:r>
          </w:p>
        </w:tc>
        <w:tc>
          <w:tcPr>
            <w:tcW w:w="18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指标值</w:t>
            </w:r>
          </w:p>
        </w:tc>
        <w:tc>
          <w:tcPr>
            <w:tcW w:w="144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指标值确定依据</w:t>
            </w:r>
          </w:p>
        </w:tc>
      </w:tr>
      <w:tr>
        <w:tblPrEx>
          <w:tblCellMar>
            <w:top w:w="0" w:type="dxa"/>
            <w:left w:w="0" w:type="dxa"/>
            <w:bottom w:w="0" w:type="dxa"/>
            <w:right w:w="0" w:type="dxa"/>
          </w:tblCellMar>
        </w:tblPrEx>
        <w:trPr>
          <w:trHeight w:val="4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14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18"/>
                <w:szCs w:val="18"/>
              </w:rPr>
            </w:pPr>
          </w:p>
        </w:tc>
        <w:tc>
          <w:tcPr>
            <w:tcW w:w="28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18"/>
                <w:szCs w:val="18"/>
              </w:rPr>
            </w:pPr>
          </w:p>
        </w:tc>
        <w:tc>
          <w:tcPr>
            <w:tcW w:w="18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18"/>
                <w:szCs w:val="18"/>
              </w:rPr>
            </w:pPr>
          </w:p>
        </w:tc>
        <w:tc>
          <w:tcPr>
            <w:tcW w:w="14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618"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产出指标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数量指标</w:t>
            </w:r>
          </w:p>
        </w:tc>
        <w:tc>
          <w:tcPr>
            <w:tcW w:w="14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保障村正常运转数量（个）</w:t>
            </w:r>
          </w:p>
        </w:tc>
        <w:tc>
          <w:tcPr>
            <w:tcW w:w="2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保障村正常运转数量（个）</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30个</w:t>
            </w:r>
          </w:p>
        </w:tc>
        <w:tc>
          <w:tcPr>
            <w:tcW w:w="14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保障村正常运转数量（个）</w:t>
            </w:r>
          </w:p>
        </w:tc>
      </w:tr>
      <w:tr>
        <w:tblPrEx>
          <w:tblCellMar>
            <w:top w:w="0" w:type="dxa"/>
            <w:left w:w="0" w:type="dxa"/>
            <w:bottom w:w="0" w:type="dxa"/>
            <w:right w:w="0" w:type="dxa"/>
          </w:tblCellMar>
        </w:tblPrEx>
        <w:trPr>
          <w:trHeight w:val="61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质量指标</w:t>
            </w:r>
          </w:p>
        </w:tc>
        <w:tc>
          <w:tcPr>
            <w:tcW w:w="14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资金发放率（%）</w:t>
            </w:r>
          </w:p>
        </w:tc>
        <w:tc>
          <w:tcPr>
            <w:tcW w:w="2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实际发放的资金金额占计划发放金额的比率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&gt;=95%</w:t>
            </w:r>
          </w:p>
        </w:tc>
        <w:tc>
          <w:tcPr>
            <w:tcW w:w="14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政策规定</w:t>
            </w:r>
          </w:p>
        </w:tc>
      </w:tr>
      <w:tr>
        <w:tblPrEx>
          <w:tblCellMar>
            <w:top w:w="0" w:type="dxa"/>
            <w:left w:w="0" w:type="dxa"/>
            <w:bottom w:w="0" w:type="dxa"/>
            <w:right w:w="0" w:type="dxa"/>
          </w:tblCellMar>
        </w:tblPrEx>
        <w:trPr>
          <w:trHeight w:val="38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14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14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618"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效果指标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社会效益指标</w:t>
            </w:r>
          </w:p>
        </w:tc>
        <w:tc>
          <w:tcPr>
            <w:tcW w:w="14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8</w:t>
            </w:r>
          </w:p>
        </w:tc>
        <w:tc>
          <w:tcPr>
            <w:tcW w:w="2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对我辖区群众服务水平提高比例</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&gt;=95%</w:t>
            </w:r>
          </w:p>
        </w:tc>
        <w:tc>
          <w:tcPr>
            <w:tcW w:w="14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村级组织运转提高情况</w:t>
            </w:r>
          </w:p>
        </w:tc>
      </w:tr>
      <w:tr>
        <w:tblPrEx>
          <w:tblCellMar>
            <w:top w:w="0" w:type="dxa"/>
            <w:left w:w="0" w:type="dxa"/>
            <w:bottom w:w="0" w:type="dxa"/>
            <w:right w:w="0" w:type="dxa"/>
          </w:tblCellMar>
        </w:tblPrEx>
        <w:trPr>
          <w:trHeight w:val="38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14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14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38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14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14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838"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满意度指标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服务对象满意度指标</w:t>
            </w:r>
          </w:p>
        </w:tc>
        <w:tc>
          <w:tcPr>
            <w:tcW w:w="14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服务对象满意度</w:t>
            </w:r>
          </w:p>
        </w:tc>
        <w:tc>
          <w:tcPr>
            <w:tcW w:w="2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通过问卷调查，满意和较满意的收益对象占全部调研对象的比例</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&gt;=95%</w:t>
            </w:r>
          </w:p>
        </w:tc>
        <w:tc>
          <w:tcPr>
            <w:tcW w:w="14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调查问卷</w:t>
            </w:r>
          </w:p>
        </w:tc>
      </w:tr>
      <w:tr>
        <w:tblPrEx>
          <w:tblCellMar>
            <w:top w:w="0" w:type="dxa"/>
            <w:left w:w="0" w:type="dxa"/>
            <w:bottom w:w="0" w:type="dxa"/>
            <w:right w:w="0" w:type="dxa"/>
          </w:tblCellMar>
        </w:tblPrEx>
        <w:trPr>
          <w:trHeight w:val="3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14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14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3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14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14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r>
    </w:tbl>
    <w:p>
      <w:pPr>
        <w:numPr>
          <w:ilvl w:val="0"/>
          <w:numId w:val="5"/>
        </w:numPr>
        <w:rPr>
          <w:rFonts w:ascii="黑体" w:hAnsi="仿宋" w:eastAsia="黑体"/>
          <w:b/>
          <w:sz w:val="32"/>
          <w:szCs w:val="32"/>
        </w:rPr>
      </w:pPr>
      <w:r>
        <w:rPr>
          <w:rFonts w:hint="eastAsia" w:ascii="黑体" w:hAnsi="仿宋" w:eastAsia="黑体"/>
          <w:b/>
          <w:sz w:val="32"/>
          <w:szCs w:val="32"/>
        </w:rPr>
        <w:t>魏僧寨镇村级组织办公经费项目绩效表</w:t>
      </w:r>
    </w:p>
    <w:tbl>
      <w:tblPr>
        <w:tblStyle w:val="7"/>
        <w:tblW w:w="9898" w:type="dxa"/>
        <w:jc w:val="center"/>
        <w:tblLayout w:type="autofit"/>
        <w:tblCellMar>
          <w:top w:w="0" w:type="dxa"/>
          <w:left w:w="0" w:type="dxa"/>
          <w:bottom w:w="0" w:type="dxa"/>
          <w:right w:w="0" w:type="dxa"/>
        </w:tblCellMar>
      </w:tblPr>
      <w:tblGrid>
        <w:gridCol w:w="1007"/>
        <w:gridCol w:w="1650"/>
        <w:gridCol w:w="1427"/>
        <w:gridCol w:w="2772"/>
        <w:gridCol w:w="1512"/>
        <w:gridCol w:w="1530"/>
      </w:tblGrid>
      <w:tr>
        <w:tblPrEx>
          <w:tblCellMar>
            <w:top w:w="0" w:type="dxa"/>
            <w:left w:w="0" w:type="dxa"/>
            <w:bottom w:w="0" w:type="dxa"/>
            <w:right w:w="0" w:type="dxa"/>
          </w:tblCellMar>
        </w:tblPrEx>
        <w:trPr>
          <w:trHeight w:val="333" w:hRule="atLeast"/>
          <w:jc w:val="center"/>
        </w:trPr>
        <w:tc>
          <w:tcPr>
            <w:tcW w:w="10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绩效目标</w:t>
            </w:r>
          </w:p>
        </w:tc>
        <w:tc>
          <w:tcPr>
            <w:tcW w:w="1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目标1</w:t>
            </w:r>
          </w:p>
        </w:tc>
        <w:tc>
          <w:tcPr>
            <w:tcW w:w="750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资金按时全额发放到村级组织，确保村级组织办公及日常运行维护</w:t>
            </w:r>
          </w:p>
        </w:tc>
      </w:tr>
      <w:tr>
        <w:tblPrEx>
          <w:tblCellMar>
            <w:top w:w="0" w:type="dxa"/>
            <w:left w:w="0" w:type="dxa"/>
            <w:bottom w:w="0" w:type="dxa"/>
            <w:right w:w="0" w:type="dxa"/>
          </w:tblCellMar>
        </w:tblPrEx>
        <w:trPr>
          <w:trHeight w:val="453"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二级指标</w:t>
            </w:r>
          </w:p>
        </w:tc>
        <w:tc>
          <w:tcPr>
            <w:tcW w:w="14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三级指标</w:t>
            </w:r>
          </w:p>
        </w:tc>
        <w:tc>
          <w:tcPr>
            <w:tcW w:w="28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绩效指标描述</w:t>
            </w:r>
          </w:p>
        </w:tc>
        <w:tc>
          <w:tcPr>
            <w:tcW w:w="15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指标值</w:t>
            </w:r>
          </w:p>
        </w:tc>
        <w:tc>
          <w:tcPr>
            <w:tcW w:w="15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指标值确定依据</w:t>
            </w:r>
          </w:p>
        </w:tc>
      </w:tr>
      <w:tr>
        <w:tblPrEx>
          <w:tblCellMar>
            <w:top w:w="0" w:type="dxa"/>
            <w:left w:w="0" w:type="dxa"/>
            <w:bottom w:w="0" w:type="dxa"/>
            <w:right w:w="0" w:type="dxa"/>
          </w:tblCellMar>
        </w:tblPrEx>
        <w:trPr>
          <w:trHeight w:val="45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14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18"/>
                <w:szCs w:val="18"/>
              </w:rPr>
            </w:pPr>
          </w:p>
        </w:tc>
        <w:tc>
          <w:tcPr>
            <w:tcW w:w="28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18"/>
                <w:szCs w:val="18"/>
              </w:rPr>
            </w:pPr>
          </w:p>
        </w:tc>
        <w:tc>
          <w:tcPr>
            <w:tcW w:w="15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18"/>
                <w:szCs w:val="18"/>
              </w:rPr>
            </w:pPr>
          </w:p>
        </w:tc>
        <w:tc>
          <w:tcPr>
            <w:tcW w:w="15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39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产出指标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数量指标</w:t>
            </w: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补贴的村级组织（个）</w:t>
            </w:r>
          </w:p>
        </w:tc>
        <w:tc>
          <w:tcPr>
            <w:tcW w:w="2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符合补贴政策，给予补贴村级组织个数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30个</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补助村级组织个数</w:t>
            </w:r>
          </w:p>
        </w:tc>
      </w:tr>
      <w:tr>
        <w:tblPrEx>
          <w:tblCellMar>
            <w:top w:w="0" w:type="dxa"/>
            <w:left w:w="0" w:type="dxa"/>
            <w:bottom w:w="0" w:type="dxa"/>
            <w:right w:w="0" w:type="dxa"/>
          </w:tblCellMar>
        </w:tblPrEx>
        <w:trPr>
          <w:trHeight w:val="64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质量指标</w:t>
            </w: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补助资金发放率</w:t>
            </w:r>
          </w:p>
        </w:tc>
        <w:tc>
          <w:tcPr>
            <w:tcW w:w="2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实际发放的补助金金额占计划发放金额的比率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&gt;=95%</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政策规定</w:t>
            </w:r>
          </w:p>
        </w:tc>
      </w:tr>
      <w:tr>
        <w:tblPrEx>
          <w:tblCellMar>
            <w:top w:w="0" w:type="dxa"/>
            <w:left w:w="0" w:type="dxa"/>
            <w:bottom w:w="0" w:type="dxa"/>
            <w:right w:w="0" w:type="dxa"/>
          </w:tblCellMar>
        </w:tblPrEx>
        <w:trPr>
          <w:trHeight w:val="39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数量指标</w:t>
            </w: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补助覆盖率(%)</w:t>
            </w:r>
          </w:p>
        </w:tc>
        <w:tc>
          <w:tcPr>
            <w:tcW w:w="2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已补助人数占应补助人群的比率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&gt;=95%</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政策规定</w:t>
            </w:r>
          </w:p>
        </w:tc>
      </w:tr>
      <w:tr>
        <w:tblPrEx>
          <w:tblCellMar>
            <w:top w:w="0" w:type="dxa"/>
            <w:left w:w="0" w:type="dxa"/>
            <w:bottom w:w="0" w:type="dxa"/>
            <w:right w:w="0" w:type="dxa"/>
          </w:tblCellMar>
        </w:tblPrEx>
        <w:trPr>
          <w:trHeight w:val="641"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效果指标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经济效益指标</w:t>
            </w: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补助人群生活改善情况</w:t>
            </w:r>
          </w:p>
        </w:tc>
        <w:tc>
          <w:tcPr>
            <w:tcW w:w="2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补助人群生活得到改善的情况</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&gt;=90%</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补助人群生活改善条件</w:t>
            </w:r>
          </w:p>
        </w:tc>
      </w:tr>
      <w:tr>
        <w:tblPrEx>
          <w:tblCellMar>
            <w:top w:w="0" w:type="dxa"/>
            <w:left w:w="0" w:type="dxa"/>
            <w:bottom w:w="0" w:type="dxa"/>
            <w:right w:w="0" w:type="dxa"/>
          </w:tblCellMar>
        </w:tblPrEx>
        <w:trPr>
          <w:trHeight w:val="39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39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87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满意度指标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服务对象满意度指标</w:t>
            </w:r>
          </w:p>
        </w:tc>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受益对象满意度</w:t>
            </w:r>
          </w:p>
        </w:tc>
        <w:tc>
          <w:tcPr>
            <w:tcW w:w="2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问卷调查补助人群满意程度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&gt;=95%</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走访群众，调查问卷</w:t>
            </w:r>
          </w:p>
        </w:tc>
      </w:tr>
    </w:tbl>
    <w:p>
      <w:pPr>
        <w:numPr>
          <w:ilvl w:val="0"/>
          <w:numId w:val="5"/>
        </w:numPr>
        <w:rPr>
          <w:rFonts w:ascii="黑体" w:hAnsi="仿宋" w:eastAsia="黑体"/>
          <w:b/>
          <w:sz w:val="32"/>
          <w:szCs w:val="32"/>
        </w:rPr>
      </w:pPr>
      <w:r>
        <w:rPr>
          <w:rFonts w:hint="eastAsia" w:ascii="黑体" w:hAnsi="仿宋" w:eastAsia="黑体"/>
          <w:b/>
          <w:sz w:val="32"/>
          <w:szCs w:val="32"/>
        </w:rPr>
        <w:t>魏僧寨镇正常离任村干部补贴资金项目绩效表</w:t>
      </w:r>
    </w:p>
    <w:tbl>
      <w:tblPr>
        <w:tblStyle w:val="7"/>
        <w:tblW w:w="9898" w:type="dxa"/>
        <w:jc w:val="center"/>
        <w:tblLayout w:type="autofit"/>
        <w:tblCellMar>
          <w:top w:w="0" w:type="dxa"/>
          <w:left w:w="0" w:type="dxa"/>
          <w:bottom w:w="0" w:type="dxa"/>
          <w:right w:w="0" w:type="dxa"/>
        </w:tblCellMar>
      </w:tblPr>
      <w:tblGrid>
        <w:gridCol w:w="1002"/>
        <w:gridCol w:w="1650"/>
        <w:gridCol w:w="1650"/>
        <w:gridCol w:w="3248"/>
        <w:gridCol w:w="573"/>
        <w:gridCol w:w="1775"/>
      </w:tblGrid>
      <w:tr>
        <w:tblPrEx>
          <w:tblCellMar>
            <w:top w:w="0" w:type="dxa"/>
            <w:left w:w="0" w:type="dxa"/>
            <w:bottom w:w="0" w:type="dxa"/>
            <w:right w:w="0" w:type="dxa"/>
          </w:tblCellMar>
        </w:tblPrEx>
        <w:trPr>
          <w:trHeight w:val="335" w:hRule="atLeast"/>
          <w:jc w:val="center"/>
        </w:trPr>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绩效目标</w:t>
            </w:r>
          </w:p>
        </w:tc>
        <w:tc>
          <w:tcPr>
            <w:tcW w:w="13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目标1</w:t>
            </w:r>
          </w:p>
        </w:tc>
        <w:tc>
          <w:tcPr>
            <w:tcW w:w="751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按照冀组【2016】3号要求，根据县委决定对正常离任村干部进行生活补贴，保证每季度把资金发放到位。</w:t>
            </w:r>
          </w:p>
        </w:tc>
      </w:tr>
      <w:tr>
        <w:tblPrEx>
          <w:tblCellMar>
            <w:top w:w="0" w:type="dxa"/>
            <w:left w:w="0" w:type="dxa"/>
            <w:bottom w:w="0" w:type="dxa"/>
            <w:right w:w="0" w:type="dxa"/>
          </w:tblCellMar>
        </w:tblPrEx>
        <w:trPr>
          <w:trHeight w:val="45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二级指标</w:t>
            </w:r>
          </w:p>
        </w:tc>
        <w:tc>
          <w:tcPr>
            <w:tcW w:w="150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三级指标</w:t>
            </w:r>
          </w:p>
        </w:tc>
        <w:tc>
          <w:tcPr>
            <w:tcW w:w="29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绩效指标描述</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指标值</w:t>
            </w:r>
          </w:p>
        </w:tc>
        <w:tc>
          <w:tcPr>
            <w:tcW w:w="16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指标值确定依据</w:t>
            </w:r>
          </w:p>
        </w:tc>
      </w:tr>
      <w:tr>
        <w:tblPrEx>
          <w:tblCellMar>
            <w:top w:w="0" w:type="dxa"/>
            <w:left w:w="0" w:type="dxa"/>
            <w:bottom w:w="0" w:type="dxa"/>
            <w:right w:w="0" w:type="dxa"/>
          </w:tblCellMar>
        </w:tblPrEx>
        <w:trPr>
          <w:trHeight w:val="45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150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18"/>
                <w:szCs w:val="18"/>
              </w:rPr>
            </w:pPr>
          </w:p>
        </w:tc>
        <w:tc>
          <w:tcPr>
            <w:tcW w:w="29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397"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产出指标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时效指标</w:t>
            </w:r>
          </w:p>
        </w:tc>
        <w:tc>
          <w:tcPr>
            <w:tcW w:w="15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补助覆盖率（%）</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已补助人数占应补助人数的比率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&gt;=95%</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政策规定</w:t>
            </w:r>
          </w:p>
        </w:tc>
      </w:tr>
      <w:tr>
        <w:tblPrEx>
          <w:tblCellMar>
            <w:top w:w="0" w:type="dxa"/>
            <w:left w:w="0" w:type="dxa"/>
            <w:bottom w:w="0" w:type="dxa"/>
            <w:right w:w="0" w:type="dxa"/>
          </w:tblCellMar>
        </w:tblPrEx>
        <w:trPr>
          <w:trHeight w:val="64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质量指标</w:t>
            </w:r>
          </w:p>
        </w:tc>
        <w:tc>
          <w:tcPr>
            <w:tcW w:w="15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补助资金发放率（%）</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实际发放的补助资金金额占计划发放金额的比率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&gt;=95%</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政策规定</w:t>
            </w:r>
          </w:p>
        </w:tc>
      </w:tr>
      <w:tr>
        <w:tblPrEx>
          <w:tblCellMar>
            <w:top w:w="0" w:type="dxa"/>
            <w:left w:w="0" w:type="dxa"/>
            <w:bottom w:w="0" w:type="dxa"/>
            <w:right w:w="0" w:type="dxa"/>
          </w:tblCellMar>
        </w:tblPrEx>
        <w:trPr>
          <w:trHeight w:val="39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数量指标</w:t>
            </w:r>
          </w:p>
        </w:tc>
        <w:tc>
          <w:tcPr>
            <w:tcW w:w="15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补助人数（人）</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补助的人数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90人</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政策规定</w:t>
            </w:r>
          </w:p>
        </w:tc>
      </w:tr>
      <w:tr>
        <w:tblPrEx>
          <w:tblCellMar>
            <w:top w:w="0" w:type="dxa"/>
            <w:left w:w="0" w:type="dxa"/>
            <w:bottom w:w="0" w:type="dxa"/>
            <w:right w:w="0" w:type="dxa"/>
          </w:tblCellMar>
        </w:tblPrEx>
        <w:trPr>
          <w:trHeight w:val="644"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效果指标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经济效益指标</w:t>
            </w:r>
          </w:p>
        </w:tc>
        <w:tc>
          <w:tcPr>
            <w:tcW w:w="15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补助人群生活改善情况</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补助人群在生活、医疗、教育等方面的改善情况</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&gt;=95%</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补助人群生活改善情况</w:t>
            </w:r>
          </w:p>
        </w:tc>
      </w:tr>
      <w:tr>
        <w:tblPrEx>
          <w:tblCellMar>
            <w:top w:w="0" w:type="dxa"/>
            <w:left w:w="0" w:type="dxa"/>
            <w:bottom w:w="0" w:type="dxa"/>
            <w:right w:w="0" w:type="dxa"/>
          </w:tblCellMar>
        </w:tblPrEx>
        <w:trPr>
          <w:trHeight w:val="39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15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39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15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874"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满意度指标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服务对象满意度指标</w:t>
            </w:r>
          </w:p>
        </w:tc>
        <w:tc>
          <w:tcPr>
            <w:tcW w:w="15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服务对象满意度</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通过问卷调查，满意和较满意的收益对象占全部调研对象的比例</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&gt;=95%</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调查问卷</w:t>
            </w:r>
          </w:p>
        </w:tc>
      </w:tr>
      <w:tr>
        <w:tblPrEx>
          <w:tblCellMar>
            <w:top w:w="0" w:type="dxa"/>
            <w:left w:w="0" w:type="dxa"/>
            <w:bottom w:w="0" w:type="dxa"/>
            <w:right w:w="0" w:type="dxa"/>
          </w:tblCellMar>
        </w:tblPrEx>
        <w:trPr>
          <w:trHeight w:val="33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15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15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r>
    </w:tbl>
    <w:p>
      <w:pPr>
        <w:numPr>
          <w:ilvl w:val="0"/>
          <w:numId w:val="0"/>
        </w:numPr>
        <w:rPr>
          <w:rFonts w:ascii="黑体" w:hAnsi="仿宋" w:eastAsia="黑体"/>
          <w:b/>
          <w:sz w:val="32"/>
          <w:szCs w:val="32"/>
        </w:rPr>
      </w:pPr>
    </w:p>
    <w:p>
      <w:pPr>
        <w:numPr>
          <w:ilvl w:val="0"/>
          <w:numId w:val="0"/>
        </w:numPr>
        <w:ind w:firstLine="643" w:firstLineChars="200"/>
        <w:rPr>
          <w:rFonts w:ascii="黑体" w:hAnsi="仿宋" w:eastAsia="黑体"/>
          <w:b/>
          <w:sz w:val="32"/>
          <w:szCs w:val="32"/>
        </w:rPr>
      </w:pPr>
      <w:r>
        <w:rPr>
          <w:rFonts w:hint="eastAsia" w:ascii="黑体" w:hAnsi="仿宋" w:eastAsia="黑体"/>
          <w:b/>
          <w:sz w:val="32"/>
          <w:szCs w:val="32"/>
          <w:lang w:val="en-US" w:eastAsia="zh-CN"/>
        </w:rPr>
        <w:t>6、</w:t>
      </w:r>
      <w:r>
        <w:rPr>
          <w:rFonts w:hint="eastAsia" w:ascii="黑体" w:hAnsi="仿宋" w:eastAsia="黑体"/>
          <w:b/>
          <w:sz w:val="32"/>
          <w:szCs w:val="32"/>
        </w:rPr>
        <w:t>魏僧寨镇分税制财政体制补助资金项目绩效表</w:t>
      </w:r>
    </w:p>
    <w:tbl>
      <w:tblPr>
        <w:tblStyle w:val="7"/>
        <w:tblW w:w="9979" w:type="dxa"/>
        <w:jc w:val="center"/>
        <w:tblLayout w:type="autofit"/>
        <w:tblCellMar>
          <w:top w:w="0" w:type="dxa"/>
          <w:left w:w="0" w:type="dxa"/>
          <w:bottom w:w="0" w:type="dxa"/>
          <w:right w:w="0" w:type="dxa"/>
        </w:tblCellMar>
      </w:tblPr>
      <w:tblGrid>
        <w:gridCol w:w="1031"/>
        <w:gridCol w:w="1650"/>
        <w:gridCol w:w="1462"/>
        <w:gridCol w:w="2850"/>
        <w:gridCol w:w="1536"/>
        <w:gridCol w:w="1450"/>
      </w:tblGrid>
      <w:tr>
        <w:tblPrEx>
          <w:tblCellMar>
            <w:top w:w="0" w:type="dxa"/>
            <w:left w:w="0" w:type="dxa"/>
            <w:bottom w:w="0" w:type="dxa"/>
            <w:right w:w="0" w:type="dxa"/>
          </w:tblCellMar>
        </w:tblPrEx>
        <w:trPr>
          <w:trHeight w:val="336" w:hRule="atLeast"/>
          <w:jc w:val="center"/>
        </w:trPr>
        <w:tc>
          <w:tcPr>
            <w:tcW w:w="10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绩效目标</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目标1</w:t>
            </w:r>
          </w:p>
        </w:tc>
        <w:tc>
          <w:tcPr>
            <w:tcW w:w="729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加快我乡经济发展，实现乡域经济持续健康发展，协调发展，扶持乡域企业发展，增加乡域群众就业岗位</w:t>
            </w:r>
          </w:p>
        </w:tc>
      </w:tr>
      <w:tr>
        <w:tblPrEx>
          <w:tblCellMar>
            <w:top w:w="0" w:type="dxa"/>
            <w:left w:w="0" w:type="dxa"/>
            <w:bottom w:w="0" w:type="dxa"/>
            <w:right w:w="0" w:type="dxa"/>
          </w:tblCellMar>
        </w:tblPrEx>
        <w:trPr>
          <w:trHeight w:val="456" w:hRule="atLeast"/>
          <w:jc w:val="center"/>
        </w:trPr>
        <w:tc>
          <w:tcPr>
            <w:tcW w:w="103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一级指标</w:t>
            </w:r>
          </w:p>
        </w:tc>
        <w:tc>
          <w:tcPr>
            <w:tcW w:w="16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二级指标</w:t>
            </w:r>
          </w:p>
        </w:tc>
        <w:tc>
          <w:tcPr>
            <w:tcW w:w="146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三级指标</w:t>
            </w:r>
          </w:p>
        </w:tc>
        <w:tc>
          <w:tcPr>
            <w:tcW w:w="28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绩效指标描述</w:t>
            </w:r>
          </w:p>
        </w:tc>
        <w:tc>
          <w:tcPr>
            <w:tcW w:w="153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指标值</w:t>
            </w:r>
          </w:p>
        </w:tc>
        <w:tc>
          <w:tcPr>
            <w:tcW w:w="14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指标值确定依据</w:t>
            </w:r>
          </w:p>
        </w:tc>
      </w:tr>
      <w:tr>
        <w:tblPrEx>
          <w:tblCellMar>
            <w:top w:w="0" w:type="dxa"/>
            <w:left w:w="0" w:type="dxa"/>
            <w:bottom w:w="0" w:type="dxa"/>
            <w:right w:w="0" w:type="dxa"/>
          </w:tblCellMar>
        </w:tblPrEx>
        <w:trPr>
          <w:trHeight w:val="456" w:hRule="atLeast"/>
          <w:jc w:val="center"/>
        </w:trPr>
        <w:tc>
          <w:tcPr>
            <w:tcW w:w="103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16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14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18"/>
                <w:szCs w:val="18"/>
              </w:rPr>
            </w:pPr>
          </w:p>
        </w:tc>
        <w:tc>
          <w:tcPr>
            <w:tcW w:w="28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18"/>
                <w:szCs w:val="18"/>
              </w:rPr>
            </w:pPr>
          </w:p>
        </w:tc>
        <w:tc>
          <w:tcPr>
            <w:tcW w:w="15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18"/>
                <w:szCs w:val="18"/>
              </w:rPr>
            </w:pPr>
          </w:p>
        </w:tc>
        <w:tc>
          <w:tcPr>
            <w:tcW w:w="14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398" w:hRule="atLeast"/>
          <w:jc w:val="center"/>
        </w:trPr>
        <w:tc>
          <w:tcPr>
            <w:tcW w:w="103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产出指标</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数量指标</w:t>
            </w:r>
          </w:p>
        </w:tc>
        <w:tc>
          <w:tcPr>
            <w:tcW w:w="1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乡镇税收增长率（%）</w:t>
            </w:r>
          </w:p>
        </w:tc>
        <w:tc>
          <w:tcPr>
            <w:tcW w:w="2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描述组织税收收入较去年同期增幅（%）</w:t>
            </w:r>
          </w:p>
        </w:tc>
        <w:tc>
          <w:tcPr>
            <w:tcW w:w="15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&gt;=10%</w:t>
            </w: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政策规定、税收增幅</w:t>
            </w:r>
          </w:p>
        </w:tc>
      </w:tr>
      <w:tr>
        <w:tblPrEx>
          <w:tblCellMar>
            <w:top w:w="0" w:type="dxa"/>
            <w:left w:w="0" w:type="dxa"/>
            <w:bottom w:w="0" w:type="dxa"/>
            <w:right w:w="0" w:type="dxa"/>
          </w:tblCellMar>
        </w:tblPrEx>
        <w:trPr>
          <w:trHeight w:val="646" w:hRule="atLeast"/>
          <w:jc w:val="center"/>
        </w:trPr>
        <w:tc>
          <w:tcPr>
            <w:tcW w:w="103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数量指标</w:t>
            </w:r>
          </w:p>
        </w:tc>
        <w:tc>
          <w:tcPr>
            <w:tcW w:w="1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新上马企业（个）</w:t>
            </w:r>
          </w:p>
        </w:tc>
        <w:tc>
          <w:tcPr>
            <w:tcW w:w="2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落户乡镇企业数量较上年增加（个数）</w:t>
            </w:r>
          </w:p>
        </w:tc>
        <w:tc>
          <w:tcPr>
            <w:tcW w:w="15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&gt;=5个</w:t>
            </w: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政策规定，新增企业个数</w:t>
            </w:r>
          </w:p>
        </w:tc>
      </w:tr>
      <w:tr>
        <w:tblPrEx>
          <w:tblCellMar>
            <w:top w:w="0" w:type="dxa"/>
            <w:left w:w="0" w:type="dxa"/>
            <w:bottom w:w="0" w:type="dxa"/>
            <w:right w:w="0" w:type="dxa"/>
          </w:tblCellMar>
        </w:tblPrEx>
        <w:trPr>
          <w:trHeight w:val="398" w:hRule="atLeast"/>
          <w:jc w:val="center"/>
        </w:trPr>
        <w:tc>
          <w:tcPr>
            <w:tcW w:w="103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时效指标</w:t>
            </w:r>
          </w:p>
        </w:tc>
        <w:tc>
          <w:tcPr>
            <w:tcW w:w="1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补助资金到位率</w:t>
            </w:r>
          </w:p>
        </w:tc>
        <w:tc>
          <w:tcPr>
            <w:tcW w:w="2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实际到位补助资金占应到位资金的比例</w:t>
            </w:r>
          </w:p>
        </w:tc>
        <w:tc>
          <w:tcPr>
            <w:tcW w:w="15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&gt;=95%</w:t>
            </w: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政策规定</w:t>
            </w:r>
          </w:p>
        </w:tc>
      </w:tr>
      <w:tr>
        <w:tblPrEx>
          <w:tblCellMar>
            <w:top w:w="0" w:type="dxa"/>
            <w:left w:w="0" w:type="dxa"/>
            <w:bottom w:w="0" w:type="dxa"/>
            <w:right w:w="0" w:type="dxa"/>
          </w:tblCellMar>
        </w:tblPrEx>
        <w:trPr>
          <w:trHeight w:val="646" w:hRule="atLeast"/>
          <w:jc w:val="center"/>
        </w:trPr>
        <w:tc>
          <w:tcPr>
            <w:tcW w:w="103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效果指标</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社会效益指标</w:t>
            </w:r>
          </w:p>
        </w:tc>
        <w:tc>
          <w:tcPr>
            <w:tcW w:w="1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解决就业岗位（人）</w:t>
            </w:r>
          </w:p>
        </w:tc>
        <w:tc>
          <w:tcPr>
            <w:tcW w:w="2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解决就业岗位较上年增加人数</w:t>
            </w:r>
          </w:p>
        </w:tc>
        <w:tc>
          <w:tcPr>
            <w:tcW w:w="15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&gt;=30个</w:t>
            </w: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政策规定，解决就业岗位人数</w:t>
            </w:r>
          </w:p>
        </w:tc>
      </w:tr>
      <w:tr>
        <w:tblPrEx>
          <w:tblCellMar>
            <w:top w:w="0" w:type="dxa"/>
            <w:left w:w="0" w:type="dxa"/>
            <w:bottom w:w="0" w:type="dxa"/>
            <w:right w:w="0" w:type="dxa"/>
          </w:tblCellMar>
        </w:tblPrEx>
        <w:trPr>
          <w:trHeight w:val="398" w:hRule="atLeast"/>
          <w:jc w:val="center"/>
        </w:trPr>
        <w:tc>
          <w:tcPr>
            <w:tcW w:w="103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经济效益指标</w:t>
            </w:r>
          </w:p>
        </w:tc>
        <w:tc>
          <w:tcPr>
            <w:tcW w:w="1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扶持企业（个数）</w:t>
            </w:r>
          </w:p>
        </w:tc>
        <w:tc>
          <w:tcPr>
            <w:tcW w:w="2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扶持企业实际个数</w:t>
            </w:r>
          </w:p>
        </w:tc>
        <w:tc>
          <w:tcPr>
            <w:tcW w:w="15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35个</w:t>
            </w: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政策规定</w:t>
            </w:r>
          </w:p>
        </w:tc>
      </w:tr>
      <w:tr>
        <w:tblPrEx>
          <w:tblCellMar>
            <w:top w:w="0" w:type="dxa"/>
            <w:left w:w="0" w:type="dxa"/>
            <w:bottom w:w="0" w:type="dxa"/>
            <w:right w:w="0" w:type="dxa"/>
          </w:tblCellMar>
        </w:tblPrEx>
        <w:trPr>
          <w:trHeight w:val="398" w:hRule="atLeast"/>
          <w:jc w:val="center"/>
        </w:trPr>
        <w:tc>
          <w:tcPr>
            <w:tcW w:w="103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1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5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876" w:hRule="atLeast"/>
          <w:jc w:val="center"/>
        </w:trPr>
        <w:tc>
          <w:tcPr>
            <w:tcW w:w="103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满意度指标</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服务对象满意度指标</w:t>
            </w:r>
          </w:p>
        </w:tc>
        <w:tc>
          <w:tcPr>
            <w:tcW w:w="1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群众满意度</w:t>
            </w:r>
          </w:p>
        </w:tc>
        <w:tc>
          <w:tcPr>
            <w:tcW w:w="2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整体满意度</w:t>
            </w:r>
          </w:p>
        </w:tc>
        <w:tc>
          <w:tcPr>
            <w:tcW w:w="15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&gt;=95%</w:t>
            </w: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走访群众，调查问卷</w:t>
            </w:r>
          </w:p>
        </w:tc>
      </w:tr>
      <w:tr>
        <w:tblPrEx>
          <w:tblCellMar>
            <w:top w:w="0" w:type="dxa"/>
            <w:left w:w="0" w:type="dxa"/>
            <w:bottom w:w="0" w:type="dxa"/>
            <w:right w:w="0" w:type="dxa"/>
          </w:tblCellMar>
        </w:tblPrEx>
        <w:trPr>
          <w:trHeight w:val="336" w:hRule="atLeast"/>
          <w:jc w:val="center"/>
        </w:trPr>
        <w:tc>
          <w:tcPr>
            <w:tcW w:w="103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1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5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346" w:hRule="atLeast"/>
          <w:jc w:val="center"/>
        </w:trPr>
        <w:tc>
          <w:tcPr>
            <w:tcW w:w="103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1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5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r>
    </w:tbl>
    <w:p>
      <w:pPr>
        <w:rPr>
          <w:rFonts w:hint="eastAsia" w:ascii="黑体" w:hAnsi="仿宋" w:eastAsia="黑体"/>
          <w:b/>
          <w:sz w:val="32"/>
          <w:szCs w:val="32"/>
          <w:lang w:val="en-US" w:eastAsia="zh-CN"/>
        </w:rPr>
      </w:pPr>
    </w:p>
    <w:p>
      <w:pPr>
        <w:numPr>
          <w:ilvl w:val="0"/>
          <w:numId w:val="0"/>
        </w:numPr>
        <w:ind w:leftChars="0"/>
        <w:rPr>
          <w:rFonts w:hint="eastAsia" w:ascii="黑体" w:hAnsi="仿宋" w:eastAsia="黑体"/>
          <w:b/>
          <w:sz w:val="32"/>
          <w:szCs w:val="32"/>
        </w:rPr>
      </w:pPr>
      <w:r>
        <w:rPr>
          <w:rFonts w:hint="eastAsia" w:ascii="黑体" w:hAnsi="仿宋" w:eastAsia="黑体"/>
          <w:b/>
          <w:sz w:val="32"/>
          <w:szCs w:val="32"/>
          <w:lang w:val="en-US" w:eastAsia="zh-CN"/>
        </w:rPr>
        <w:t>7、</w:t>
      </w:r>
      <w:r>
        <w:rPr>
          <w:rFonts w:hint="eastAsia" w:ascii="黑体" w:hAnsi="仿宋" w:eastAsia="黑体"/>
          <w:b/>
          <w:sz w:val="32"/>
          <w:szCs w:val="32"/>
        </w:rPr>
        <w:t>魏僧寨镇</w:t>
      </w:r>
      <w:r>
        <w:rPr>
          <w:rFonts w:hint="eastAsia" w:ascii="黑体" w:hAnsi="仿宋" w:eastAsia="黑体"/>
          <w:b/>
          <w:sz w:val="32"/>
          <w:szCs w:val="32"/>
          <w:lang w:eastAsia="zh-CN"/>
        </w:rPr>
        <w:t>轴承园区占地补偿资金</w:t>
      </w:r>
      <w:r>
        <w:rPr>
          <w:rFonts w:hint="eastAsia" w:ascii="黑体" w:hAnsi="仿宋" w:eastAsia="黑体"/>
          <w:b/>
          <w:sz w:val="32"/>
          <w:szCs w:val="32"/>
        </w:rPr>
        <w:t>项目绩效表</w:t>
      </w:r>
    </w:p>
    <w:tbl>
      <w:tblPr>
        <w:tblStyle w:val="7"/>
        <w:tblW w:w="9958" w:type="dxa"/>
        <w:jc w:val="center"/>
        <w:tblLayout w:type="autofit"/>
        <w:tblCellMar>
          <w:top w:w="0" w:type="dxa"/>
          <w:left w:w="0" w:type="dxa"/>
          <w:bottom w:w="0" w:type="dxa"/>
          <w:right w:w="0" w:type="dxa"/>
        </w:tblCellMar>
      </w:tblPr>
      <w:tblGrid>
        <w:gridCol w:w="1020"/>
        <w:gridCol w:w="1650"/>
        <w:gridCol w:w="1430"/>
        <w:gridCol w:w="2823"/>
        <w:gridCol w:w="1597"/>
        <w:gridCol w:w="1438"/>
      </w:tblGrid>
      <w:tr>
        <w:tblPrEx>
          <w:tblCellMar>
            <w:top w:w="0" w:type="dxa"/>
            <w:left w:w="0" w:type="dxa"/>
            <w:bottom w:w="0" w:type="dxa"/>
            <w:right w:w="0" w:type="dxa"/>
          </w:tblCellMar>
        </w:tblPrEx>
        <w:trPr>
          <w:trHeight w:val="726" w:hRule="atLeast"/>
          <w:jc w:val="center"/>
        </w:trPr>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绩效目标</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目标1</w:t>
            </w:r>
          </w:p>
        </w:tc>
        <w:tc>
          <w:tcPr>
            <w:tcW w:w="728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通过轴承园区的建设，增加和保障了农户的就业率，提高了农户的经济收入，通过轴承园区的占地补偿的发放，大大改善了农户的生活水平，并保障了农户的切身利益。</w:t>
            </w:r>
          </w:p>
        </w:tc>
      </w:tr>
      <w:tr>
        <w:tblPrEx>
          <w:tblCellMar>
            <w:top w:w="0" w:type="dxa"/>
            <w:left w:w="0" w:type="dxa"/>
            <w:bottom w:w="0" w:type="dxa"/>
            <w:right w:w="0" w:type="dxa"/>
          </w:tblCellMar>
        </w:tblPrEx>
        <w:trPr>
          <w:trHeight w:val="446" w:hRule="atLeast"/>
          <w:jc w:val="center"/>
        </w:trPr>
        <w:tc>
          <w:tcPr>
            <w:tcW w:w="10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一级指标</w:t>
            </w:r>
          </w:p>
        </w:tc>
        <w:tc>
          <w:tcPr>
            <w:tcW w:w="16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二级指标</w:t>
            </w:r>
          </w:p>
        </w:tc>
        <w:tc>
          <w:tcPr>
            <w:tcW w:w="14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三级指标</w:t>
            </w:r>
          </w:p>
        </w:tc>
        <w:tc>
          <w:tcPr>
            <w:tcW w:w="28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绩效指标描述</w:t>
            </w:r>
          </w:p>
        </w:tc>
        <w:tc>
          <w:tcPr>
            <w:tcW w:w="159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指标值</w:t>
            </w:r>
          </w:p>
        </w:tc>
        <w:tc>
          <w:tcPr>
            <w:tcW w:w="143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指标值确定依据</w:t>
            </w:r>
          </w:p>
        </w:tc>
      </w:tr>
      <w:tr>
        <w:tblPrEx>
          <w:tblCellMar>
            <w:top w:w="0" w:type="dxa"/>
            <w:left w:w="0" w:type="dxa"/>
            <w:bottom w:w="0" w:type="dxa"/>
            <w:right w:w="0" w:type="dxa"/>
          </w:tblCellMar>
        </w:tblPrEx>
        <w:trPr>
          <w:trHeight w:val="446"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16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14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18"/>
                <w:szCs w:val="18"/>
              </w:rPr>
            </w:pPr>
          </w:p>
        </w:tc>
        <w:tc>
          <w:tcPr>
            <w:tcW w:w="28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18"/>
                <w:szCs w:val="18"/>
              </w:rPr>
            </w:pPr>
          </w:p>
        </w:tc>
        <w:tc>
          <w:tcPr>
            <w:tcW w:w="15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18"/>
                <w:szCs w:val="18"/>
              </w:rPr>
            </w:pPr>
          </w:p>
        </w:tc>
        <w:tc>
          <w:tcPr>
            <w:tcW w:w="14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390" w:hRule="atLeast"/>
          <w:jc w:val="center"/>
        </w:trPr>
        <w:tc>
          <w:tcPr>
            <w:tcW w:w="10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产出指标</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数量指标</w:t>
            </w:r>
          </w:p>
        </w:tc>
        <w:tc>
          <w:tcPr>
            <w:tcW w:w="1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补助覆盖率(%)</w:t>
            </w:r>
          </w:p>
        </w:tc>
        <w:tc>
          <w:tcPr>
            <w:tcW w:w="2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已补助人数占应补助人群的比率</w:t>
            </w:r>
          </w:p>
        </w:tc>
        <w:tc>
          <w:tcPr>
            <w:tcW w:w="1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&gt;=95%</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政策规定</w:t>
            </w:r>
          </w:p>
        </w:tc>
      </w:tr>
      <w:tr>
        <w:tblPrEx>
          <w:tblCellMar>
            <w:top w:w="0" w:type="dxa"/>
            <w:left w:w="0" w:type="dxa"/>
            <w:bottom w:w="0" w:type="dxa"/>
            <w:right w:w="0" w:type="dxa"/>
          </w:tblCellMar>
        </w:tblPrEx>
        <w:trPr>
          <w:trHeight w:val="632"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数量指标</w:t>
            </w:r>
          </w:p>
        </w:tc>
        <w:tc>
          <w:tcPr>
            <w:tcW w:w="1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补助金发放率(%)</w:t>
            </w:r>
          </w:p>
        </w:tc>
        <w:tc>
          <w:tcPr>
            <w:tcW w:w="2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实际发放的补助金金额占计划发放金额的比率</w:t>
            </w:r>
          </w:p>
        </w:tc>
        <w:tc>
          <w:tcPr>
            <w:tcW w:w="1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&gt;=95%</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补偿款发放表</w:t>
            </w:r>
          </w:p>
        </w:tc>
      </w:tr>
      <w:tr>
        <w:tblPrEx>
          <w:tblCellMar>
            <w:top w:w="0" w:type="dxa"/>
            <w:left w:w="0" w:type="dxa"/>
            <w:bottom w:w="0" w:type="dxa"/>
            <w:right w:w="0" w:type="dxa"/>
          </w:tblCellMar>
        </w:tblPrEx>
        <w:trPr>
          <w:trHeight w:val="857"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1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857" w:hRule="atLeast"/>
          <w:jc w:val="center"/>
        </w:trPr>
        <w:tc>
          <w:tcPr>
            <w:tcW w:w="10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效果指标</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社会效益指标</w:t>
            </w:r>
          </w:p>
        </w:tc>
        <w:tc>
          <w:tcPr>
            <w:tcW w:w="1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补助人群生活改善情况</w:t>
            </w:r>
          </w:p>
        </w:tc>
        <w:tc>
          <w:tcPr>
            <w:tcW w:w="2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补助人群在生活、医疗、护理、教育等方面的改善情况</w:t>
            </w:r>
          </w:p>
        </w:tc>
        <w:tc>
          <w:tcPr>
            <w:tcW w:w="1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&gt;=80%</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走访群众</w:t>
            </w:r>
          </w:p>
        </w:tc>
      </w:tr>
      <w:tr>
        <w:tblPrEx>
          <w:tblCellMar>
            <w:top w:w="0" w:type="dxa"/>
            <w:left w:w="0" w:type="dxa"/>
            <w:bottom w:w="0" w:type="dxa"/>
            <w:right w:w="0" w:type="dxa"/>
          </w:tblCellMar>
        </w:tblPrEx>
        <w:trPr>
          <w:trHeight w:val="39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1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39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1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857" w:hRule="atLeast"/>
          <w:jc w:val="center"/>
        </w:trPr>
        <w:tc>
          <w:tcPr>
            <w:tcW w:w="10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满意度指标</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服务对象满意度指标</w:t>
            </w:r>
          </w:p>
        </w:tc>
        <w:tc>
          <w:tcPr>
            <w:tcW w:w="1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群众满意度</w:t>
            </w:r>
          </w:p>
        </w:tc>
        <w:tc>
          <w:tcPr>
            <w:tcW w:w="2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群众的整体满意度</w:t>
            </w:r>
          </w:p>
        </w:tc>
        <w:tc>
          <w:tcPr>
            <w:tcW w:w="1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&gt;=95%</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走访群众，调查问卷</w:t>
            </w:r>
          </w:p>
        </w:tc>
      </w:tr>
      <w:tr>
        <w:tblPrEx>
          <w:tblCellMar>
            <w:top w:w="0" w:type="dxa"/>
            <w:left w:w="0" w:type="dxa"/>
            <w:bottom w:w="0" w:type="dxa"/>
            <w:right w:w="0" w:type="dxa"/>
          </w:tblCellMar>
        </w:tblPrEx>
        <w:trPr>
          <w:trHeight w:val="329"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1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338"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1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r>
    </w:tbl>
    <w:p>
      <w:pPr>
        <w:numPr>
          <w:ilvl w:val="0"/>
          <w:numId w:val="0"/>
        </w:numPr>
        <w:rPr>
          <w:rFonts w:hint="eastAsia" w:ascii="黑体" w:hAnsi="仿宋" w:eastAsia="黑体"/>
          <w:b/>
          <w:sz w:val="32"/>
          <w:szCs w:val="32"/>
          <w:lang w:val="en-US" w:eastAsia="zh-CN"/>
        </w:rPr>
      </w:pPr>
    </w:p>
    <w:p>
      <w:pPr>
        <w:rPr>
          <w:rFonts w:hint="eastAsia" w:ascii="黑体" w:hAnsi="仿宋" w:eastAsia="黑体"/>
          <w:b/>
          <w:sz w:val="32"/>
          <w:szCs w:val="32"/>
          <w:lang w:eastAsia="zh-CN"/>
        </w:rPr>
      </w:pPr>
      <w:r>
        <w:rPr>
          <w:rFonts w:hint="eastAsia" w:ascii="黑体" w:hAnsi="仿宋" w:eastAsia="黑体"/>
          <w:b/>
          <w:sz w:val="32"/>
          <w:szCs w:val="32"/>
          <w:lang w:val="en-US" w:eastAsia="zh-CN"/>
        </w:rPr>
        <w:t>8、</w:t>
      </w:r>
      <w:r>
        <w:rPr>
          <w:rFonts w:hint="eastAsia" w:ascii="黑体" w:hAnsi="仿宋" w:eastAsia="黑体"/>
          <w:b/>
          <w:sz w:val="32"/>
          <w:szCs w:val="32"/>
        </w:rPr>
        <w:t>魏僧寨镇招商经费项目绩</w:t>
      </w:r>
      <w:r>
        <w:rPr>
          <w:rFonts w:hint="eastAsia" w:ascii="黑体" w:hAnsi="仿宋" w:eastAsia="黑体"/>
          <w:b/>
          <w:sz w:val="32"/>
          <w:szCs w:val="32"/>
          <w:lang w:eastAsia="zh-CN"/>
        </w:rPr>
        <w:t>效表</w:t>
      </w:r>
    </w:p>
    <w:tbl>
      <w:tblPr>
        <w:tblStyle w:val="7"/>
        <w:tblW w:w="9818" w:type="dxa"/>
        <w:jc w:val="center"/>
        <w:tblLayout w:type="autofit"/>
        <w:tblCellMar>
          <w:top w:w="0" w:type="dxa"/>
          <w:left w:w="0" w:type="dxa"/>
          <w:bottom w:w="0" w:type="dxa"/>
          <w:right w:w="0" w:type="dxa"/>
        </w:tblCellMar>
      </w:tblPr>
      <w:tblGrid>
        <w:gridCol w:w="985"/>
        <w:gridCol w:w="1650"/>
        <w:gridCol w:w="1374"/>
        <w:gridCol w:w="2710"/>
        <w:gridCol w:w="1715"/>
        <w:gridCol w:w="1384"/>
      </w:tblGrid>
      <w:tr>
        <w:tblPrEx>
          <w:tblCellMar>
            <w:top w:w="0" w:type="dxa"/>
            <w:left w:w="0" w:type="dxa"/>
            <w:bottom w:w="0" w:type="dxa"/>
            <w:right w:w="0" w:type="dxa"/>
          </w:tblCellMar>
        </w:tblPrEx>
        <w:trPr>
          <w:trHeight w:val="666" w:hRule="atLeast"/>
          <w:jc w:val="center"/>
        </w:trPr>
        <w:tc>
          <w:tcPr>
            <w:tcW w:w="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绩效目标</w:t>
            </w:r>
          </w:p>
        </w:tc>
        <w:tc>
          <w:tcPr>
            <w:tcW w:w="1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目标1</w:t>
            </w:r>
          </w:p>
        </w:tc>
        <w:tc>
          <w:tcPr>
            <w:tcW w:w="721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通过轴承园区招商工作的进行，增加和保障了农户的就业率，提高了农户的经济收入，大大改善了农户的生活水平，并保障了农户的切身利益。</w:t>
            </w:r>
          </w:p>
        </w:tc>
      </w:tr>
      <w:tr>
        <w:tblPrEx>
          <w:tblCellMar>
            <w:top w:w="0" w:type="dxa"/>
            <w:left w:w="0" w:type="dxa"/>
            <w:bottom w:w="0" w:type="dxa"/>
            <w:right w:w="0" w:type="dxa"/>
          </w:tblCellMar>
        </w:tblPrEx>
        <w:trPr>
          <w:trHeight w:val="478"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二级指标</w:t>
            </w:r>
          </w:p>
        </w:tc>
        <w:tc>
          <w:tcPr>
            <w:tcW w:w="137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三级指标</w:t>
            </w:r>
          </w:p>
        </w:tc>
        <w:tc>
          <w:tcPr>
            <w:tcW w:w="27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绩效指标描述</w:t>
            </w:r>
          </w:p>
        </w:tc>
        <w:tc>
          <w:tcPr>
            <w:tcW w:w="17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指标值</w:t>
            </w:r>
          </w:p>
        </w:tc>
        <w:tc>
          <w:tcPr>
            <w:tcW w:w="138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指标值确定依据</w:t>
            </w:r>
          </w:p>
        </w:tc>
      </w:tr>
      <w:tr>
        <w:tblPrEx>
          <w:tblCellMar>
            <w:top w:w="0" w:type="dxa"/>
            <w:left w:w="0" w:type="dxa"/>
            <w:bottom w:w="0" w:type="dxa"/>
            <w:right w:w="0" w:type="dxa"/>
          </w:tblCellMar>
        </w:tblPrEx>
        <w:trPr>
          <w:trHeight w:val="47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13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18"/>
                <w:szCs w:val="18"/>
              </w:rPr>
            </w:pPr>
          </w:p>
        </w:tc>
        <w:tc>
          <w:tcPr>
            <w:tcW w:w="27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18"/>
                <w:szCs w:val="18"/>
              </w:rPr>
            </w:pPr>
          </w:p>
        </w:tc>
        <w:tc>
          <w:tcPr>
            <w:tcW w:w="17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18"/>
                <w:szCs w:val="18"/>
              </w:rPr>
            </w:pPr>
          </w:p>
        </w:tc>
        <w:tc>
          <w:tcPr>
            <w:tcW w:w="13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421"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产出指标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数量指标</w:t>
            </w:r>
          </w:p>
        </w:tc>
        <w:tc>
          <w:tcPr>
            <w:tcW w:w="1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招商企业数量</w:t>
            </w:r>
          </w:p>
        </w:tc>
        <w:tc>
          <w:tcPr>
            <w:tcW w:w="2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招商企业数量</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&gt;=</w:t>
            </w:r>
            <w:r>
              <w:rPr>
                <w:rFonts w:ascii="宋体" w:hAnsi="宋体" w:cs="宋体"/>
                <w:color w:val="000000"/>
                <w:sz w:val="18"/>
                <w:szCs w:val="18"/>
                <w:lang w:bidi="ar"/>
              </w:rPr>
              <w:t>15</w:t>
            </w:r>
            <w:r>
              <w:rPr>
                <w:rFonts w:hint="eastAsia" w:ascii="宋体" w:hAnsi="宋体" w:cs="宋体"/>
                <w:color w:val="000000"/>
                <w:sz w:val="18"/>
                <w:szCs w:val="18"/>
                <w:lang w:bidi="ar"/>
              </w:rPr>
              <w:t>家</w:t>
            </w:r>
          </w:p>
        </w:tc>
        <w:tc>
          <w:tcPr>
            <w:tcW w:w="1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政策规定</w:t>
            </w:r>
          </w:p>
        </w:tc>
      </w:tr>
      <w:tr>
        <w:tblPrEx>
          <w:tblCellMar>
            <w:top w:w="0" w:type="dxa"/>
            <w:left w:w="0" w:type="dxa"/>
            <w:bottom w:w="0" w:type="dxa"/>
            <w:right w:w="0" w:type="dxa"/>
          </w:tblCellMar>
        </w:tblPrEx>
        <w:trPr>
          <w:trHeight w:val="89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数量指标</w:t>
            </w:r>
          </w:p>
        </w:tc>
        <w:tc>
          <w:tcPr>
            <w:tcW w:w="1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经济增长率(%)</w:t>
            </w:r>
          </w:p>
        </w:tc>
        <w:tc>
          <w:tcPr>
            <w:tcW w:w="2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经济增长率(%)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&gt;=</w:t>
            </w:r>
            <w:r>
              <w:rPr>
                <w:rFonts w:ascii="宋体" w:hAnsi="宋体" w:cs="宋体"/>
                <w:color w:val="000000"/>
                <w:sz w:val="18"/>
                <w:szCs w:val="18"/>
                <w:lang w:bidi="ar"/>
              </w:rPr>
              <w:t>15</w:t>
            </w:r>
            <w:r>
              <w:rPr>
                <w:rFonts w:hint="eastAsia" w:ascii="宋体" w:hAnsi="宋体" w:cs="宋体"/>
                <w:color w:val="000000"/>
                <w:sz w:val="18"/>
                <w:szCs w:val="18"/>
                <w:lang w:bidi="ar"/>
              </w:rPr>
              <w:t>%</w:t>
            </w:r>
          </w:p>
        </w:tc>
        <w:tc>
          <w:tcPr>
            <w:tcW w:w="1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政策规定</w:t>
            </w:r>
          </w:p>
        </w:tc>
      </w:tr>
      <w:tr>
        <w:tblPrEx>
          <w:tblCellMar>
            <w:top w:w="0" w:type="dxa"/>
            <w:left w:w="0" w:type="dxa"/>
            <w:bottom w:w="0" w:type="dxa"/>
            <w:right w:w="0" w:type="dxa"/>
          </w:tblCellMar>
        </w:tblPrEx>
        <w:trPr>
          <w:trHeight w:val="35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1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89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效果指标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社会效益指标</w:t>
            </w:r>
          </w:p>
        </w:tc>
        <w:tc>
          <w:tcPr>
            <w:tcW w:w="1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增加就业率（%）</w:t>
            </w:r>
          </w:p>
        </w:tc>
        <w:tc>
          <w:tcPr>
            <w:tcW w:w="2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增加就业率（%）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&gt;=</w:t>
            </w:r>
            <w:r>
              <w:rPr>
                <w:rFonts w:ascii="宋体" w:hAnsi="宋体" w:cs="宋体"/>
                <w:color w:val="000000"/>
                <w:sz w:val="18"/>
                <w:szCs w:val="18"/>
                <w:lang w:bidi="ar"/>
              </w:rPr>
              <w:t>20</w:t>
            </w:r>
            <w:r>
              <w:rPr>
                <w:rFonts w:hint="eastAsia" w:ascii="宋体" w:hAnsi="宋体" w:cs="宋体"/>
                <w:color w:val="000000"/>
                <w:sz w:val="18"/>
                <w:szCs w:val="18"/>
                <w:lang w:bidi="ar"/>
              </w:rPr>
              <w:t>%</w:t>
            </w:r>
          </w:p>
        </w:tc>
        <w:tc>
          <w:tcPr>
            <w:tcW w:w="1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走访群众</w:t>
            </w:r>
          </w:p>
        </w:tc>
      </w:tr>
      <w:tr>
        <w:tblPrEx>
          <w:tblCellMar>
            <w:top w:w="0" w:type="dxa"/>
            <w:left w:w="0" w:type="dxa"/>
            <w:bottom w:w="0" w:type="dxa"/>
            <w:right w:w="0" w:type="dxa"/>
          </w:tblCellMar>
        </w:tblPrEx>
        <w:trPr>
          <w:trHeight w:val="4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1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35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1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653"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b/>
                <w:color w:val="000000"/>
                <w:sz w:val="18"/>
                <w:szCs w:val="18"/>
              </w:rPr>
            </w:pPr>
            <w:r>
              <w:rPr>
                <w:rFonts w:hint="eastAsia" w:ascii="宋体" w:hAnsi="宋体" w:cs="宋体"/>
                <w:b/>
                <w:color w:val="000000"/>
                <w:sz w:val="18"/>
                <w:szCs w:val="18"/>
                <w:lang w:bidi="ar"/>
              </w:rPr>
              <w:t>满意度指标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服务对象满意度指标</w:t>
            </w:r>
          </w:p>
        </w:tc>
        <w:tc>
          <w:tcPr>
            <w:tcW w:w="1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群众满意度</w:t>
            </w:r>
          </w:p>
        </w:tc>
        <w:tc>
          <w:tcPr>
            <w:tcW w:w="2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群众的整体满意度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bidi="ar"/>
              </w:rPr>
              <w:t>&gt;=95%</w:t>
            </w:r>
          </w:p>
        </w:tc>
        <w:tc>
          <w:tcPr>
            <w:tcW w:w="1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color w:val="000000"/>
                <w:sz w:val="18"/>
                <w:szCs w:val="18"/>
              </w:rPr>
            </w:pPr>
            <w:r>
              <w:rPr>
                <w:rFonts w:hint="eastAsia" w:ascii="宋体" w:hAnsi="宋体" w:cs="宋体"/>
                <w:color w:val="000000"/>
                <w:sz w:val="18"/>
                <w:szCs w:val="18"/>
                <w:lang w:bidi="ar"/>
              </w:rPr>
              <w:t>走访群众，调查问卷</w:t>
            </w:r>
          </w:p>
        </w:tc>
      </w:tr>
      <w:tr>
        <w:tblPrEx>
          <w:tblCellMar>
            <w:top w:w="0" w:type="dxa"/>
            <w:left w:w="0" w:type="dxa"/>
            <w:bottom w:w="0" w:type="dxa"/>
            <w:right w:w="0" w:type="dxa"/>
          </w:tblCellMar>
        </w:tblPrEx>
        <w:trPr>
          <w:trHeight w:val="37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1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r>
    </w:tbl>
    <w:p>
      <w:pPr>
        <w:numPr>
          <w:ilvl w:val="0"/>
          <w:numId w:val="0"/>
        </w:numPr>
        <w:rPr>
          <w:rFonts w:hint="eastAsia" w:ascii="黑体" w:hAnsi="仿宋" w:eastAsia="黑体"/>
          <w:b/>
          <w:sz w:val="32"/>
        </w:rPr>
      </w:pPr>
    </w:p>
    <w:p>
      <w:pPr>
        <w:numPr>
          <w:ilvl w:val="0"/>
          <w:numId w:val="0"/>
        </w:numPr>
        <w:rPr>
          <w:rFonts w:hint="eastAsia" w:ascii="黑体" w:hAnsi="仿宋" w:eastAsia="黑体"/>
          <w:b/>
          <w:sz w:val="32"/>
        </w:rPr>
      </w:pPr>
    </w:p>
    <w:p>
      <w:pPr>
        <w:numPr>
          <w:ilvl w:val="0"/>
          <w:numId w:val="0"/>
        </w:numPr>
        <w:rPr>
          <w:rFonts w:hint="eastAsia" w:ascii="黑体" w:hAnsi="仿宋" w:eastAsia="黑体"/>
          <w:b/>
          <w:sz w:val="32"/>
        </w:rPr>
      </w:pPr>
    </w:p>
    <w:p>
      <w:pPr>
        <w:numPr>
          <w:ilvl w:val="0"/>
          <w:numId w:val="0"/>
        </w:numPr>
        <w:rPr>
          <w:rFonts w:hint="eastAsia" w:ascii="黑体" w:hAnsi="仿宋" w:eastAsia="黑体"/>
          <w:b/>
          <w:sz w:val="32"/>
        </w:rPr>
      </w:pPr>
    </w:p>
    <w:p>
      <w:pPr>
        <w:numPr>
          <w:ilvl w:val="0"/>
          <w:numId w:val="0"/>
        </w:numPr>
        <w:rPr>
          <w:rFonts w:hint="eastAsia" w:ascii="黑体" w:hAnsi="仿宋" w:eastAsia="黑体"/>
          <w:b/>
          <w:sz w:val="32"/>
        </w:rPr>
      </w:pPr>
    </w:p>
    <w:p>
      <w:pPr>
        <w:numPr>
          <w:ilvl w:val="0"/>
          <w:numId w:val="0"/>
        </w:numPr>
        <w:rPr>
          <w:rFonts w:hint="eastAsia" w:ascii="黑体" w:hAnsi="仿宋" w:eastAsia="黑体"/>
          <w:b/>
          <w:sz w:val="32"/>
        </w:rPr>
      </w:pPr>
    </w:p>
    <w:p>
      <w:pPr>
        <w:numPr>
          <w:ilvl w:val="0"/>
          <w:numId w:val="0"/>
        </w:numPr>
        <w:rPr>
          <w:rFonts w:hint="eastAsia" w:ascii="黑体" w:hAnsi="仿宋" w:eastAsia="黑体"/>
          <w:b/>
          <w:sz w:val="32"/>
        </w:rPr>
      </w:pPr>
      <w:r>
        <w:rPr>
          <w:rFonts w:hint="eastAsia" w:ascii="黑体" w:hAnsi="仿宋" w:eastAsia="黑体"/>
          <w:b/>
          <w:sz w:val="32"/>
          <w:lang w:eastAsia="zh-CN"/>
        </w:rPr>
        <w:t>六、</w:t>
      </w:r>
      <w:r>
        <w:rPr>
          <w:rFonts w:hint="eastAsia" w:ascii="黑体" w:hAnsi="仿宋" w:eastAsia="黑体"/>
          <w:b/>
          <w:sz w:val="32"/>
        </w:rPr>
        <w:t>政府采购预算情况</w:t>
      </w:r>
    </w:p>
    <w:p>
      <w:pPr>
        <w:ind w:firstLine="643" w:firstLineChars="200"/>
        <w:outlineLvl w:val="0"/>
        <w:rPr>
          <w:rFonts w:ascii="Times New Roman" w:hAnsi="Times New Roman" w:eastAsia="方正仿宋_GBK" w:cs="Times New Roman"/>
          <w:sz w:val="32"/>
          <w:szCs w:val="24"/>
        </w:rPr>
      </w:pPr>
      <w:r>
        <w:rPr>
          <w:rFonts w:hint="eastAsia" w:ascii="黑体" w:hAnsi="仿宋" w:eastAsia="黑体"/>
          <w:b/>
          <w:sz w:val="32"/>
          <w:lang w:val="en-US" w:eastAsia="zh-CN"/>
        </w:rPr>
        <w:t xml:space="preserve">  </w:t>
      </w:r>
      <w:bookmarkStart w:id="1" w:name="_Toc471398468"/>
      <w:r>
        <w:rPr>
          <w:rFonts w:ascii="Times New Roman" w:hAnsi="Times New Roman" w:eastAsia="方正仿宋_GBK" w:cs="Times New Roman"/>
          <w:sz w:val="32"/>
          <w:szCs w:val="24"/>
        </w:rPr>
        <w:t>2021年，我</w:t>
      </w:r>
      <w:r>
        <w:rPr>
          <w:rFonts w:hint="eastAsia" w:ascii="Times New Roman" w:hAnsi="Times New Roman" w:eastAsia="方正仿宋_GBK" w:cs="Times New Roman"/>
          <w:sz w:val="32"/>
          <w:szCs w:val="24"/>
          <w:lang w:eastAsia="zh-CN"/>
        </w:rPr>
        <w:t>单位</w:t>
      </w:r>
      <w:r>
        <w:rPr>
          <w:rFonts w:ascii="Times New Roman" w:hAnsi="Times New Roman" w:eastAsia="方正仿宋_GBK" w:cs="Times New Roman"/>
          <w:sz w:val="32"/>
          <w:szCs w:val="24"/>
        </w:rPr>
        <w:t>安排政府采购预算</w:t>
      </w:r>
      <w:r>
        <w:rPr>
          <w:rFonts w:hint="eastAsia" w:ascii="Times New Roman" w:hAnsi="Times New Roman" w:eastAsia="方正仿宋_GBK" w:cs="Times New Roman"/>
          <w:sz w:val="32"/>
          <w:szCs w:val="24"/>
          <w:lang w:val="en-US" w:eastAsia="zh-CN"/>
        </w:rPr>
        <w:t>0</w:t>
      </w:r>
      <w:r>
        <w:rPr>
          <w:rFonts w:ascii="Times New Roman" w:hAnsi="Times New Roman" w:eastAsia="方正仿宋_GBK" w:cs="Times New Roman"/>
          <w:sz w:val="32"/>
          <w:szCs w:val="24"/>
        </w:rPr>
        <w:t>万元。具体内容见下表。</w:t>
      </w:r>
    </w:p>
    <w:bookmarkEnd w:id="1"/>
    <w:p>
      <w:pPr>
        <w:numPr>
          <w:ilvl w:val="0"/>
          <w:numId w:val="0"/>
        </w:numPr>
        <w:rPr>
          <w:rFonts w:hint="default" w:ascii="黑体" w:hAnsi="仿宋" w:eastAsia="黑体"/>
          <w:b/>
          <w:sz w:val="32"/>
          <w:lang w:val="en-US" w:eastAsia="zh-CN"/>
        </w:rPr>
      </w:pPr>
    </w:p>
    <w:p>
      <w:pPr>
        <w:ind w:firstLine="640" w:firstLineChars="200"/>
        <w:jc w:val="center"/>
        <w:outlineLvl w:val="1"/>
        <w:rPr>
          <w:rFonts w:hint="eastAsia" w:ascii="黑体" w:hAnsi="仿宋" w:eastAsia="黑体"/>
          <w:b/>
          <w:sz w:val="32"/>
        </w:rPr>
      </w:pPr>
      <w:r>
        <w:rPr>
          <w:rFonts w:hint="eastAsia" w:ascii="方正小标宋_GBK" w:eastAsia="方正小标宋_GBK"/>
          <w:sz w:val="32"/>
        </w:rPr>
        <w:t>部门政府采购预算</w:t>
      </w:r>
    </w:p>
    <w:p>
      <w:pPr>
        <w:spacing w:before="75" w:after="75"/>
        <w:ind w:firstLine="784"/>
        <w:rPr>
          <w:rFonts w:hint="eastAsia" w:ascii="黑体" w:hAnsi="仿宋" w:eastAsia="黑体"/>
          <w:b/>
          <w:sz w:val="32"/>
        </w:rPr>
      </w:pPr>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bottom w:val="single" w:color="000000" w:sz="6" w:space="0"/>
              <w:right w:val="single" w:color="FFFFFF" w:sz="6" w:space="0"/>
            </w:tcBorders>
            <w:noWrap w:val="0"/>
            <w:vAlign w:val="center"/>
          </w:tcPr>
          <w:p>
            <w:pPr>
              <w:spacing w:line="300" w:lineRule="exact"/>
              <w:jc w:val="left"/>
              <w:rPr>
                <w:rFonts w:hint="eastAsia" w:ascii="方正小标宋_GBK" w:eastAsia="方正小标宋_GBK"/>
                <w:sz w:val="24"/>
                <w:lang w:eastAsia="zh-CN"/>
              </w:rPr>
            </w:pPr>
            <w:r>
              <w:rPr>
                <w:rFonts w:hint="eastAsia" w:ascii="方正小标宋_GBK" w:eastAsia="方正小标宋_GBK"/>
                <w:sz w:val="24"/>
                <w:lang w:val="en-US" w:eastAsia="zh-CN"/>
              </w:rPr>
              <w:t>544</w:t>
            </w:r>
            <w:r>
              <w:rPr>
                <w:rFonts w:hint="eastAsia" w:ascii="方正小标宋_GBK" w:eastAsia="方正小标宋_GBK"/>
                <w:sz w:val="24"/>
                <w:lang w:eastAsia="zh-CN"/>
              </w:rPr>
              <w:t>魏僧寨镇人民政府</w:t>
            </w:r>
          </w:p>
        </w:tc>
        <w:tc>
          <w:tcPr>
            <w:tcW w:w="6804" w:type="dxa"/>
            <w:gridSpan w:val="6"/>
            <w:tcBorders>
              <w:top w:val="single" w:color="FFFFFF" w:sz="6" w:space="0"/>
              <w:left w:val="single" w:color="FFFFFF" w:sz="6" w:space="0"/>
              <w:bottom w:val="single" w:color="000000" w:sz="6" w:space="0"/>
              <w:right w:val="single" w:color="FFFFFF" w:sz="6" w:space="0"/>
            </w:tcBorders>
            <w:noWrap w:val="0"/>
            <w:vAlign w:val="center"/>
          </w:tcPr>
          <w:p>
            <w:pPr>
              <w:spacing w:line="300" w:lineRule="exact"/>
              <w:jc w:val="right"/>
              <w:rPr>
                <w:rFonts w:hint="eastAsia"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b/>
              </w:rPr>
            </w:pPr>
            <w:r>
              <w:rPr>
                <w:rFonts w:hint="eastAsia" w:ascii="方正书宋_GBK" w:eastAsia="方正书宋_GBK"/>
                <w:b/>
              </w:rPr>
              <w:t>政府采购项目来源</w:t>
            </w:r>
          </w:p>
        </w:tc>
        <w:tc>
          <w:tcPr>
            <w:tcW w:w="1531"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b/>
              </w:rPr>
            </w:pPr>
            <w:r>
              <w:rPr>
                <w:rFonts w:hint="eastAsia" w:ascii="方正书宋_GBK" w:eastAsia="方正书宋_GBK"/>
                <w:b/>
              </w:rPr>
              <w:t>采购物品名称</w:t>
            </w:r>
          </w:p>
        </w:tc>
        <w:tc>
          <w:tcPr>
            <w:tcW w:w="1531"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b/>
              </w:rPr>
            </w:pPr>
            <w:r>
              <w:rPr>
                <w:rFonts w:hint="eastAsia" w:ascii="方正书宋_GBK" w:eastAsia="方正书宋_GBK"/>
                <w:b/>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b/>
              </w:rPr>
            </w:pPr>
            <w:r>
              <w:rPr>
                <w:rFonts w:hint="eastAsia" w:ascii="方正书宋_GBK" w:eastAsia="方正书宋_GBK"/>
                <w:b/>
              </w:rPr>
              <w:t>计量  单位</w:t>
            </w:r>
          </w:p>
        </w:tc>
        <w:tc>
          <w:tcPr>
            <w:tcW w:w="907"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b/>
              </w:rPr>
            </w:pPr>
            <w:r>
              <w:rPr>
                <w:rFonts w:hint="eastAsia" w:ascii="方正书宋_GBK" w:eastAsia="方正书宋_GBK"/>
                <w:b/>
              </w:rPr>
              <w:t>数量</w:t>
            </w:r>
          </w:p>
        </w:tc>
        <w:tc>
          <w:tcPr>
            <w:tcW w:w="907"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b/>
              </w:rPr>
            </w:pPr>
            <w:r>
              <w:rPr>
                <w:rFonts w:hint="eastAsia" w:ascii="方正书宋_GBK" w:eastAsia="方正书宋_GBK"/>
                <w:b/>
              </w:rPr>
              <w:t>单价</w:t>
            </w:r>
          </w:p>
        </w:tc>
        <w:tc>
          <w:tcPr>
            <w:tcW w:w="6804" w:type="dxa"/>
            <w:gridSpan w:val="6"/>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b/>
              </w:rPr>
            </w:pPr>
            <w:r>
              <w:rPr>
                <w:rFonts w:hint="eastAsia" w:ascii="方正书宋_GBK" w:eastAsia="方正书宋_GBK"/>
                <w:b/>
              </w:rPr>
              <w:t>项目名称</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b/>
              </w:rPr>
            </w:pPr>
            <w:r>
              <w:rPr>
                <w:rFonts w:hint="eastAsia" w:ascii="方正书宋_GBK" w:eastAsia="方正书宋_GBK"/>
                <w:b/>
              </w:rPr>
              <w:t>预算资金</w:t>
            </w:r>
          </w:p>
        </w:tc>
        <w:tc>
          <w:tcPr>
            <w:tcW w:w="1531" w:type="dxa"/>
            <w:vMerge w:val="continue"/>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1"/>
              <w:rPr>
                <w:rFonts w:hint="default" w:ascii="Times New Roman" w:eastAsia="方正仿宋_GBK"/>
                <w:sz w:val="28"/>
              </w:rPr>
            </w:pPr>
          </w:p>
        </w:tc>
        <w:tc>
          <w:tcPr>
            <w:tcW w:w="1531" w:type="dxa"/>
            <w:vMerge w:val="continue"/>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1"/>
              <w:rPr>
                <w:rFonts w:hint="default" w:ascii="Times New Roman" w:eastAsia="方正仿宋_GBK"/>
                <w:sz w:val="28"/>
              </w:rPr>
            </w:pPr>
          </w:p>
        </w:tc>
        <w:tc>
          <w:tcPr>
            <w:tcW w:w="709" w:type="dxa"/>
            <w:vMerge w:val="continue"/>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1"/>
              <w:rPr>
                <w:rFonts w:hint="default" w:ascii="Times New Roman" w:eastAsia="方正仿宋_GBK"/>
                <w:sz w:val="28"/>
              </w:rPr>
            </w:pPr>
          </w:p>
        </w:tc>
        <w:tc>
          <w:tcPr>
            <w:tcW w:w="907" w:type="dxa"/>
            <w:vMerge w:val="continue"/>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1"/>
              <w:rPr>
                <w:rFonts w:hint="default" w:ascii="Times New Roman" w:eastAsia="方正仿宋_GBK"/>
                <w:sz w:val="28"/>
              </w:rPr>
            </w:pPr>
          </w:p>
        </w:tc>
        <w:tc>
          <w:tcPr>
            <w:tcW w:w="907" w:type="dxa"/>
            <w:vMerge w:val="continue"/>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outlineLvl w:val="1"/>
              <w:rPr>
                <w:rFonts w:hint="default" w:ascii="Times New Roman" w:eastAsia="方正仿宋_GBK"/>
                <w:sz w:val="28"/>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b/>
              </w:rPr>
            </w:pPr>
            <w:r>
              <w:rPr>
                <w:rFonts w:hint="eastAsia" w:ascii="方正书宋_GBK" w:eastAsia="方正书宋_GBK"/>
                <w:b/>
              </w:rPr>
              <w:t>合计</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b/>
              </w:rPr>
            </w:pPr>
            <w:r>
              <w:rPr>
                <w:rFonts w:hint="eastAsia" w:ascii="方正书宋_GBK" w:eastAsia="方正书宋_GBK"/>
                <w:b/>
              </w:rPr>
              <w:t>一般公共预算拨款</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b/>
              </w:rPr>
            </w:pPr>
            <w:r>
              <w:rPr>
                <w:rFonts w:hint="eastAsia" w:ascii="方正书宋_GBK" w:eastAsia="方正书宋_GBK"/>
                <w:b/>
              </w:rPr>
              <w:t>基金预算拨款</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b/>
              </w:rPr>
            </w:pPr>
            <w:r>
              <w:rPr>
                <w:rFonts w:hint="eastAsia" w:ascii="方正书宋_GBK" w:eastAsia="方正书宋_GBK"/>
                <w:b/>
              </w:rPr>
              <w:t>国有资本经营预算拨款</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b/>
              </w:rPr>
            </w:pPr>
            <w:r>
              <w:rPr>
                <w:rFonts w:hint="eastAsia" w:ascii="方正书宋_GBK" w:eastAsia="方正书宋_GBK"/>
                <w:b/>
              </w:rPr>
              <w:t>财政专户核拨</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b/>
              </w:rPr>
            </w:pPr>
            <w:r>
              <w:rPr>
                <w:rFonts w:hint="eastAsia" w:ascii="方正书宋_GBK" w:eastAsia="方正书宋_GBK"/>
                <w:b/>
              </w:rPr>
              <w:t>合  计</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eastAsia" w:ascii="方正书宋_GBK" w:eastAsia="方正书宋_GBK"/>
                <w:b/>
              </w:rPr>
            </w:pPr>
          </w:p>
        </w:tc>
        <w:tc>
          <w:tcPr>
            <w:tcW w:w="153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方正书宋_GBK" w:eastAsia="方正书宋_GBK"/>
                <w:b/>
              </w:rPr>
            </w:pPr>
          </w:p>
        </w:tc>
        <w:tc>
          <w:tcPr>
            <w:tcW w:w="153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方正书宋_GBK" w:eastAsia="方正书宋_GBK"/>
                <w:b/>
              </w:rPr>
            </w:pPr>
          </w:p>
        </w:tc>
        <w:tc>
          <w:tcPr>
            <w:tcW w:w="709"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b/>
              </w:rPr>
            </w:pPr>
          </w:p>
        </w:tc>
        <w:tc>
          <w:tcPr>
            <w:tcW w:w="90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eastAsia" w:ascii="方正书宋_GBK" w:eastAsia="方正书宋_GBK"/>
                <w:b/>
              </w:rPr>
            </w:pPr>
          </w:p>
        </w:tc>
        <w:tc>
          <w:tcPr>
            <w:tcW w:w="90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eastAsia"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eastAsia" w:ascii="方正书宋_GBK" w:eastAsia="方正书宋_GBK"/>
                <w:b/>
                <w:lang w:eastAsia="zh-CN"/>
              </w:rPr>
            </w:pPr>
            <w:r>
              <w:rPr>
                <w:rFonts w:hint="eastAsia" w:ascii="方正书宋_GBK" w:eastAsia="方正书宋_GBK"/>
                <w:b/>
                <w:lang w:val="en-US" w:eastAsia="zh-CN"/>
              </w:rPr>
              <w:t>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eastAsia" w:ascii="方正书宋_GBK" w:eastAsia="方正书宋_GBK"/>
                <w:b/>
                <w:lang w:eastAsia="zh-CN"/>
              </w:rPr>
            </w:pPr>
            <w:r>
              <w:rPr>
                <w:rFonts w:hint="eastAsia" w:ascii="方正书宋_GBK" w:eastAsia="方正书宋_GBK"/>
                <w:b/>
                <w:lang w:val="en-US" w:eastAsia="zh-CN"/>
              </w:rPr>
              <w:t>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eastAsia"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eastAsia"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eastAsia" w:ascii="方正书宋_GBK" w:eastAsia="方正书宋_GBK"/>
                <w:b/>
                <w:lang w:eastAsia="zh-CN"/>
              </w:rPr>
            </w:pPr>
            <w:r>
              <w:rPr>
                <w:rFonts w:hint="eastAsia" w:ascii="方正书宋_GBK" w:eastAsia="方正书宋_GBK"/>
                <w:b/>
                <w:lang w:val="en-US" w:eastAsia="zh-CN"/>
              </w:rPr>
              <w:t>0</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eastAsia"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eastAsia" w:ascii="方正书宋_GBK" w:eastAsia="方正书宋_GBK"/>
              </w:rPr>
            </w:pPr>
          </w:p>
        </w:tc>
        <w:tc>
          <w:tcPr>
            <w:tcW w:w="153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方正书宋_GBK" w:eastAsia="方正书宋_GBK"/>
              </w:rPr>
            </w:pPr>
          </w:p>
        </w:tc>
        <w:tc>
          <w:tcPr>
            <w:tcW w:w="153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方正书宋_GBK" w:eastAsia="方正书宋_GBK"/>
              </w:rPr>
            </w:pPr>
          </w:p>
        </w:tc>
        <w:tc>
          <w:tcPr>
            <w:tcW w:w="709"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rPr>
            </w:pPr>
          </w:p>
        </w:tc>
        <w:tc>
          <w:tcPr>
            <w:tcW w:w="90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eastAsia" w:ascii="方正书宋_GBK" w:eastAsia="方正书宋_GBK"/>
              </w:rPr>
            </w:pPr>
          </w:p>
        </w:tc>
        <w:tc>
          <w:tcPr>
            <w:tcW w:w="90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eastAsia"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eastAsia"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eastAsia"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eastAsia"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eastAsia"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eastAsia"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right"/>
              <w:rPr>
                <w:rFonts w:hint="eastAsia" w:ascii="方正书宋_GBK" w:eastAsia="方正书宋_GBK"/>
              </w:rPr>
            </w:pPr>
          </w:p>
        </w:tc>
      </w:tr>
    </w:tbl>
    <w:p>
      <w:pPr>
        <w:spacing w:before="75" w:after="75"/>
        <w:ind w:firstLine="784"/>
        <w:rPr>
          <w:rFonts w:hint="eastAsia" w:ascii="黑体" w:hAnsi="仿宋" w:eastAsia="黑体"/>
          <w:b/>
          <w:sz w:val="32"/>
        </w:rPr>
      </w:pPr>
    </w:p>
    <w:p>
      <w:pPr>
        <w:spacing w:before="75" w:after="75"/>
        <w:ind w:firstLine="784"/>
        <w:rPr>
          <w:rFonts w:hint="eastAsia" w:ascii="黑体" w:hAnsi="仿宋" w:eastAsia="黑体"/>
          <w:b/>
          <w:sz w:val="32"/>
        </w:rPr>
      </w:pPr>
    </w:p>
    <w:p>
      <w:pPr>
        <w:spacing w:before="75" w:after="75"/>
        <w:ind w:firstLine="784"/>
        <w:rPr>
          <w:rFonts w:hint="eastAsia" w:ascii="黑体" w:hAnsi="仿宋" w:eastAsia="黑体"/>
          <w:b/>
          <w:sz w:val="32"/>
        </w:rPr>
      </w:pPr>
    </w:p>
    <w:p>
      <w:pPr>
        <w:spacing w:before="75" w:after="75"/>
        <w:rPr>
          <w:rFonts w:hint="eastAsia" w:ascii="黑体" w:hAnsi="仿宋" w:eastAsia="黑体"/>
          <w:b/>
          <w:sz w:val="32"/>
        </w:rPr>
      </w:pPr>
    </w:p>
    <w:p>
      <w:pPr>
        <w:spacing w:before="75" w:after="75"/>
        <w:rPr>
          <w:rFonts w:ascii="黑体" w:hAnsi="仿宋" w:eastAsia="黑体" w:cs="Tahoma"/>
          <w:color w:val="000000"/>
          <w:sz w:val="32"/>
          <w:szCs w:val="32"/>
        </w:rPr>
      </w:pPr>
      <w:r>
        <w:rPr>
          <w:rFonts w:hint="eastAsia" w:ascii="黑体" w:hAnsi="仿宋" w:eastAsia="黑体"/>
          <w:b/>
          <w:sz w:val="32"/>
        </w:rPr>
        <w:t>七、国有资产信息</w:t>
      </w:r>
    </w:p>
    <w:p>
      <w:pPr>
        <w:spacing w:before="75" w:after="75"/>
        <w:ind w:firstLine="640" w:firstLineChars="200"/>
        <w:rPr>
          <w:rFonts w:ascii="仿宋_GB2312" w:hAnsi="仿宋" w:eastAsia="仿宋_GB2312" w:cs="Tahoma"/>
          <w:color w:val="000000"/>
          <w:sz w:val="32"/>
          <w:szCs w:val="32"/>
        </w:rPr>
      </w:pPr>
      <w:r>
        <w:rPr>
          <w:rFonts w:hint="eastAsia" w:ascii="仿宋_GB2312" w:hAnsi="仿宋" w:eastAsia="仿宋_GB2312" w:cs="Tahoma"/>
          <w:color w:val="000000"/>
          <w:sz w:val="32"/>
          <w:szCs w:val="32"/>
        </w:rPr>
        <w:t>根据我镇固定资产台账，截止202</w:t>
      </w:r>
      <w:r>
        <w:rPr>
          <w:rFonts w:hint="eastAsia" w:ascii="仿宋_GB2312" w:hAnsi="仿宋" w:eastAsia="仿宋_GB2312" w:cs="Tahoma"/>
          <w:color w:val="000000"/>
          <w:sz w:val="32"/>
          <w:szCs w:val="32"/>
          <w:lang w:val="en-US" w:eastAsia="zh-CN"/>
        </w:rPr>
        <w:t>0</w:t>
      </w:r>
      <w:r>
        <w:rPr>
          <w:rFonts w:hint="eastAsia" w:ascii="仿宋_GB2312" w:hAnsi="仿宋" w:eastAsia="仿宋_GB2312" w:cs="Tahoma"/>
          <w:color w:val="000000"/>
          <w:sz w:val="32"/>
          <w:szCs w:val="32"/>
        </w:rPr>
        <w:t>年底，我单位国有资产价值151.53万元，基本信息如下：</w:t>
      </w:r>
    </w:p>
    <w:p>
      <w:pPr>
        <w:spacing w:before="75" w:after="75"/>
        <w:ind w:firstLine="640"/>
        <w:rPr>
          <w:rFonts w:hint="eastAsia" w:ascii="仿宋_GB2312" w:hAnsi="仿宋" w:eastAsia="仿宋_GB2312" w:cs="Tahoma"/>
          <w:color w:val="000000"/>
          <w:sz w:val="32"/>
          <w:szCs w:val="32"/>
        </w:rPr>
      </w:pPr>
      <w:r>
        <w:rPr>
          <w:rFonts w:hint="eastAsia" w:ascii="仿宋_GB2312" w:hAnsi="仿宋" w:eastAsia="仿宋_GB2312" w:cs="Tahoma"/>
          <w:color w:val="000000"/>
          <w:sz w:val="32"/>
          <w:szCs w:val="32"/>
          <w:lang w:val="en-US" w:eastAsia="zh-CN"/>
        </w:rPr>
        <w:t>1、</w:t>
      </w:r>
      <w:r>
        <w:rPr>
          <w:rFonts w:hint="eastAsia" w:ascii="仿宋_GB2312" w:hAnsi="仿宋" w:eastAsia="仿宋_GB2312" w:cs="Tahoma"/>
          <w:color w:val="000000"/>
          <w:sz w:val="32"/>
          <w:szCs w:val="32"/>
        </w:rPr>
        <w:t>办公楼一座，四层，建筑面积2540平方米，价值115.33万。2、办公家具用具及办公设备等价值共计34.</w:t>
      </w:r>
      <w:r>
        <w:rPr>
          <w:rFonts w:hint="eastAsia" w:ascii="仿宋_GB2312" w:hAnsi="仿宋" w:eastAsia="仿宋_GB2312" w:cs="Tahoma"/>
          <w:color w:val="000000"/>
          <w:sz w:val="32"/>
          <w:szCs w:val="32"/>
          <w:lang w:val="en-US" w:eastAsia="zh-CN"/>
        </w:rPr>
        <w:t>2</w:t>
      </w:r>
      <w:r>
        <w:rPr>
          <w:rFonts w:hint="eastAsia" w:ascii="仿宋_GB2312" w:hAnsi="仿宋" w:eastAsia="仿宋_GB2312" w:cs="Tahoma"/>
          <w:color w:val="000000"/>
          <w:sz w:val="32"/>
          <w:szCs w:val="32"/>
        </w:rPr>
        <w:t>万元。</w:t>
      </w:r>
    </w:p>
    <w:p>
      <w:pPr>
        <w:numPr>
          <w:ilvl w:val="0"/>
          <w:numId w:val="0"/>
        </w:numPr>
        <w:spacing w:before="75" w:after="75"/>
        <w:jc w:val="both"/>
        <w:rPr>
          <w:rFonts w:hint="eastAsia" w:ascii="仿宋_GB2312" w:hAnsi="仿宋" w:eastAsia="仿宋_GB2312" w:cs="Tahoma"/>
          <w:color w:val="000000"/>
          <w:sz w:val="32"/>
          <w:szCs w:val="32"/>
        </w:rPr>
      </w:pP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24"/>
        <w:gridCol w:w="3155"/>
        <w:gridCol w:w="5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0"/>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河北省省直部门固定资产占用情况表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0"/>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rPr>
              <w:t>编制部门：</w:t>
            </w:r>
            <w:r>
              <w:rPr>
                <w:rFonts w:hint="eastAsia" w:ascii="宋体" w:hAnsi="宋体" w:eastAsia="宋体" w:cs="宋体"/>
                <w:kern w:val="0"/>
                <w:sz w:val="22"/>
                <w:lang w:eastAsia="zh-CN"/>
              </w:rPr>
              <w:t>魏僧寨镇人民政府</w:t>
            </w:r>
          </w:p>
        </w:tc>
        <w:tc>
          <w:tcPr>
            <w:tcW w:w="5103" w:type="dxa"/>
            <w:tcBorders>
              <w:top w:val="nil"/>
              <w:left w:val="nil"/>
              <w:bottom w:val="nil"/>
              <w:right w:val="nil"/>
            </w:tcBorders>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截止时间：2020年12月31日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2"/>
              </w:rPr>
            </w:pPr>
            <w:r>
              <w:rPr>
                <w:rFonts w:ascii="Times New Roman" w:hAnsi="Times New Roman" w:cs="Times New Roman"/>
                <w:kern w:val="0"/>
                <w:sz w:val="22"/>
              </w:rPr>
              <w:t>——</w:t>
            </w:r>
          </w:p>
        </w:tc>
        <w:tc>
          <w:tcPr>
            <w:tcW w:w="510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2"/>
                <w:lang w:val="en-US" w:eastAsia="zh-CN"/>
              </w:rPr>
            </w:pPr>
            <w:r>
              <w:rPr>
                <w:rFonts w:hint="eastAsia" w:ascii="Times New Roman" w:hAnsi="Times New Roman" w:cs="Times New Roman"/>
                <w:kern w:val="0"/>
                <w:sz w:val="22"/>
                <w:lang w:val="en-US" w:eastAsia="zh-CN"/>
              </w:rPr>
              <w:t>151.53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2"/>
                <w:lang w:val="en-US" w:eastAsia="zh-CN"/>
              </w:rPr>
            </w:pPr>
            <w:r>
              <w:rPr>
                <w:rFonts w:hint="eastAsia" w:ascii="Times New Roman" w:hAnsi="Times New Roman" w:cs="Times New Roman"/>
                <w:sz w:val="22"/>
                <w:lang w:val="en-US" w:eastAsia="zh-CN"/>
              </w:rPr>
              <w:t>2540</w:t>
            </w:r>
          </w:p>
        </w:tc>
        <w:tc>
          <w:tcPr>
            <w:tcW w:w="510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2"/>
                <w:lang w:val="en-US" w:eastAsia="zh-CN"/>
              </w:rPr>
            </w:pPr>
            <w:r>
              <w:rPr>
                <w:rFonts w:hint="eastAsia" w:ascii="Times New Roman" w:hAnsi="Times New Roman" w:cs="Times New Roman"/>
                <w:sz w:val="22"/>
                <w:lang w:val="en-US" w:eastAsia="zh-CN"/>
              </w:rPr>
              <w:t>115.33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2"/>
                <w:lang w:val="en-US" w:eastAsia="zh-CN"/>
              </w:rPr>
            </w:pPr>
            <w:r>
              <w:rPr>
                <w:rFonts w:hint="eastAsia" w:ascii="Times New Roman" w:hAnsi="Times New Roman" w:cs="Times New Roman"/>
                <w:sz w:val="22"/>
                <w:lang w:val="en-US" w:eastAsia="zh-CN"/>
              </w:rPr>
              <w:t>2540</w:t>
            </w:r>
          </w:p>
        </w:tc>
        <w:tc>
          <w:tcPr>
            <w:tcW w:w="510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2"/>
                <w:lang w:val="en-US" w:eastAsia="zh-CN"/>
              </w:rPr>
            </w:pPr>
            <w:r>
              <w:rPr>
                <w:rFonts w:hint="eastAsia" w:ascii="Times New Roman" w:hAnsi="Times New Roman" w:cs="Times New Roman"/>
                <w:sz w:val="22"/>
                <w:lang w:val="en-US" w:eastAsia="zh-CN"/>
              </w:rPr>
              <w:t>115.33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宋体" w:cs="Times New Roman"/>
                <w:sz w:val="22"/>
                <w:lang w:val="en-US" w:eastAsia="zh-CN"/>
              </w:rPr>
            </w:pPr>
            <w:r>
              <w:rPr>
                <w:rFonts w:hint="eastAsia" w:ascii="Times New Roman" w:hAnsi="Times New Roman" w:cs="Times New Roman"/>
                <w:sz w:val="22"/>
                <w:lang w:val="en-US" w:eastAsia="zh-CN"/>
              </w:rPr>
              <w:t>1</w:t>
            </w:r>
          </w:p>
        </w:tc>
        <w:tc>
          <w:tcPr>
            <w:tcW w:w="5103"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宋体" w:cs="Times New Roman"/>
                <w:sz w:val="22"/>
                <w:lang w:val="en-US" w:eastAsia="zh-CN"/>
              </w:rPr>
            </w:pPr>
            <w:r>
              <w:rPr>
                <w:rFonts w:hint="eastAsia" w:ascii="Times New Roman" w:hAnsi="Times New Roman" w:cs="Times New Roman"/>
                <w:sz w:val="22"/>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noWrap w:val="0"/>
            <w:vAlign w:val="center"/>
          </w:tcPr>
          <w:p>
            <w:pPr>
              <w:jc w:val="center"/>
              <w:rPr>
                <w:rFonts w:ascii="Times New Roman" w:hAnsi="Times New Roman" w:cs="Times New Roman"/>
                <w:sz w:val="22"/>
              </w:rPr>
            </w:pPr>
          </w:p>
        </w:tc>
        <w:tc>
          <w:tcPr>
            <w:tcW w:w="5103" w:type="dxa"/>
            <w:tcBorders>
              <w:top w:val="nil"/>
              <w:left w:val="nil"/>
              <w:bottom w:val="single" w:color="auto" w:sz="4" w:space="0"/>
              <w:right w:val="single" w:color="auto" w:sz="4" w:space="0"/>
            </w:tcBorders>
            <w:noWrap w:val="0"/>
            <w:vAlign w:val="center"/>
          </w:tcPr>
          <w:p>
            <w:pPr>
              <w:jc w:val="center"/>
              <w:rPr>
                <w:rFonts w:ascii="Times New Roman" w:hAnsi="Times New Roman" w:cs="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noWrap w:val="0"/>
            <w:vAlign w:val="center"/>
          </w:tcPr>
          <w:p>
            <w:pPr>
              <w:jc w:val="center"/>
              <w:rPr>
                <w:rFonts w:ascii="Times New Roman" w:hAnsi="Times New Roman" w:cs="Times New Roman"/>
                <w:sz w:val="22"/>
              </w:rPr>
            </w:pPr>
          </w:p>
        </w:tc>
        <w:tc>
          <w:tcPr>
            <w:tcW w:w="510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2"/>
                <w:lang w:val="en-US" w:eastAsia="zh-CN"/>
              </w:rPr>
            </w:pPr>
            <w:r>
              <w:rPr>
                <w:rFonts w:hint="eastAsia" w:ascii="Times New Roman" w:hAnsi="Times New Roman" w:cs="Times New Roman"/>
                <w:sz w:val="22"/>
                <w:lang w:val="en-US" w:eastAsia="zh-CN"/>
              </w:rPr>
              <w:t>34.2</w:t>
            </w:r>
          </w:p>
        </w:tc>
      </w:tr>
    </w:tbl>
    <w:p>
      <w:pPr>
        <w:autoSpaceDE w:val="0"/>
        <w:autoSpaceDN w:val="0"/>
        <w:adjustRightInd w:val="0"/>
        <w:ind w:firstLine="640" w:firstLineChars="200"/>
        <w:jc w:val="left"/>
        <w:rPr>
          <w:rFonts w:ascii="黑体" w:hAnsi="黑体" w:eastAsia="黑体"/>
          <w:sz w:val="32"/>
          <w:szCs w:val="32"/>
        </w:r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cs="黑体"/>
          <w:sz w:val="32"/>
          <w:szCs w:val="32"/>
        </w:rPr>
        <w:t>八、名词解释</w:t>
      </w:r>
    </w:p>
    <w:p>
      <w:pPr>
        <w:ind w:firstLine="640" w:firstLineChars="200"/>
        <w:rPr>
          <w:rFonts w:ascii="仿宋_GB2312" w:eastAsia="仿宋_GB2312"/>
          <w:sz w:val="32"/>
          <w:szCs w:val="32"/>
        </w:rPr>
      </w:pPr>
      <w:r>
        <w:rPr>
          <w:rFonts w:hint="eastAsia" w:ascii="仿宋_GB2312" w:eastAsia="仿宋_GB2312"/>
          <w:sz w:val="32"/>
          <w:szCs w:val="32"/>
        </w:rPr>
        <w:t>1、财政拨款收入：指财政当年拨付的资金。</w:t>
      </w:r>
    </w:p>
    <w:p>
      <w:pPr>
        <w:ind w:firstLine="640" w:firstLineChars="200"/>
        <w:rPr>
          <w:rFonts w:ascii="仿宋_GB2312" w:eastAsia="仿宋_GB2312"/>
          <w:sz w:val="32"/>
          <w:szCs w:val="32"/>
        </w:rPr>
      </w:pPr>
      <w:r>
        <w:rPr>
          <w:rFonts w:hint="eastAsia" w:ascii="仿宋_GB2312" w:eastAsia="仿宋_GB2312"/>
          <w:sz w:val="32"/>
          <w:szCs w:val="32"/>
        </w:rPr>
        <w:t>2、年初结转和结余：指以前年度尚未完成，结转到本年仍按照原规定用途继续使用的资金，或项目已完成等产生的结余资金。</w:t>
      </w:r>
    </w:p>
    <w:p>
      <w:pPr>
        <w:ind w:firstLine="640" w:firstLineChars="200"/>
        <w:rPr>
          <w:rFonts w:ascii="仿宋_GB2312" w:eastAsia="仿宋_GB2312"/>
          <w:sz w:val="32"/>
          <w:szCs w:val="32"/>
        </w:rPr>
      </w:pPr>
      <w:r>
        <w:rPr>
          <w:rFonts w:hint="eastAsia" w:ascii="仿宋_GB2312" w:eastAsia="仿宋_GB2312"/>
          <w:sz w:val="32"/>
          <w:szCs w:val="32"/>
        </w:rPr>
        <w:t>3、基本支出：指单位为了保障其正常运转、完成日常工作任务而发生的人员支出和公用支出。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4、项目支出：指单位为了特定的工作任务和事业发展目标，在基本支出之外所发生的支出。</w:t>
      </w:r>
    </w:p>
    <w:p>
      <w:pPr>
        <w:ind w:firstLine="640" w:firstLineChars="200"/>
        <w:rPr>
          <w:rFonts w:ascii="仿宋_GB2312" w:eastAsia="仿宋_GB2312"/>
          <w:sz w:val="32"/>
          <w:szCs w:val="32"/>
        </w:rPr>
      </w:pPr>
      <w:r>
        <w:rPr>
          <w:rFonts w:hint="eastAsia" w:ascii="仿宋_GB2312" w:eastAsia="仿宋_GB2312"/>
          <w:sz w:val="32"/>
          <w:szCs w:val="32"/>
        </w:rPr>
        <w:t>5、“三公”经费：是指省级部门用财政拨款安排的因公出国（境）费、公务用车购置及运行费和公务接待费。其中，因公出国（境）费反映单位公务出国（境）的国际旅费、国外城市间交通费、住宿费、</w:t>
      </w:r>
      <w:r>
        <w:rPr>
          <w:rFonts w:eastAsia="仿宋_GB2312"/>
          <w:sz w:val="32"/>
          <w:szCs w:val="32"/>
        </w:rPr>
        <w:t> </w:t>
      </w:r>
      <w:r>
        <w:rPr>
          <w:rFonts w:hint="eastAsia" w:ascii="仿宋_GB2312" w:eastAsia="仿宋_GB2312"/>
          <w:sz w:val="32"/>
          <w:szCs w:val="32"/>
        </w:rPr>
        <w:t>伙食费、</w:t>
      </w:r>
      <w:r>
        <w:rPr>
          <w:rFonts w:eastAsia="仿宋_GB2312"/>
          <w:sz w:val="32"/>
          <w:szCs w:val="32"/>
        </w:rPr>
        <w:t> </w:t>
      </w:r>
      <w:r>
        <w:rPr>
          <w:rFonts w:hint="eastAsia" w:ascii="仿宋_GB2312" w:eastAsia="仿宋_GB2312"/>
          <w:sz w:val="32"/>
          <w:szCs w:val="32"/>
        </w:rPr>
        <w:t>公杂费等支出；公务用车购置及运行费反映单位公务用车车辆购置支出（含车辆购置税）费及租用费、燃料费、维修费、过路过桥费、保险费、安全奖励费用等支出；公务接待费反映单位按规定开支的各类公务接待（含外宾接待）支出。</w:t>
      </w:r>
    </w:p>
    <w:p>
      <w:pPr>
        <w:ind w:firstLine="643" w:firstLineChars="200"/>
        <w:rPr>
          <w:rFonts w:ascii="Times New Roman" w:hAnsi="Times New Roman" w:eastAsia="仿宋"/>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sz w:val="32"/>
          <w:szCs w:val="32"/>
        </w:rPr>
      </w:pPr>
      <w:r>
        <w:rPr>
          <w:rFonts w:hint="eastAsia" w:ascii="Times New Roman" w:hAnsi="Times New Roman" w:eastAsia="仿宋" w:cs="仿宋"/>
          <w:sz w:val="32"/>
          <w:szCs w:val="32"/>
        </w:rPr>
        <w:t>我部门无其他需要说明的事项。</w:t>
      </w:r>
    </w:p>
    <w:sectPr>
      <w:headerReference r:id="rId3" w:type="default"/>
      <w:footerReference r:id="rId4" w:type="default"/>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宋体-方正超大字符集">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3FAAFA"/>
    <w:multiLevelType w:val="singleLevel"/>
    <w:tmpl w:val="D53FAAFA"/>
    <w:lvl w:ilvl="0" w:tentative="0">
      <w:start w:val="1"/>
      <w:numFmt w:val="decimal"/>
      <w:suff w:val="nothing"/>
      <w:lvlText w:val="%1、"/>
      <w:lvlJc w:val="left"/>
    </w:lvl>
  </w:abstractNum>
  <w:abstractNum w:abstractNumId="1">
    <w:nsid w:val="00000001"/>
    <w:multiLevelType w:val="singleLevel"/>
    <w:tmpl w:val="00000001"/>
    <w:lvl w:ilvl="0" w:tentative="0">
      <w:start w:val="2"/>
      <w:numFmt w:val="decimal"/>
      <w:lvlText w:val="%1、"/>
      <w:lvlJc w:val="left"/>
      <w:pPr>
        <w:ind w:firstLine="709"/>
      </w:pPr>
      <w:rPr>
        <w:rFonts w:ascii="新宋体" w:hAnsi="新宋体" w:eastAsia="新宋体"/>
        <w:b w:val="0"/>
        <w:i w:val="0"/>
        <w:strike w:val="0"/>
        <w:color w:val="auto"/>
        <w:position w:val="0"/>
        <w:sz w:val="32"/>
        <w:u w:val="none"/>
        <w:shd w:val="clear" w:color="auto" w:fill="auto"/>
      </w:rPr>
    </w:lvl>
  </w:abstractNum>
  <w:abstractNum w:abstractNumId="2">
    <w:nsid w:val="00000002"/>
    <w:multiLevelType w:val="singleLevel"/>
    <w:tmpl w:val="00000002"/>
    <w:lvl w:ilvl="0" w:tentative="0">
      <w:start w:val="1"/>
      <w:numFmt w:val="decimal"/>
      <w:lvlText w:val="%1、"/>
      <w:lvlJc w:val="left"/>
      <w:pPr>
        <w:ind w:firstLine="707"/>
      </w:pPr>
      <w:rPr>
        <w:rFonts w:ascii="新宋体" w:hAnsi="新宋体" w:eastAsia="新宋体"/>
        <w:b w:val="0"/>
        <w:i w:val="0"/>
        <w:strike w:val="0"/>
        <w:color w:val="auto"/>
        <w:position w:val="0"/>
        <w:sz w:val="32"/>
        <w:u w:val="none"/>
        <w:shd w:val="clear" w:color="auto" w:fill="auto"/>
      </w:rPr>
    </w:lvl>
  </w:abstractNum>
  <w:abstractNum w:abstractNumId="3">
    <w:nsid w:val="40C193D3"/>
    <w:multiLevelType w:val="singleLevel"/>
    <w:tmpl w:val="40C193D3"/>
    <w:lvl w:ilvl="0" w:tentative="0">
      <w:start w:val="2"/>
      <w:numFmt w:val="chineseCounting"/>
      <w:suff w:val="nothing"/>
      <w:lvlText w:val="（%1）"/>
      <w:lvlJc w:val="left"/>
      <w:rPr>
        <w:rFonts w:hint="eastAsia"/>
      </w:rPr>
    </w:lvl>
  </w:abstractNum>
  <w:abstractNum w:abstractNumId="4">
    <w:nsid w:val="5ABD1509"/>
    <w:multiLevelType w:val="singleLevel"/>
    <w:tmpl w:val="5ABD1509"/>
    <w:lvl w:ilvl="0" w:tentative="0">
      <w:start w:val="1"/>
      <w:numFmt w:val="chineseCounting"/>
      <w:suff w:val="nothing"/>
      <w:lvlText w:val="（%1）"/>
      <w:lvlJc w:val="left"/>
      <w:rPr>
        <w:rFonts w:cs="Times New Roman"/>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lMDQzZjY2MjFlMGE0ZDYwZDc4NjBjNTBkNGEwNTEifQ=="/>
  </w:docVars>
  <w:rsids>
    <w:rsidRoot w:val="00C67CC4"/>
    <w:rsid w:val="0000235E"/>
    <w:rsid w:val="00014594"/>
    <w:rsid w:val="0003098B"/>
    <w:rsid w:val="00043DE9"/>
    <w:rsid w:val="0009251C"/>
    <w:rsid w:val="000E5AE1"/>
    <w:rsid w:val="00124F3A"/>
    <w:rsid w:val="0015306D"/>
    <w:rsid w:val="001B2ECA"/>
    <w:rsid w:val="001D78AB"/>
    <w:rsid w:val="001E4CD0"/>
    <w:rsid w:val="00257189"/>
    <w:rsid w:val="00273E7D"/>
    <w:rsid w:val="00282301"/>
    <w:rsid w:val="002B4EAB"/>
    <w:rsid w:val="002B7066"/>
    <w:rsid w:val="002C2891"/>
    <w:rsid w:val="00322A3C"/>
    <w:rsid w:val="00331F08"/>
    <w:rsid w:val="00355582"/>
    <w:rsid w:val="003962A8"/>
    <w:rsid w:val="003E491B"/>
    <w:rsid w:val="003F0952"/>
    <w:rsid w:val="004740B0"/>
    <w:rsid w:val="005001B8"/>
    <w:rsid w:val="0051597D"/>
    <w:rsid w:val="00531B21"/>
    <w:rsid w:val="00556C00"/>
    <w:rsid w:val="0057202E"/>
    <w:rsid w:val="005D69FB"/>
    <w:rsid w:val="005E015D"/>
    <w:rsid w:val="005F4712"/>
    <w:rsid w:val="00606439"/>
    <w:rsid w:val="00641BF0"/>
    <w:rsid w:val="006D0C4D"/>
    <w:rsid w:val="00716563"/>
    <w:rsid w:val="00720FCB"/>
    <w:rsid w:val="0074453E"/>
    <w:rsid w:val="007602E7"/>
    <w:rsid w:val="00782811"/>
    <w:rsid w:val="00792910"/>
    <w:rsid w:val="007B0085"/>
    <w:rsid w:val="007B3EC5"/>
    <w:rsid w:val="007B4E99"/>
    <w:rsid w:val="007D0F19"/>
    <w:rsid w:val="007E4D16"/>
    <w:rsid w:val="007E57D1"/>
    <w:rsid w:val="008020D3"/>
    <w:rsid w:val="008241FD"/>
    <w:rsid w:val="00836ABF"/>
    <w:rsid w:val="00872978"/>
    <w:rsid w:val="0088640D"/>
    <w:rsid w:val="00892D2A"/>
    <w:rsid w:val="00894C41"/>
    <w:rsid w:val="008A1F6E"/>
    <w:rsid w:val="008B0AD8"/>
    <w:rsid w:val="008D080A"/>
    <w:rsid w:val="009016FA"/>
    <w:rsid w:val="0091172F"/>
    <w:rsid w:val="00924FD2"/>
    <w:rsid w:val="00962CFA"/>
    <w:rsid w:val="009A13BC"/>
    <w:rsid w:val="00A03C5A"/>
    <w:rsid w:val="00A11D46"/>
    <w:rsid w:val="00A5157D"/>
    <w:rsid w:val="00AD227F"/>
    <w:rsid w:val="00B24CF2"/>
    <w:rsid w:val="00B31E07"/>
    <w:rsid w:val="00B33B66"/>
    <w:rsid w:val="00B613D2"/>
    <w:rsid w:val="00B7697B"/>
    <w:rsid w:val="00B94342"/>
    <w:rsid w:val="00BA1ABE"/>
    <w:rsid w:val="00BA1E09"/>
    <w:rsid w:val="00BC77B2"/>
    <w:rsid w:val="00BD076A"/>
    <w:rsid w:val="00BF4BBE"/>
    <w:rsid w:val="00C03DBD"/>
    <w:rsid w:val="00C30770"/>
    <w:rsid w:val="00C44047"/>
    <w:rsid w:val="00C62C69"/>
    <w:rsid w:val="00C67CC4"/>
    <w:rsid w:val="00C82A78"/>
    <w:rsid w:val="00C96FAB"/>
    <w:rsid w:val="00CB1E38"/>
    <w:rsid w:val="00CE6CF0"/>
    <w:rsid w:val="00D24AA7"/>
    <w:rsid w:val="00D526D8"/>
    <w:rsid w:val="00D52D07"/>
    <w:rsid w:val="00D57139"/>
    <w:rsid w:val="00DA3BBD"/>
    <w:rsid w:val="00DB45BC"/>
    <w:rsid w:val="00E061A7"/>
    <w:rsid w:val="00E0632F"/>
    <w:rsid w:val="00E348C2"/>
    <w:rsid w:val="00EC3709"/>
    <w:rsid w:val="00ED04A2"/>
    <w:rsid w:val="00ED6FC7"/>
    <w:rsid w:val="00EE442D"/>
    <w:rsid w:val="00EF3BDE"/>
    <w:rsid w:val="00F10B4F"/>
    <w:rsid w:val="00F46DF4"/>
    <w:rsid w:val="00F7075C"/>
    <w:rsid w:val="00FA2238"/>
    <w:rsid w:val="00FA5AAA"/>
    <w:rsid w:val="072D40A3"/>
    <w:rsid w:val="17AA6528"/>
    <w:rsid w:val="18437F9A"/>
    <w:rsid w:val="1EAA7BAA"/>
    <w:rsid w:val="2D1F7614"/>
    <w:rsid w:val="2E3157B0"/>
    <w:rsid w:val="329F48CD"/>
    <w:rsid w:val="331A4C45"/>
    <w:rsid w:val="37A338C5"/>
    <w:rsid w:val="3A721F57"/>
    <w:rsid w:val="3D396C3F"/>
    <w:rsid w:val="609D4258"/>
    <w:rsid w:val="68471CED"/>
    <w:rsid w:val="6C1D7AFF"/>
    <w:rsid w:val="6E590B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semiHidden/>
    <w:qFormat/>
    <w:uiPriority w:val="99"/>
    <w:rPr>
      <w:rFonts w:ascii="Times New Roman" w:hAnsi="Times New Roman" w:cs="Times New Roman"/>
    </w:rPr>
  </w:style>
  <w:style w:type="paragraph" w:styleId="5">
    <w:name w:val="footnote text"/>
    <w:basedOn w:val="1"/>
    <w:link w:val="13"/>
    <w:semiHidden/>
    <w:qFormat/>
    <w:uiPriority w:val="99"/>
    <w:pPr>
      <w:snapToGrid w:val="0"/>
      <w:jc w:val="left"/>
    </w:pPr>
    <w:rPr>
      <w:sz w:val="18"/>
      <w:szCs w:val="18"/>
    </w:rPr>
  </w:style>
  <w:style w:type="paragraph" w:styleId="6">
    <w:name w:val="toc 2"/>
    <w:basedOn w:val="1"/>
    <w:next w:val="1"/>
    <w:semiHidden/>
    <w:qFormat/>
    <w:uiPriority w:val="99"/>
    <w:pPr>
      <w:ind w:left="420" w:leftChars="200"/>
    </w:pPr>
    <w:rPr>
      <w:rFonts w:ascii="Times New Roman" w:hAnsi="Times New Roman" w:cs="Times New Roman"/>
    </w:rPr>
  </w:style>
  <w:style w:type="character" w:styleId="9">
    <w:name w:val="Hyperlink"/>
    <w:qFormat/>
    <w:uiPriority w:val="99"/>
    <w:rPr>
      <w:color w:val="0000FF"/>
      <w:u w:val="single"/>
    </w:rPr>
  </w:style>
  <w:style w:type="character" w:styleId="10">
    <w:name w:val="footnote reference"/>
    <w:semiHidden/>
    <w:qFormat/>
    <w:uiPriority w:val="99"/>
    <w:rPr>
      <w:vertAlign w:val="superscript"/>
    </w:rPr>
  </w:style>
  <w:style w:type="character" w:customStyle="1" w:styleId="11">
    <w:name w:val="页脚 字符"/>
    <w:link w:val="2"/>
    <w:semiHidden/>
    <w:locked/>
    <w:uiPriority w:val="99"/>
    <w:rPr>
      <w:rFonts w:ascii="Times New Roman" w:hAnsi="Times New Roman" w:eastAsia="宋体" w:cs="Times New Roman"/>
      <w:sz w:val="18"/>
      <w:szCs w:val="18"/>
    </w:rPr>
  </w:style>
  <w:style w:type="character" w:customStyle="1" w:styleId="12">
    <w:name w:val="页眉 字符"/>
    <w:link w:val="3"/>
    <w:semiHidden/>
    <w:qFormat/>
    <w:locked/>
    <w:uiPriority w:val="99"/>
    <w:rPr>
      <w:rFonts w:ascii="Times New Roman" w:hAnsi="Times New Roman" w:eastAsia="宋体" w:cs="Times New Roman"/>
      <w:sz w:val="18"/>
      <w:szCs w:val="18"/>
    </w:rPr>
  </w:style>
  <w:style w:type="character" w:customStyle="1" w:styleId="13">
    <w:name w:val="脚注文本 字符"/>
    <w:link w:val="5"/>
    <w:semiHidden/>
    <w:locked/>
    <w:uiPriority w:val="99"/>
    <w:rPr>
      <w:rFonts w:ascii="Calibri" w:hAnsi="Calibri" w:cs="Calibri"/>
      <w:sz w:val="18"/>
      <w:szCs w:val="18"/>
    </w:rPr>
  </w:style>
  <w:style w:type="paragraph" w:customStyle="1" w:styleId="14">
    <w:name w:val="Char"/>
    <w:basedOn w:val="1"/>
    <w:uiPriority w:val="99"/>
    <w:rPr>
      <w:rFonts w:ascii="Times New Roman" w:hAnsi="Times New Roman" w:cs="Times New Roman"/>
    </w:rPr>
  </w:style>
  <w:style w:type="character" w:customStyle="1" w:styleId="15">
    <w:name w:val="页码1"/>
    <w:uiPriority w:val="99"/>
  </w:style>
  <w:style w:type="paragraph" w:customStyle="1" w:styleId="16">
    <w:name w:val="[Normal]"/>
    <w:qFormat/>
    <w:uiPriority w:val="6"/>
    <w:rPr>
      <w:rFonts w:ascii="宋体" w:hAnsi="宋体" w:eastAsia="宋体" w:cs="Times New Roman"/>
      <w:sz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197F7-FF2E-46E5-AE1D-E387B360C4B0}">
  <ds:schemaRefs/>
</ds:datastoreItem>
</file>

<file path=docProps/app.xml><?xml version="1.0" encoding="utf-8"?>
<Properties xmlns="http://schemas.openxmlformats.org/officeDocument/2006/extended-properties" xmlns:vt="http://schemas.openxmlformats.org/officeDocument/2006/docPropsVTypes">
  <Template>Normal</Template>
  <Pages>24</Pages>
  <Words>7418</Words>
  <Characters>7754</Characters>
  <Lines>92</Lines>
  <Paragraphs>26</Paragraphs>
  <TotalTime>0</TotalTime>
  <ScaleCrop>false</ScaleCrop>
  <LinksUpToDate>false</LinksUpToDate>
  <CharactersWithSpaces>7775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2021-05-08T09:36:00Z</dcterms:created>
  <dc:creator>guest</dc:creator>
  <cp:lastModifiedBy>Sally</cp:lastModifiedBy>
  <cp:lastPrinted>2019-03-05T07:56:00Z</cp:lastPrinted>
  <dcterms:modified xsi:type="dcterms:W3CDTF">2024-05-28T03:13:04Z</dcterms:modified>
  <dc:title>o</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7291A58364B7465AB81027920A5D3EF6</vt:lpwstr>
  </property>
</Properties>
</file>