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cs="Times New Roman" w:asciiTheme="majorEastAsia" w:hAnsiTheme="majorEastAsia" w:eastAsiaTheme="majorEastAsia"/>
          <w:b/>
          <w:bCs/>
          <w:sz w:val="44"/>
          <w:szCs w:val="44"/>
        </w:rPr>
      </w:pPr>
      <w:r>
        <w:rPr>
          <w:rFonts w:hint="eastAsia" w:cs="Times New Roman" w:asciiTheme="majorEastAsia" w:hAnsiTheme="majorEastAsia" w:eastAsiaTheme="majorEastAsia"/>
          <w:b/>
          <w:bCs/>
          <w:sz w:val="44"/>
          <w:szCs w:val="44"/>
        </w:rPr>
        <w:t>中共馆陶县委网络安全和信息化委员会办公室</w:t>
      </w:r>
    </w:p>
    <w:p>
      <w:pPr>
        <w:adjustRightInd w:val="0"/>
        <w:snapToGrid w:val="0"/>
        <w:jc w:val="center"/>
        <w:rPr>
          <w:rFonts w:cs="Times New Roman" w:asciiTheme="majorEastAsia" w:hAnsiTheme="majorEastAsia" w:eastAsiaTheme="majorEastAsia"/>
          <w:b/>
          <w:bCs/>
          <w:sz w:val="44"/>
          <w:szCs w:val="44"/>
        </w:rPr>
      </w:pPr>
      <w:r>
        <w:rPr>
          <w:rFonts w:cs="Times New Roman" w:asciiTheme="majorEastAsia" w:hAnsiTheme="majorEastAsia" w:eastAsiaTheme="majorEastAsia"/>
          <w:b/>
          <w:bCs/>
          <w:sz w:val="44"/>
          <w:szCs w:val="44"/>
        </w:rPr>
        <w:t>2020</w:t>
      </w:r>
      <w:r>
        <w:rPr>
          <w:rFonts w:hint="eastAsia" w:cs="Times New Roman" w:asciiTheme="majorEastAsia" w:hAnsiTheme="majorEastAsia" w:eastAsiaTheme="majorEastAsia"/>
          <w:b/>
          <w:bCs/>
          <w:sz w:val="44"/>
          <w:szCs w:val="44"/>
        </w:rPr>
        <w:t>年部门预算信息公开情况说明</w:t>
      </w:r>
    </w:p>
    <w:p>
      <w:pPr>
        <w:ind w:firstLine="640"/>
        <w:rPr>
          <w:rFonts w:cs="Times New Roman" w:asciiTheme="majorEastAsia" w:hAnsiTheme="majorEastAsia" w:eastAsiaTheme="majorEastAsia"/>
          <w:b/>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bookmarkStart w:id="5" w:name="_GoBack"/>
      <w:bookmarkEnd w:id="5"/>
      <w:r>
        <w:rPr>
          <w:rFonts w:hint="eastAsia" w:ascii="Times New Roman" w:hAnsi="Times New Roman" w:eastAsia="仿宋" w:cs="Times New Roman"/>
          <w:sz w:val="32"/>
          <w:szCs w:val="32"/>
        </w:rPr>
        <w:t>预算法》、《地方预决算公开操作规程》和《河北省省级预算公开办法》规定，现将中共馆陶县委网络安全和信息化委员会办公室</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研究起草我县网络安全和信息化发展战略宏观规划。统筹推进我县网络安全和信息化法治、标准建设，根据职责权限负责相关法规、规章等的实施和监督检查，根据职责权限推动落实网络安全和信息化领域国家标准并监督实施；依法完善与信息化相关的统计调査制度。</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（四）督促落实我县涉及政治、经济、文化、社会、生态及军事等各个领域网络安全和信息化重大事项；负责协调处理网络安全和信息化重大突发事件与有关应急工作。</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（六）负责指导协调全县网络舆情工作。收集、分析研判、报送和处置网络與情信息.</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（七）推动全县网络阵地建设和重点新闻网站规划建设</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指导协调网络游戏、网络视听、网络出版等相关业务，推动移动互联网发展，会同有关部门推动传统媒体与新兴媒体融合发展：负责全县网站转载新闻稿源的管理。</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（八）推动全县网络社会工作和网络文化、网络文明建设；发展、联系、服务网络社会组织，指导互联网行业自律推进网站党建工作。</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落实互联网信息网络行业安全审查的有关政策。依法负责全县网络新闻业务和新闻與论及社会动员功能业务的审核及日常监管：指导全县有关部门督促电信运营企业接入服务企业等做好基础管理工作；统筹协调全县移动互联网管理。</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（十）协调推进全县信息网络行业自主创新和发展，统筹协调全县重要信息资源的开发利用与共享。协调金融监管部门建立全县网络金融信息发布、传播监管制度及工作机制。</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组织拟订网络安全和信息化干部人才队伍发展规划，组织开展网信系统干部教育培训和人才队伍建设，规划指导全县互联网新闻信息服务从业人员教育培训和考评工作，组织开展网络媒介素养教育。组织开展相关领域的交流与合作。</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（十二）指导、检査、推动各镇和有关部门网络安全和信息化工作。</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（十三）完成上级网信部门和县委、县政府及县委网络安全和信息化委员会、县委宣传部交办的其他任务。</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8"/>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中共馆陶县委网络安全和信息化委员会办公室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按照预算管理有关规定，目前我省部门预算的编制实行综合预算管理，即全部收入和支出都反映的预算中。中共馆陶县委网络安全和信息化委员会办公室及所属事业单位的收支包含在部门预算中。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仿宋" w:hAnsi="仿宋" w:eastAsia="仿宋" w:cs="仿宋"/>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年预算收入95.94万元，其中：</w:t>
      </w:r>
      <w:r>
        <w:rPr>
          <w:rFonts w:hint="eastAsia" w:ascii="仿宋" w:hAnsi="仿宋" w:eastAsia="仿宋" w:cs="仿宋"/>
          <w:sz w:val="32"/>
          <w:szCs w:val="32"/>
        </w:rPr>
        <w:t>其中：一般公共预算收入</w:t>
      </w:r>
      <w:r>
        <w:rPr>
          <w:rFonts w:hint="eastAsia" w:ascii="Times New Roman" w:hAnsi="Times New Roman" w:eastAsia="仿宋" w:cs="Times New Roman"/>
          <w:sz w:val="32"/>
          <w:szCs w:val="32"/>
        </w:rPr>
        <w:t>95.94</w:t>
      </w:r>
      <w:r>
        <w:rPr>
          <w:rFonts w:hint="eastAsia" w:ascii="仿宋" w:hAnsi="仿宋" w:eastAsia="仿宋" w:cs="仿宋"/>
          <w:sz w:val="32"/>
          <w:szCs w:val="32"/>
        </w:rPr>
        <w:t>万元，基金预算收入</w:t>
      </w:r>
      <w:r>
        <w:rPr>
          <w:rFonts w:ascii="仿宋" w:hAnsi="仿宋" w:eastAsia="仿宋" w:cs="仿宋"/>
          <w:sz w:val="32"/>
          <w:szCs w:val="32"/>
        </w:rPr>
        <w:t>0</w:t>
      </w:r>
      <w:r>
        <w:rPr>
          <w:rFonts w:hint="eastAsia" w:ascii="仿宋" w:hAnsi="仿宋" w:eastAsia="仿宋" w:cs="仿宋"/>
          <w:sz w:val="32"/>
          <w:szCs w:val="32"/>
        </w:rPr>
        <w:t>万元，财政专户核拨收入0万元，其他来源收入0万元。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收支预算总表支出栏、基本支出表、项目支出表按经济分类和支出功能分类科目编制，反映中共馆陶县委网络安全和信息化委员会办公室年度部门预算中支出预算的总体情况。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年部门支出预算为95.94万元，其中基本支出49.1万元，包括人员经费45.1万元、日常公用经费3万元、公务交通补贴1万元；项目支出46.84万元；其他支出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hint="eastAsia" w:ascii="Times New Roman" w:hAnsi="Times New Roman" w:eastAsia="仿宋" w:cs="Times New Roman"/>
          <w:sz w:val="32"/>
          <w:szCs w:val="32"/>
        </w:rPr>
        <w:t>95.94</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年增减情况（我部门是</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年机构改革新成立单位，无上年数据，不需要对比）。</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年，我部门机关运行经费共计安排3万元，主要用于保证机关正常运转的办公及印刷费、邮电费、差旅费、会议费、专用材料及一般设备购置费、日常维修费等支出。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万元。“三公”经费与上年相比（我部门是</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年机构改革新成立单位，无上年数据，不需要对比）。</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1"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第一部分部门整体绩效目标</w:t>
      </w:r>
    </w:p>
    <w:p>
      <w:pPr>
        <w:autoSpaceDE w:val="0"/>
        <w:autoSpaceDN w:val="0"/>
        <w:adjustRightInd w:val="0"/>
        <w:ind w:left="198" w:firstLine="641"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p>
    <w:p>
      <w:pPr>
        <w:autoSpaceDE w:val="0"/>
        <w:autoSpaceDN w:val="0"/>
        <w:adjustRightInd w:val="0"/>
        <w:ind w:left="198" w:firstLine="640" w:firstLineChars="200"/>
        <w:jc w:val="left"/>
        <w:rPr>
          <w:rFonts w:ascii="仿宋_GB2312" w:hAnsi="黑体" w:eastAsia="仿宋_GB2312"/>
          <w:sz w:val="32"/>
          <w:szCs w:val="32"/>
        </w:rPr>
      </w:pPr>
      <w:r>
        <w:rPr>
          <w:rFonts w:hint="eastAsia" w:ascii="仿宋_GB2312" w:hAnsi="Times New Roman" w:eastAsia="仿宋_GB2312" w:cs="Times New Roman"/>
          <w:sz w:val="32"/>
          <w:szCs w:val="32"/>
        </w:rPr>
        <w:t>以习近平新时代中国特色社会主义思想特别是习近平总书记关于网络强国的重要思想为指导，深入贯彻落实中央网信委有关会议精神、省委网信委有关会议精神，充分发挥网信系统互联网主战场、主阵地作用，加强正面宣传引导，加强权威信息网上发布，加强热点敏感舆情调控和负面有害信息管控，有效引导网络舆情走向，</w:t>
      </w:r>
      <w:r>
        <w:rPr>
          <w:rFonts w:hint="eastAsia" w:ascii="仿宋_GB2312" w:hAnsi="黑体" w:eastAsia="仿宋_GB2312"/>
          <w:sz w:val="32"/>
          <w:szCs w:val="32"/>
        </w:rPr>
        <w:t>为建设宜居宜业宜游的生态旅游健康强县营造更加风清气正的网络环境！</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1"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一、坚持正确政治方向，牢牢把握网络意识形态主动权</w:t>
      </w:r>
    </w:p>
    <w:p>
      <w:pPr>
        <w:spacing w:line="600" w:lineRule="exact"/>
        <w:ind w:firstLine="640" w:firstLineChars="200"/>
        <w:rPr>
          <w:rFonts w:ascii="仿宋_GB2312" w:hAnsi="Arial" w:eastAsia="仿宋_GB2312" w:cs="Arial"/>
          <w:color w:val="191919"/>
          <w:sz w:val="32"/>
          <w:szCs w:val="32"/>
        </w:rPr>
      </w:pPr>
      <w:r>
        <w:rPr>
          <w:rFonts w:hint="eastAsia" w:ascii="楷体_GB2312" w:hAnsi="黑体" w:eastAsia="楷体_GB2312"/>
          <w:sz w:val="32"/>
          <w:szCs w:val="32"/>
        </w:rPr>
        <w:t>一是坚决维护党对网信工作的领导权。</w:t>
      </w:r>
      <w:r>
        <w:rPr>
          <w:rFonts w:hint="eastAsia" w:ascii="仿宋_GB2312" w:hAnsi="仿宋" w:eastAsia="仿宋_GB2312"/>
          <w:spacing w:val="8"/>
          <w:sz w:val="32"/>
          <w:szCs w:val="32"/>
        </w:rPr>
        <w:t>政治立场站稳了，方向明确了，才能稳步推进全县网信工作顺利开展。坚持把党管媒体、党领导网信工作的原则贯彻到网信工作各环节、各领域。</w:t>
      </w:r>
      <w:r>
        <w:rPr>
          <w:rFonts w:hint="eastAsia" w:ascii="楷体_GB2312" w:hAnsi="黑体" w:eastAsia="楷体_GB2312"/>
          <w:sz w:val="32"/>
          <w:szCs w:val="32"/>
        </w:rPr>
        <w:t>二是进一步明确网络意识形态主体责任。</w:t>
      </w:r>
      <w:r>
        <w:rPr>
          <w:rFonts w:hint="eastAsia" w:ascii="仿宋_GB2312" w:hAnsi="仿宋" w:eastAsia="仿宋_GB2312"/>
          <w:spacing w:val="8"/>
          <w:sz w:val="32"/>
          <w:szCs w:val="32"/>
        </w:rPr>
        <w:t>坚决贯彻落实《馆陶县党委（党组）网络意识形态工作责任制实施方案》，</w:t>
      </w:r>
      <w:r>
        <w:rPr>
          <w:rFonts w:hint="eastAsia" w:ascii="仿宋_GB2312" w:hAnsi="Arial" w:eastAsia="仿宋_GB2312" w:cs="Arial"/>
          <w:color w:val="191919"/>
          <w:sz w:val="32"/>
          <w:szCs w:val="32"/>
        </w:rPr>
        <w:t>将网络意识形态责任制落实情况纳入各单位年底考核总评。牢固树立各部门党委（党组）书记是网络安全第一责任人的意识，做到守土有责、守土尽责。</w:t>
      </w:r>
      <w:r>
        <w:rPr>
          <w:rFonts w:hint="eastAsia" w:ascii="楷体_GB2312" w:hAnsi="Arial" w:eastAsia="楷体_GB2312" w:cs="Arial"/>
          <w:color w:val="191919"/>
          <w:sz w:val="32"/>
          <w:szCs w:val="32"/>
        </w:rPr>
        <w:t>三是加强网信队伍建设。</w:t>
      </w:r>
      <w:r>
        <w:rPr>
          <w:rFonts w:hint="eastAsia" w:ascii="仿宋_GB2312" w:hAnsi="Arial" w:eastAsia="仿宋_GB2312" w:cs="Arial"/>
          <w:color w:val="191919"/>
          <w:sz w:val="32"/>
          <w:szCs w:val="32"/>
        </w:rPr>
        <w:t>按照省市要求，优化网络文明志愿者队伍，志愿者队伍以80后、90后青年干部为主体。</w:t>
      </w:r>
    </w:p>
    <w:p>
      <w:pPr>
        <w:spacing w:line="600" w:lineRule="exact"/>
        <w:ind w:firstLine="640" w:firstLineChars="200"/>
        <w:rPr>
          <w:rFonts w:ascii="黑体" w:hAnsi="黑体" w:eastAsia="黑体" w:cs="Times New Roman"/>
          <w:sz w:val="32"/>
          <w:szCs w:val="32"/>
        </w:rPr>
      </w:pPr>
      <w:r>
        <w:rPr>
          <w:rFonts w:hint="eastAsia" w:ascii="黑体" w:hAnsi="黑体" w:eastAsia="黑体" w:cs="Arial"/>
          <w:color w:val="191919"/>
          <w:sz w:val="32"/>
          <w:szCs w:val="32"/>
        </w:rPr>
        <w:t>二、加强互联网内容建设，构建清朗的网络空间</w:t>
      </w:r>
    </w:p>
    <w:p>
      <w:pPr>
        <w:spacing w:line="480" w:lineRule="auto"/>
        <w:ind w:firstLine="640" w:firstLineChars="200"/>
        <w:outlineLvl w:val="0"/>
        <w:rPr>
          <w:rFonts w:ascii="仿宋_GB2312" w:eastAsia="仿宋_GB2312" w:cs="Times New Roman"/>
          <w:sz w:val="32"/>
          <w:szCs w:val="32"/>
        </w:rPr>
      </w:pPr>
      <w:r>
        <w:rPr>
          <w:rFonts w:hint="eastAsia" w:ascii="楷体_GB2312" w:hAnsi="黑体" w:eastAsia="楷体_GB2312"/>
          <w:sz w:val="32"/>
          <w:szCs w:val="32"/>
        </w:rPr>
        <w:t>一是弘扬正能量，提升正面宣传引导力。</w:t>
      </w:r>
      <w:r>
        <w:rPr>
          <w:rFonts w:hint="eastAsia" w:ascii="仿宋_GB2312" w:hAnsi="仿宋" w:eastAsia="仿宋_GB2312"/>
          <w:sz w:val="32"/>
          <w:szCs w:val="32"/>
        </w:rPr>
        <w:t>积极唱响网上正能量，巩固壮大主流思想舆论，持续将馆陶好声音推向省市高层。</w:t>
      </w:r>
      <w:r>
        <w:rPr>
          <w:rFonts w:hint="eastAsia" w:ascii="楷体_GB2312" w:eastAsia="楷体_GB2312"/>
          <w:sz w:val="32"/>
          <w:szCs w:val="32"/>
        </w:rPr>
        <w:t>二是唱响主旋律，提升干群关系亲和力。</w:t>
      </w:r>
      <w:r>
        <w:rPr>
          <w:rFonts w:hint="eastAsia" w:ascii="仿宋_GB2312" w:eastAsia="仿宋_GB2312"/>
          <w:sz w:val="32"/>
          <w:szCs w:val="32"/>
        </w:rPr>
        <w:t>充分利用【同心圆】三级微信矩阵工作群，将党和政府的声音层层传递到基层千家万户。</w:t>
      </w:r>
      <w:r>
        <w:rPr>
          <w:rFonts w:hint="eastAsia" w:ascii="楷体_GB2312" w:hAnsi="Arial" w:eastAsia="楷体_GB2312" w:cs="Arial"/>
          <w:color w:val="191919"/>
          <w:kern w:val="0"/>
          <w:sz w:val="32"/>
          <w:szCs w:val="32"/>
        </w:rPr>
        <w:t>三是加强管理，配强舆情监测处置力。</w:t>
      </w:r>
      <w:r>
        <w:rPr>
          <w:rFonts w:hint="eastAsia" w:ascii="仿宋_GB2312" w:hAnsi="仿宋" w:eastAsia="仿宋_GB2312"/>
          <w:sz w:val="32"/>
          <w:szCs w:val="32"/>
        </w:rPr>
        <w:t>坚持24小时网络舆情监测，按照“属地管理、谁主管谁负责”的原则，对网民反映问题、表达诉求，认真核查、及时交办、妥善处置，防止事态发酵，恶意炒作，造成极大不良影响。</w:t>
      </w:r>
      <w:r>
        <w:rPr>
          <w:rFonts w:hint="eastAsia" w:ascii="仿宋_GB2312" w:eastAsia="仿宋_GB2312"/>
          <w:sz w:val="32"/>
          <w:szCs w:val="32"/>
        </w:rPr>
        <w:t>安排部署全县“净网行动”，全面开展网上各类违法违规有害信息清理整治活动。</w:t>
      </w:r>
    </w:p>
    <w:p>
      <w:pPr>
        <w:spacing w:line="480" w:lineRule="auto"/>
        <w:ind w:firstLine="640" w:firstLineChars="200"/>
        <w:outlineLvl w:val="0"/>
        <w:rPr>
          <w:rFonts w:ascii="黑体" w:hAnsi="黑体" w:eastAsia="黑体"/>
          <w:sz w:val="32"/>
          <w:szCs w:val="32"/>
        </w:rPr>
      </w:pPr>
      <w:r>
        <w:rPr>
          <w:rFonts w:hint="eastAsia" w:ascii="黑体" w:hAnsi="黑体" w:eastAsia="黑体"/>
          <w:sz w:val="32"/>
          <w:szCs w:val="32"/>
        </w:rPr>
        <w:t>三、推进网络安全管理，提高防范化解风险能力</w:t>
      </w:r>
    </w:p>
    <w:p>
      <w:pPr>
        <w:spacing w:line="600" w:lineRule="exact"/>
        <w:ind w:firstLine="640" w:firstLineChars="200"/>
        <w:rPr>
          <w:rFonts w:ascii="仿宋_GB2312" w:hAnsi="仿宋" w:eastAsia="仿宋_GB2312"/>
          <w:sz w:val="32"/>
          <w:szCs w:val="32"/>
        </w:rPr>
      </w:pPr>
      <w:r>
        <w:rPr>
          <w:rFonts w:hint="eastAsia" w:ascii="楷体_GB2312" w:hAnsi="黑体" w:eastAsia="楷体_GB2312"/>
          <w:sz w:val="32"/>
          <w:szCs w:val="32"/>
        </w:rPr>
        <w:t>一是加强网络安全宣传。组织</w:t>
      </w:r>
      <w:r>
        <w:rPr>
          <w:rFonts w:hint="eastAsia" w:ascii="仿宋_GB2312" w:eastAsia="仿宋_GB2312"/>
          <w:sz w:val="32"/>
          <w:szCs w:val="32"/>
        </w:rPr>
        <w:t>开展全民国家教育网络安全教育宣传活动，联合县公安局、教育体育局等单位开展“网络安全周”主题宣传活动。</w:t>
      </w:r>
      <w:r>
        <w:rPr>
          <w:rFonts w:hint="eastAsia" w:ascii="楷体_GB2312" w:hAnsi="黑体" w:eastAsia="楷体_GB2312"/>
          <w:sz w:val="32"/>
          <w:szCs w:val="32"/>
        </w:rPr>
        <w:t>二是加强网络安全管理。</w:t>
      </w:r>
      <w:r>
        <w:rPr>
          <w:rFonts w:hint="eastAsia" w:ascii="仿宋_GB2312" w:eastAsia="仿宋_GB2312"/>
          <w:sz w:val="32"/>
          <w:szCs w:val="32"/>
        </w:rPr>
        <w:t>对属地网络账号逐一排查，严格备案，对全县机关、企业、事业网站进行排查，对问题网站、违规网站下发整改通知，要求限期整改，对全县涉民生部门关键信息基础设施进行安全排查，对全县公共区域LED大屏进行备案。</w:t>
      </w:r>
      <w:r>
        <w:rPr>
          <w:rFonts w:hint="eastAsia" w:ascii="楷体_GB2312" w:hAnsi="黑体" w:eastAsia="楷体_GB2312"/>
          <w:sz w:val="32"/>
          <w:szCs w:val="32"/>
        </w:rPr>
        <w:t>三是加强互联网法律法规解读。</w:t>
      </w:r>
      <w:r>
        <w:rPr>
          <w:rFonts w:hint="eastAsia" w:ascii="仿宋_GB2312" w:hAnsi="仿宋" w:eastAsia="仿宋_GB2312"/>
          <w:sz w:val="32"/>
          <w:szCs w:val="32"/>
        </w:rPr>
        <w:t>积极开展“网信普法进网站”活动，</w:t>
      </w:r>
      <w:r>
        <w:rPr>
          <w:rFonts w:hint="eastAsia" w:ascii="仿宋_GB2312" w:eastAsia="仿宋_GB2312"/>
          <w:sz w:val="32"/>
          <w:szCs w:val="32"/>
        </w:rPr>
        <w:t>在“网信馆陶”公众号、澎湃问政、抖音设立网络安全法专栏，深入宣传网信领域重点法律法规。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四、科学谋划，推进网信工作再上新台阶</w:t>
      </w:r>
    </w:p>
    <w:p>
      <w:pPr>
        <w:spacing w:line="600" w:lineRule="exact"/>
        <w:ind w:firstLine="640" w:firstLineChars="200"/>
        <w:rPr>
          <w:rFonts w:ascii="仿宋_GB2312" w:hAnsi="黑体" w:eastAsia="仿宋_GB2312"/>
          <w:sz w:val="32"/>
          <w:szCs w:val="32"/>
        </w:rPr>
      </w:pPr>
      <w:r>
        <w:rPr>
          <w:rFonts w:hint="eastAsia" w:ascii="楷体_GB2312" w:hAnsi="黑体" w:eastAsia="楷体_GB2312"/>
          <w:sz w:val="32"/>
          <w:szCs w:val="32"/>
        </w:rPr>
        <w:t>一是建立完善网信工作统一战线。</w:t>
      </w:r>
      <w:r>
        <w:rPr>
          <w:rFonts w:hint="eastAsia" w:ascii="仿宋_GB2312" w:hAnsi="黑体" w:eastAsia="仿宋_GB2312"/>
          <w:sz w:val="32"/>
          <w:szCs w:val="32"/>
        </w:rPr>
        <w:t>完善配强各部门网信工作力量。明确主管领导、直接负责人，一杆到底负责本部门网信工作，形成网信工作齐抓共管工作新格局。</w:t>
      </w:r>
      <w:r>
        <w:rPr>
          <w:rFonts w:hint="eastAsia" w:ascii="楷体_GB2312" w:hAnsi="黑体" w:eastAsia="楷体_GB2312"/>
          <w:sz w:val="32"/>
          <w:szCs w:val="32"/>
        </w:rPr>
        <w:t>二是逐步完善网信工作机制。</w:t>
      </w:r>
      <w:r>
        <w:rPr>
          <w:rFonts w:hint="eastAsia" w:ascii="仿宋_GB2312" w:hAnsi="黑体" w:eastAsia="仿宋_GB2312"/>
          <w:sz w:val="32"/>
          <w:szCs w:val="32"/>
        </w:rPr>
        <w:t>强化网络安全和信息化领导委员会职能，充分发挥各成员单位统筹协调联动作用，建立健全网络舆情工作预警、研判、会商、发布联动机制，有效开展网络舆情处置工作，营造良好的网络舆论环境。</w:t>
      </w:r>
      <w:r>
        <w:rPr>
          <w:rFonts w:hint="eastAsia" w:ascii="楷体_GB2312" w:hAnsi="黑体" w:eastAsia="楷体_GB2312"/>
          <w:sz w:val="32"/>
          <w:szCs w:val="32"/>
        </w:rPr>
        <w:t>四是构建核心网评员队伍。</w:t>
      </w:r>
      <w:r>
        <w:rPr>
          <w:rFonts w:hint="eastAsia" w:ascii="仿宋_GB2312" w:hAnsi="黑体" w:eastAsia="仿宋_GB2312"/>
          <w:sz w:val="32"/>
          <w:szCs w:val="32"/>
        </w:rPr>
        <w:t>努力推进全县网信人才库建设，着力打造一支讲政治、懂网络、敢担当、善创新的网信工作队伍，尤其要组</w:t>
      </w:r>
      <w:r>
        <w:rPr>
          <w:rFonts w:hint="eastAsia" w:ascii="仿宋_GB2312" w:hAnsi="Arial" w:eastAsia="仿宋_GB2312" w:cs="Arial"/>
          <w:color w:val="191919"/>
          <w:sz w:val="32"/>
          <w:szCs w:val="32"/>
        </w:rPr>
        <w:t>建涵盖重点涉民生部门青年“核心网评员”队伍，定期进行业务知识培训和实战演练，提升网信队伍整体素质，</w:t>
      </w:r>
      <w:r>
        <w:rPr>
          <w:rFonts w:hint="eastAsia" w:ascii="仿宋_GB2312" w:hAnsi="黑体" w:eastAsia="仿宋_GB2312"/>
          <w:sz w:val="32"/>
          <w:szCs w:val="32"/>
        </w:rPr>
        <w:t>为营造风清气正的网络环境提供人才保障和技术支持，为建设宜居宜业宜游的生态旅游健康强县营造更加风清气正的网络环境！</w:t>
      </w:r>
    </w:p>
    <w:p>
      <w:pPr>
        <w:autoSpaceDE w:val="0"/>
        <w:autoSpaceDN w:val="0"/>
        <w:adjustRightInd w:val="0"/>
        <w:ind w:left="198" w:firstLine="641"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1、完善制度建设。根据工作实际，制定、完善或加强执行本部门的财务管理制度，为全年预算绩效目标的实现奠定制度基础。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2、加强预算绩效管理。年初统筹规划，编实编细项目预算。开展绩效运行监控，加强对重点、难点绩效指标的运行监控，及时梳理分析执行中问题，及时采取措施，保障绩效目标如期顺利完成。</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加强内部管理和监督。对照省市县财政部门最新政策要求，及时完善本部门的财务管理制度。按照制度要求，严格预算资金安排和支出审批程序，加强固定资产登记、使用和报废处置管理。配合做好审计、财政监督等外部监督工作，保障财政资金安全有效。</w:t>
      </w:r>
    </w:p>
    <w:p>
      <w:pPr>
        <w:autoSpaceDE w:val="0"/>
        <w:autoSpaceDN w:val="0"/>
        <w:adjustRightInd w:val="0"/>
        <w:ind w:left="198" w:firstLine="641"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第二部分预算项目绩效目标</w:t>
      </w:r>
    </w:p>
    <w:p>
      <w:pPr>
        <w:spacing w:line="300" w:lineRule="exact"/>
        <w:ind w:firstLine="561" w:firstLineChars="200"/>
        <w:jc w:val="left"/>
        <w:rPr>
          <w:rFonts w:ascii="方正仿宋_GBK" w:eastAsia="方正仿宋_GBK"/>
          <w:b/>
          <w:sz w:val="28"/>
        </w:rPr>
      </w:pPr>
      <w:r>
        <w:rPr>
          <w:rFonts w:ascii="方正仿宋_GBK" w:eastAsia="方正仿宋_GBK"/>
          <w:b/>
          <w:sz w:val="28"/>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hint="eastAsia" w:ascii="方正书宋_GBK" w:eastAsia="方正书宋_GBK" w:cs="方正书宋_GBK"/>
                <w:b/>
                <w:bCs/>
              </w:rPr>
              <w:t>网络安全主题宣传资金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根据中央省市相关文件精神，各级网信部门要在“国家网络安全宣传周”、“全民国家安全教育日”等时间节点开展网络安全宣传系列活动</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 xml:space="preserve"> </w:t>
            </w:r>
            <w:r>
              <w:rPr>
                <w:rFonts w:hint="eastAsia" w:ascii="方正书宋_GBK" w:eastAsia="方正书宋_GBK"/>
              </w:rPr>
              <w:t>3</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打造互联网传播精品个数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打造互联网传播精品数量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国家网络安全宣传周活动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开展国家网络安全宣传周活动次数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通过网络安全宣传产生的影响力，得到广大群众的充分认可。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vAlign w:val="center"/>
          </w:tcPr>
          <w:p>
            <w:pPr>
              <w:spacing w:line="300" w:lineRule="exact"/>
              <w:jc w:val="left"/>
              <w:rPr>
                <w:rFonts w:ascii="方正书宋_GBK" w:eastAsia="方正书宋_GBK"/>
              </w:rPr>
            </w:pPr>
            <w:r>
              <w:t>实际工作</w:t>
            </w:r>
          </w:p>
        </w:tc>
      </w:tr>
    </w:tbl>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hint="eastAsia" w:ascii="方正书宋_GBK" w:eastAsia="方正书宋_GBK" w:cs="方正书宋_GBK"/>
                <w:b/>
                <w:bCs/>
              </w:rPr>
              <w:t>互联网信息管理资金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、完善互联网管理领导体制，加强网上舆论引导</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、营造良好网络舆论氛围，发展健康向上网络文化</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开展宣传方式的品种或数量（次或种）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反映开展对外宣传形式的多样性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 2次</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涉馆舆情监测覆盖率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监测到涉馆舆情监测数量占总数量的比例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互联网重大突发事件应急处置率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处置互联网重大突发事件数量占互联网重大突发事件数量的比例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突发事件新闻处置完成率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处置完成突发事件新闻数量占突发事件新闻数量的比例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网络安全宣传次数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全年网络安全宣传的次数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全年网络意识形态领域不出重大问题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全年网络意识形态领域出现重大问题次数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≤0</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网民满意度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网络辟谣满意度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tcPr>
          <w:p>
            <w:r>
              <w:t>实际工作</w:t>
            </w:r>
          </w:p>
        </w:tc>
      </w:tr>
    </w:tbl>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hint="eastAsia" w:ascii="方正书宋_GBK" w:eastAsia="方正书宋_GBK" w:cs="方正书宋_GBK"/>
                <w:b/>
                <w:bCs/>
              </w:rPr>
              <w:t>微信矩阵运营及维护资金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组建全省宣传系统微信矩阵</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微博微信粉丝数增长量（%）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官方微博微信粉丝较上年增长的比例</w:t>
            </w:r>
          </w:p>
        </w:tc>
        <w:tc>
          <w:tcPr>
            <w:tcW w:w="1276" w:type="dxa"/>
            <w:vAlign w:val="center"/>
          </w:tcPr>
          <w:p>
            <w:pPr>
              <w:spacing w:line="300" w:lineRule="exact"/>
              <w:jc w:val="left"/>
              <w:rPr>
                <w:rFonts w:ascii="方正书宋_GBK" w:eastAsia="方正书宋_GBK"/>
              </w:rPr>
            </w:pPr>
            <w:r>
              <w:rPr>
                <w:rFonts w:ascii="方正书宋_GBK" w:eastAsia="方正书宋_GBK"/>
              </w:rPr>
              <w:t>&gt;=30％</w:t>
            </w:r>
          </w:p>
        </w:tc>
        <w:tc>
          <w:tcPr>
            <w:tcW w:w="1701" w:type="dxa"/>
            <w:vAlign w:val="center"/>
          </w:tcPr>
          <w:p>
            <w:pPr>
              <w:spacing w:line="300" w:lineRule="exact"/>
              <w:jc w:val="left"/>
              <w:rPr>
                <w:rFonts w:ascii="方正书宋_GBK" w:eastAsia="方正书宋_GBK"/>
              </w:rPr>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举办重大主题网上宣传活动个数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举办重大主题网上宣传活动个数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≥5个</w:t>
            </w:r>
          </w:p>
        </w:tc>
        <w:tc>
          <w:tcPr>
            <w:tcW w:w="1701" w:type="dxa"/>
            <w:vAlign w:val="center"/>
          </w:tcPr>
          <w:p>
            <w:pPr>
              <w:spacing w:line="300" w:lineRule="exact"/>
              <w:jc w:val="left"/>
              <w:rPr>
                <w:rFonts w:ascii="方正书宋_GBK" w:eastAsia="方正书宋_GBK"/>
              </w:rPr>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重大网上宣传活动点击量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每年重大主题网上宣传活动的点击数量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≥10万次</w:t>
            </w:r>
          </w:p>
        </w:tc>
        <w:tc>
          <w:tcPr>
            <w:tcW w:w="1701" w:type="dxa"/>
            <w:vAlign w:val="center"/>
          </w:tcPr>
          <w:p>
            <w:pPr>
              <w:spacing w:line="300" w:lineRule="exact"/>
              <w:jc w:val="left"/>
              <w:rPr>
                <w:rFonts w:ascii="方正书宋_GBK" w:eastAsia="方正书宋_GBK"/>
              </w:rPr>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能够长期较好地满足各类非涉密工作推进、工作调度、工作交流、舆论引导、统一发声等工作需求。</w:t>
            </w: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&gt;=</w:t>
            </w:r>
            <w:r>
              <w:rPr>
                <w:rFonts w:hint="eastAsia" w:ascii="方正书宋_GBK" w:eastAsia="方正书宋_GBK"/>
              </w:rPr>
              <w:t>9</w:t>
            </w:r>
            <w:r>
              <w:rPr>
                <w:rFonts w:ascii="方正书宋_GBK" w:eastAsia="方正书宋_GBK"/>
              </w:rPr>
              <w:t>0％</w:t>
            </w:r>
          </w:p>
        </w:tc>
        <w:tc>
          <w:tcPr>
            <w:tcW w:w="1701" w:type="dxa"/>
            <w:vAlign w:val="center"/>
          </w:tcPr>
          <w:p>
            <w:pPr>
              <w:spacing w:line="300" w:lineRule="exact"/>
              <w:jc w:val="left"/>
              <w:rPr>
                <w:rFonts w:ascii="方正书宋_GBK" w:eastAsia="方正书宋_GBK"/>
              </w:rPr>
            </w:pPr>
            <w:r>
              <w:t>实际工作</w:t>
            </w:r>
          </w:p>
        </w:tc>
      </w:tr>
    </w:tbl>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jc w:val="left"/>
        <w:rPr>
          <w:rFonts w:ascii="Times New Roman" w:hAnsi="Times New Roman" w:eastAsia="仿宋" w:cs="Times New Roman"/>
          <w:sz w:val="32"/>
          <w:szCs w:val="32"/>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hint="eastAsia" w:ascii="方正书宋_GBK" w:eastAsia="方正书宋_GBK" w:cs="方正书宋_GBK"/>
                <w:b/>
                <w:bCs/>
              </w:rPr>
              <w:t>互联网企业监管和网络执法资金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、依法负责全县网络新闻业务和新闻與论及社会动员功能业务的审核及日常监管</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、指导全县有关部门督促电信运营企业接入服务企业等做好基础管理工作</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网络生态环境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我县网络生态环境整体情况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明显好转、好转、无变化、转差</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开展网络治理专项行动次数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开展网络治理专项行动次数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≥1次</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网络安全重点保障任务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网络安全重点保障任务完成率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互联网企业监管覆盖率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对我县县域内互联网企业监管的覆盖率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r>
              <w:rPr>
                <w:rFonts w:ascii="方正书宋_GBK" w:eastAsia="方正书宋_GBK"/>
              </w:rPr>
              <w:t>％</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vAlign w:val="center"/>
          </w:tcPr>
          <w:p>
            <w:pPr>
              <w:spacing w:line="300" w:lineRule="exact"/>
              <w:jc w:val="left"/>
              <w:rPr>
                <w:rFonts w:ascii="方正书宋_GBK" w:eastAsia="方正书宋_GBK"/>
              </w:rPr>
            </w:pPr>
            <w:r>
              <w:t>实际工作</w:t>
            </w:r>
          </w:p>
        </w:tc>
      </w:tr>
    </w:tbl>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hint="eastAsia" w:ascii="方正书宋_GBK" w:eastAsia="方正书宋_GBK" w:cs="方正书宋_GBK"/>
                <w:b/>
                <w:bCs/>
              </w:rPr>
              <w:t>网信系统视频会议室专项资金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建设县级网信体系视频会议系统</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系统正常率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视频会议系统正常率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eastAsia="方正书宋_GBK"/>
              </w:rPr>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对视频会议系统网络检查</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对视频会议系统安全检查检测的次数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≥6次</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能够长期较好满足视频会议需求。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参与视频会议者满意度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使用单位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使用单位对视频会议系统总体满意程度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总体满意</w:t>
            </w:r>
          </w:p>
        </w:tc>
        <w:tc>
          <w:tcPr>
            <w:tcW w:w="1701" w:type="dxa"/>
          </w:tcPr>
          <w:p>
            <w:r>
              <w:t>实际工作</w:t>
            </w:r>
          </w:p>
        </w:tc>
      </w:tr>
    </w:tbl>
    <w:p>
      <w:pPr>
        <w:autoSpaceDE w:val="0"/>
        <w:autoSpaceDN w:val="0"/>
        <w:adjustRightInd w:val="0"/>
        <w:ind w:left="198" w:firstLine="640" w:firstLineChars="200"/>
        <w:jc w:val="left"/>
        <w:rPr>
          <w:rFonts w:ascii="Times New Roman" w:hAnsi="Times New Roman" w:eastAsia="仿宋" w:cs="Times New Roman"/>
          <w:sz w:val="32"/>
          <w:szCs w:val="32"/>
        </w:rPr>
        <w:sectPr>
          <w:footerReference r:id="rId3" w:type="default"/>
          <w:pgSz w:w="11907" w:h="16839" w:orient="landscape"/>
          <w:pgMar w:top="1984" w:right="1304" w:bottom="1134" w:left="1304" w:header="851" w:footer="992" w:gutter="0"/>
          <w:cols w:space="720" w:num="1"/>
          <w:docGrid w:type="lines" w:linePitch="312" w:charSpace="0"/>
        </w:sectPr>
      </w:pPr>
    </w:p>
    <w:bookmarkEnd w:id="0"/>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4"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0</w:t>
      </w:r>
      <w:r>
        <w:rPr>
          <w:rFonts w:hint="eastAsia" w:ascii="Times New Roman" w:hAnsi="Times New Roman" w:eastAsia="仿宋" w:cs="Times New Roman"/>
          <w:sz w:val="32"/>
          <w:szCs w:val="24"/>
        </w:rPr>
        <w:t>万元。</w:t>
      </w:r>
      <w:bookmarkEnd w:id="4"/>
    </w:p>
    <w:p>
      <w:pPr>
        <w:autoSpaceDE w:val="0"/>
        <w:autoSpaceDN w:val="0"/>
        <w:adjustRightInd w:val="0"/>
        <w:jc w:val="left"/>
        <w:rPr>
          <w:rFonts w:ascii="黑体" w:hAnsi="黑体" w:eastAsia="黑体" w:cs="Times New Roman"/>
          <w:sz w:val="32"/>
          <w:szCs w:val="32"/>
        </w:rPr>
      </w:pPr>
    </w:p>
    <w:tbl>
      <w:tblPr>
        <w:tblStyle w:val="8"/>
        <w:tblpPr w:leftFromText="180" w:rightFromText="180" w:vertAnchor="page" w:horzAnchor="margin" w:tblpY="424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1"/>
        <w:gridCol w:w="571"/>
        <w:gridCol w:w="667"/>
        <w:gridCol w:w="764"/>
        <w:gridCol w:w="619"/>
        <w:gridCol w:w="474"/>
        <w:gridCol w:w="474"/>
        <w:gridCol w:w="474"/>
        <w:gridCol w:w="474"/>
        <w:gridCol w:w="764"/>
        <w:gridCol w:w="667"/>
        <w:gridCol w:w="667"/>
        <w:gridCol w:w="668"/>
        <w:gridCol w:w="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0" w:type="auto"/>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馆陶县委网信办</w:t>
            </w:r>
          </w:p>
        </w:tc>
        <w:tc>
          <w:tcPr>
            <w:tcW w:w="0" w:type="auto"/>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0" w:type="auto"/>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0</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0</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0</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0</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0</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rPr>
            </w:pPr>
          </w:p>
        </w:tc>
      </w:tr>
    </w:tbl>
    <w:p>
      <w:pPr>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馆陶县县委网信办2019年末固定资产金额为</w:t>
      </w:r>
      <w:r>
        <w:rPr>
          <w:rFonts w:hint="eastAsia" w:ascii="Times New Roman" w:hAnsi="Times New Roman" w:eastAsia="仿宋" w:cs="Times New Roman"/>
          <w:color w:val="000000"/>
          <w:sz w:val="32"/>
          <w:szCs w:val="32"/>
        </w:rPr>
        <w:t>2.12</w:t>
      </w:r>
      <w:r>
        <w:rPr>
          <w:rFonts w:hint="eastAsia" w:ascii="Times New Roman" w:hAnsi="Times New Roman" w:eastAsia="仿宋" w:cs="仿宋"/>
          <w:color w:val="000000"/>
          <w:sz w:val="32"/>
          <w:szCs w:val="32"/>
        </w:rPr>
        <w:t>万元（详见下表），本年度各单位拟购置固定资产总额为</w:t>
      </w:r>
      <w:r>
        <w:rPr>
          <w:rFonts w:hint="eastAsia" w:ascii="Times New Roman" w:hAnsi="Times New Roman" w:eastAsia="仿宋" w:cs="Times New Roman"/>
          <w:color w:val="000000"/>
          <w:sz w:val="32"/>
          <w:szCs w:val="32"/>
        </w:rPr>
        <w:t>0</w:t>
      </w:r>
      <w:r>
        <w:rPr>
          <w:rFonts w:hint="eastAsia" w:ascii="Times New Roman" w:hAnsi="Times New Roman" w:eastAsia="仿宋" w:cs="仿宋"/>
          <w:color w:val="000000"/>
          <w:sz w:val="32"/>
          <w:szCs w:val="32"/>
        </w:rPr>
        <w:t>万元。</w:t>
      </w:r>
      <w:r>
        <w:rPr>
          <w:rFonts w:ascii="Times New Roman" w:hAnsi="Times New Roman" w:eastAsia="仿宋"/>
          <w:color w:val="000000"/>
          <w:sz w:val="32"/>
          <w:szCs w:val="32"/>
        </w:rPr>
        <w:t xml:space="preserve"> </w:t>
      </w:r>
    </w:p>
    <w:tbl>
      <w:tblPr>
        <w:tblStyle w:val="8"/>
        <w:tblW w:w="9003" w:type="dxa"/>
        <w:tblInd w:w="-106" w:type="dxa"/>
        <w:tblLayout w:type="fixed"/>
        <w:tblCellMar>
          <w:top w:w="0" w:type="dxa"/>
          <w:left w:w="108" w:type="dxa"/>
          <w:bottom w:w="0" w:type="dxa"/>
          <w:right w:w="108" w:type="dxa"/>
        </w:tblCellMar>
      </w:tblPr>
      <w:tblGrid>
        <w:gridCol w:w="2835"/>
        <w:gridCol w:w="1050"/>
        <w:gridCol w:w="5118"/>
      </w:tblGrid>
      <w:tr>
        <w:tblPrEx>
          <w:tblCellMar>
            <w:top w:w="0" w:type="dxa"/>
            <w:left w:w="108" w:type="dxa"/>
            <w:bottom w:w="0" w:type="dxa"/>
            <w:right w:w="108" w:type="dxa"/>
          </w:tblCellMar>
        </w:tblPrEx>
        <w:trPr>
          <w:trHeight w:val="798" w:hRule="atLeast"/>
        </w:trPr>
        <w:tc>
          <w:tcPr>
            <w:tcW w:w="9003" w:type="dxa"/>
            <w:gridSpan w:val="3"/>
            <w:tcBorders>
              <w:top w:val="nil"/>
              <w:left w:val="nil"/>
              <w:bottom w:val="nil"/>
              <w:right w:val="nil"/>
            </w:tcBorders>
            <w:vAlign w:val="center"/>
          </w:tcPr>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b/>
                <w:bCs/>
                <w:kern w:val="0"/>
                <w:sz w:val="32"/>
                <w:szCs w:val="32"/>
              </w:rPr>
            </w:pPr>
            <w:r>
              <w:rPr>
                <w:rFonts w:hint="eastAsia" w:ascii="宋体" w:hAnsi="宋体" w:cs="宋体"/>
                <w:b/>
                <w:bCs/>
                <w:kern w:val="0"/>
                <w:sz w:val="32"/>
                <w:szCs w:val="32"/>
              </w:rPr>
              <w:t>馆陶县委网信办固定资产占用情况表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rPr>
              <w:t xml:space="preserve">编制部门：馆陶县委网信办        </w:t>
            </w:r>
          </w:p>
        </w:tc>
        <w:tc>
          <w:tcPr>
            <w:tcW w:w="5118" w:type="dxa"/>
            <w:tcBorders>
              <w:top w:val="nil"/>
              <w:left w:val="nil"/>
              <w:bottom w:val="nil"/>
              <w:right w:val="nil"/>
            </w:tcBorders>
            <w:vAlign w:val="center"/>
          </w:tcPr>
          <w:p>
            <w:pPr>
              <w:widowControl/>
              <w:ind w:firstLine="1760" w:firstLineChars="800"/>
              <w:rPr>
                <w:rFonts w:ascii="Times New Roman" w:hAnsi="Times New Roman" w:eastAsia="仿宋"/>
                <w:kern w:val="0"/>
                <w:sz w:val="22"/>
              </w:rPr>
            </w:pPr>
            <w:r>
              <w:rPr>
                <w:rFonts w:hint="eastAsia" w:ascii="Times New Roman" w:hAnsi="Times New Roman" w:eastAsia="仿宋" w:cs="仿宋"/>
                <w:kern w:val="0"/>
                <w:sz w:val="22"/>
              </w:rPr>
              <w:t>截止时间：</w:t>
            </w:r>
            <w:r>
              <w:rPr>
                <w:rFonts w:hint="eastAsia" w:ascii="Times New Roman" w:hAnsi="Times New Roman" w:eastAsia="仿宋" w:cs="Times New Roman"/>
                <w:kern w:val="0"/>
                <w:sz w:val="22"/>
              </w:rPr>
              <w:t>2019</w:t>
            </w:r>
            <w:r>
              <w:rPr>
                <w:rFonts w:hint="eastAsia" w:ascii="Times New Roman" w:hAnsi="Times New Roman" w:eastAsia="仿宋" w:cs="仿宋"/>
                <w:kern w:val="0"/>
                <w:sz w:val="22"/>
              </w:rPr>
              <w:t>年</w:t>
            </w:r>
            <w:r>
              <w:rPr>
                <w:rFonts w:hint="eastAsia" w:ascii="Times New Roman" w:hAnsi="Times New Roman" w:eastAsia="仿宋" w:cs="Times New Roman"/>
                <w:kern w:val="0"/>
                <w:sz w:val="22"/>
              </w:rPr>
              <w:t>12</w:t>
            </w:r>
            <w:r>
              <w:rPr>
                <w:rFonts w:hint="eastAsia" w:ascii="Times New Roman" w:hAnsi="Times New Roman" w:eastAsia="仿宋" w:cs="仿宋"/>
                <w:kern w:val="0"/>
                <w:sz w:val="22"/>
              </w:rPr>
              <w:t>月</w:t>
            </w:r>
            <w:r>
              <w:rPr>
                <w:rFonts w:hint="eastAsia" w:ascii="Times New Roman" w:hAnsi="Times New Roman" w:eastAsia="仿宋" w:cs="Times New Roman"/>
                <w:kern w:val="0"/>
                <w:sz w:val="22"/>
              </w:rPr>
              <w:t>31</w:t>
            </w:r>
            <w:r>
              <w:rPr>
                <w:rFonts w:hint="eastAsia" w:ascii="Times New Roman" w:hAnsi="Times New Roman" w:eastAsia="仿宋" w:cs="仿宋"/>
                <w:kern w:val="0"/>
                <w:sz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数量</w:t>
            </w:r>
          </w:p>
        </w:tc>
        <w:tc>
          <w:tcPr>
            <w:tcW w:w="5118"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rPr>
              <w:t>——</w:t>
            </w:r>
          </w:p>
        </w:tc>
        <w:tc>
          <w:tcPr>
            <w:tcW w:w="51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r>
              <w:rPr>
                <w:rFonts w:hint="eastAsia" w:ascii="Times New Roman" w:hAnsi="Times New Roman" w:eastAsia="仿宋"/>
                <w:color w:val="FF0000"/>
                <w:kern w:val="0"/>
                <w:sz w:val="22"/>
              </w:rPr>
              <w:t>2.12</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rPr>
              <w:t>1</w:t>
            </w:r>
            <w:r>
              <w:rPr>
                <w:rFonts w:hint="eastAsia" w:ascii="Times New Roman" w:hAnsi="Times New Roman" w:eastAsia="仿宋" w:cs="仿宋"/>
                <w:kern w:val="0"/>
                <w:sz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51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51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rPr>
              <w:t>2</w:t>
            </w:r>
            <w:r>
              <w:rPr>
                <w:rFonts w:hint="eastAsia" w:ascii="Times New Roman" w:hAnsi="Times New Roman" w:eastAsia="仿宋" w:cs="仿宋"/>
                <w:kern w:val="0"/>
                <w:sz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51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rPr>
              <w:t>3</w:t>
            </w:r>
            <w:r>
              <w:rPr>
                <w:rFonts w:hint="eastAsia" w:ascii="Times New Roman" w:hAnsi="Times New Roman" w:eastAsia="仿宋" w:cs="仿宋"/>
                <w:kern w:val="0"/>
                <w:sz w:val="22"/>
              </w:rPr>
              <w:t>、单价在</w:t>
            </w:r>
            <w:r>
              <w:rPr>
                <w:rFonts w:ascii="Times New Roman" w:hAnsi="Times New Roman" w:eastAsia="仿宋" w:cs="Times New Roman"/>
                <w:kern w:val="0"/>
                <w:sz w:val="22"/>
              </w:rPr>
              <w:t>20</w:t>
            </w:r>
            <w:r>
              <w:rPr>
                <w:rFonts w:hint="eastAsia" w:ascii="Times New Roman" w:hAnsi="Times New Roman" w:eastAsia="仿宋" w:cs="仿宋"/>
                <w:kern w:val="0"/>
                <w:sz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rPr>
              <w:t>——</w:t>
            </w:r>
          </w:p>
        </w:tc>
        <w:tc>
          <w:tcPr>
            <w:tcW w:w="51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rPr>
              <w:t>4</w:t>
            </w:r>
            <w:r>
              <w:rPr>
                <w:rFonts w:hint="eastAsia" w:ascii="Times New Roman" w:hAnsi="Times New Roman" w:eastAsia="仿宋" w:cs="仿宋"/>
                <w:kern w:val="0"/>
                <w:sz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rPr>
              <w:t>——</w:t>
            </w:r>
          </w:p>
        </w:tc>
        <w:tc>
          <w:tcPr>
            <w:tcW w:w="51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2.12</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、一般公共预算拨款收入：指省级财政当年拨付的资金。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hakuyoxingshu7000"/>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hakuyoxingshu7000"/>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16</w:t>
    </w:r>
    <w:r>
      <w:rPr>
        <w:rStyle w:val="1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EE71BA"/>
    <w:rsid w:val="00040BF3"/>
    <w:rsid w:val="000C7140"/>
    <w:rsid w:val="00151167"/>
    <w:rsid w:val="00170E49"/>
    <w:rsid w:val="00197EDB"/>
    <w:rsid w:val="001D7926"/>
    <w:rsid w:val="001E6730"/>
    <w:rsid w:val="001F2D4A"/>
    <w:rsid w:val="001F5867"/>
    <w:rsid w:val="001F72D0"/>
    <w:rsid w:val="002266AA"/>
    <w:rsid w:val="00281702"/>
    <w:rsid w:val="002D7B5E"/>
    <w:rsid w:val="002E47BB"/>
    <w:rsid w:val="00323426"/>
    <w:rsid w:val="00323B29"/>
    <w:rsid w:val="0039059E"/>
    <w:rsid w:val="003B76C2"/>
    <w:rsid w:val="004025CF"/>
    <w:rsid w:val="00415C44"/>
    <w:rsid w:val="0047496E"/>
    <w:rsid w:val="00480D91"/>
    <w:rsid w:val="004D038D"/>
    <w:rsid w:val="00571953"/>
    <w:rsid w:val="005742CB"/>
    <w:rsid w:val="00617A25"/>
    <w:rsid w:val="006413EB"/>
    <w:rsid w:val="00677A1C"/>
    <w:rsid w:val="007543B2"/>
    <w:rsid w:val="007F0341"/>
    <w:rsid w:val="00952408"/>
    <w:rsid w:val="00987D93"/>
    <w:rsid w:val="009A521C"/>
    <w:rsid w:val="009D784F"/>
    <w:rsid w:val="00A11CE7"/>
    <w:rsid w:val="00A740E1"/>
    <w:rsid w:val="00AC13BE"/>
    <w:rsid w:val="00B229AB"/>
    <w:rsid w:val="00B37313"/>
    <w:rsid w:val="00B87133"/>
    <w:rsid w:val="00C4380F"/>
    <w:rsid w:val="00C53DA0"/>
    <w:rsid w:val="00C604EE"/>
    <w:rsid w:val="00CF3C4E"/>
    <w:rsid w:val="00D2151D"/>
    <w:rsid w:val="00D607DA"/>
    <w:rsid w:val="00D93DE6"/>
    <w:rsid w:val="00D97865"/>
    <w:rsid w:val="00DC6EE5"/>
    <w:rsid w:val="00DF594F"/>
    <w:rsid w:val="00E62354"/>
    <w:rsid w:val="00E769AD"/>
    <w:rsid w:val="00EC6FCF"/>
    <w:rsid w:val="00EE71BA"/>
    <w:rsid w:val="00EF3FC2"/>
    <w:rsid w:val="00F5120C"/>
    <w:rsid w:val="00F6438A"/>
    <w:rsid w:val="00F8012A"/>
    <w:rsid w:val="00F867E4"/>
    <w:rsid w:val="00FB0EFA"/>
    <w:rsid w:val="00FB3F12"/>
    <w:rsid w:val="00FC0191"/>
    <w:rsid w:val="00FD6295"/>
    <w:rsid w:val="37ED41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3"/>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footnote reference"/>
    <w:basedOn w:val="9"/>
    <w:uiPriority w:val="99"/>
    <w:rPr>
      <w:rFonts w:cs="Times New Roman"/>
      <w:vertAlign w:val="superscript"/>
    </w:rPr>
  </w:style>
  <w:style w:type="character" w:customStyle="1" w:styleId="11">
    <w:name w:val="页脚 Char"/>
    <w:basedOn w:val="9"/>
    <w:link w:val="2"/>
    <w:semiHidden/>
    <w:locked/>
    <w:uiPriority w:val="99"/>
    <w:rPr>
      <w:rFonts w:ascii="Times New Roman" w:hAnsi="Times New Roman" w:eastAsia="宋体" w:cs="Times New Roman"/>
      <w:sz w:val="18"/>
    </w:rPr>
  </w:style>
  <w:style w:type="character" w:customStyle="1" w:styleId="12">
    <w:name w:val="页眉 Char"/>
    <w:basedOn w:val="9"/>
    <w:link w:val="3"/>
    <w:semiHidden/>
    <w:qFormat/>
    <w:locked/>
    <w:uiPriority w:val="99"/>
    <w:rPr>
      <w:rFonts w:ascii="Times New Roman" w:hAnsi="Times New Roman" w:eastAsia="宋体" w:cs="Times New Roman"/>
      <w:sz w:val="18"/>
    </w:rPr>
  </w:style>
  <w:style w:type="character" w:customStyle="1" w:styleId="13">
    <w:name w:val="脚注文本 Char"/>
    <w:basedOn w:val="9"/>
    <w:link w:val="5"/>
    <w:semiHidden/>
    <w:locked/>
    <w:uiPriority w:val="99"/>
    <w:rPr>
      <w:rFonts w:ascii="Calibri" w:hAnsi="Calibri" w:cs="黑体"/>
      <w:sz w:val="18"/>
      <w:szCs w:val="18"/>
    </w:rPr>
  </w:style>
  <w:style w:type="paragraph" w:customStyle="1" w:styleId="14">
    <w:name w:val="Char"/>
    <w:basedOn w:val="1"/>
    <w:qFormat/>
    <w:uiPriority w:val="99"/>
    <w:rPr>
      <w:rFonts w:ascii="Times New Roman" w:hAnsi="Times New Roman" w:cs="Times New Roman"/>
      <w:szCs w:val="24"/>
    </w:rPr>
  </w:style>
  <w:style w:type="character" w:customStyle="1" w:styleId="15">
    <w:name w:val="页码1"/>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03636-C3F0-4405-ADEF-3FDBBB8CFD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6113</Words>
  <Characters>6222</Characters>
  <Lines>48</Lines>
  <Paragraphs>13</Paragraphs>
  <TotalTime>95</TotalTime>
  <ScaleCrop>false</ScaleCrop>
  <LinksUpToDate>false</LinksUpToDate>
  <CharactersWithSpaces>6248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Sally</cp:lastModifiedBy>
  <cp:lastPrinted>2020-01-10T15:53:00Z</cp:lastPrinted>
  <dcterms:modified xsi:type="dcterms:W3CDTF">2024-06-03T07:14:44Z</dcterms:modified>
  <dc:title>o</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56B9DBEB8978410B9CC593C09102B7BD_13</vt:lpwstr>
  </property>
</Properties>
</file>