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馆陶县王桥乡卫生院收支预算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361016馆陶县王桥乡卫生院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12392200.00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256500.00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5790600.00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12392200.00</w:t>
            </w:r>
          </w:p>
        </w:tc>
        <w:tc>
          <w:tcPr>
            <w:tcW w:w="4535" w:type="dxa"/>
            <w:vAlign w:val="center"/>
          </w:tcPr>
          <w:p>
            <w:pPr>
              <w:pStyle w:val="11"/>
            </w:pPr>
            <w:r>
              <w:t>本年支出合计</w:t>
            </w:r>
          </w:p>
        </w:tc>
        <w:tc>
          <w:tcPr>
            <w:tcW w:w="2126" w:type="dxa"/>
            <w:vAlign w:val="center"/>
          </w:tcPr>
          <w:p>
            <w:pPr>
              <w:pStyle w:val="12"/>
            </w:pPr>
            <w:r>
              <w:t>6196100.00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6196100.00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12392200.00</w:t>
            </w:r>
          </w:p>
        </w:tc>
        <w:tc>
          <w:tcPr>
            <w:tcW w:w="4535" w:type="dxa"/>
            <w:vAlign w:val="center"/>
          </w:tcPr>
          <w:p>
            <w:pPr>
              <w:pStyle w:val="11"/>
            </w:pPr>
            <w:r>
              <w:t>支出总计</w:t>
            </w:r>
          </w:p>
        </w:tc>
        <w:tc>
          <w:tcPr>
            <w:tcW w:w="2126" w:type="dxa"/>
            <w:vAlign w:val="center"/>
          </w:tcPr>
          <w:p>
            <w:pPr>
              <w:pStyle w:val="12"/>
            </w:pPr>
            <w:r>
              <w:t>12392200.00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361016馆陶县王桥乡卫生院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6196100.00</w:t>
            </w:r>
          </w:p>
        </w:tc>
        <w:tc>
          <w:tcPr>
            <w:tcW w:w="1134" w:type="dxa"/>
            <w:vAlign w:val="center"/>
          </w:tcPr>
          <w:p>
            <w:pPr>
              <w:pStyle w:val="12"/>
            </w:pPr>
            <w:r>
              <w:t>6196100.00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6196100.00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256500.00</w:t>
            </w: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256500.00</w:t>
            </w: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256500.00</w:t>
            </w: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256500.00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5790600.00</w:t>
            </w: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5790600.00</w:t>
            </w: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5790600.00</w:t>
            </w: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5790600.00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149000.00</w:t>
            </w: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149000.00</w:t>
            </w: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149000.00</w:t>
            </w: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149000.00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6196100.00</w:t>
            </w:r>
          </w:p>
        </w:tc>
        <w:tc>
          <w:tcPr>
            <w:tcW w:w="1361" w:type="dxa"/>
            <w:vAlign w:val="center"/>
          </w:tcPr>
          <w:p>
            <w:pPr>
              <w:pStyle w:val="12"/>
            </w:pPr>
            <w:r>
              <w:t>6196100.00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256500.00</w:t>
            </w:r>
          </w:p>
        </w:tc>
        <w:tc>
          <w:tcPr>
            <w:tcW w:w="1361" w:type="dxa"/>
            <w:vAlign w:val="center"/>
          </w:tcPr>
          <w:p>
            <w:pPr>
              <w:pStyle w:val="10"/>
            </w:pPr>
            <w:r>
              <w:t>256500.00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256500.00</w:t>
            </w:r>
          </w:p>
        </w:tc>
        <w:tc>
          <w:tcPr>
            <w:tcW w:w="1361" w:type="dxa"/>
            <w:vAlign w:val="center"/>
          </w:tcPr>
          <w:p>
            <w:pPr>
              <w:pStyle w:val="10"/>
            </w:pPr>
            <w:r>
              <w:t>256500.00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256500.00</w:t>
            </w:r>
          </w:p>
        </w:tc>
        <w:tc>
          <w:tcPr>
            <w:tcW w:w="1361" w:type="dxa"/>
            <w:vAlign w:val="center"/>
          </w:tcPr>
          <w:p>
            <w:pPr>
              <w:pStyle w:val="10"/>
            </w:pPr>
            <w:r>
              <w:t>256500.00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5790600.00</w:t>
            </w:r>
          </w:p>
        </w:tc>
        <w:tc>
          <w:tcPr>
            <w:tcW w:w="1361" w:type="dxa"/>
            <w:vAlign w:val="center"/>
          </w:tcPr>
          <w:p>
            <w:pPr>
              <w:pStyle w:val="10"/>
            </w:pPr>
            <w:r>
              <w:t>5790600.00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5790600.00</w:t>
            </w:r>
          </w:p>
        </w:tc>
        <w:tc>
          <w:tcPr>
            <w:tcW w:w="1361" w:type="dxa"/>
            <w:vAlign w:val="center"/>
          </w:tcPr>
          <w:p>
            <w:pPr>
              <w:pStyle w:val="10"/>
            </w:pPr>
            <w:r>
              <w:t>5790600.00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5790600.00</w:t>
            </w:r>
          </w:p>
        </w:tc>
        <w:tc>
          <w:tcPr>
            <w:tcW w:w="1361" w:type="dxa"/>
            <w:vAlign w:val="center"/>
          </w:tcPr>
          <w:p>
            <w:pPr>
              <w:pStyle w:val="10"/>
            </w:pPr>
            <w:r>
              <w:t>5790600.00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149000.00</w:t>
            </w:r>
          </w:p>
        </w:tc>
        <w:tc>
          <w:tcPr>
            <w:tcW w:w="1361" w:type="dxa"/>
            <w:vAlign w:val="center"/>
          </w:tcPr>
          <w:p>
            <w:pPr>
              <w:pStyle w:val="10"/>
            </w:pPr>
            <w:r>
              <w:t>149000.00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149000.00</w:t>
            </w:r>
          </w:p>
        </w:tc>
        <w:tc>
          <w:tcPr>
            <w:tcW w:w="1361" w:type="dxa"/>
            <w:vAlign w:val="center"/>
          </w:tcPr>
          <w:p>
            <w:pPr>
              <w:pStyle w:val="10"/>
            </w:pPr>
            <w:r>
              <w:t>149000.00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149000.00</w:t>
            </w:r>
          </w:p>
        </w:tc>
        <w:tc>
          <w:tcPr>
            <w:tcW w:w="1361" w:type="dxa"/>
            <w:vAlign w:val="center"/>
          </w:tcPr>
          <w:p>
            <w:pPr>
              <w:pStyle w:val="10"/>
            </w:pPr>
            <w:r>
              <w:t>149000.00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361016馆陶县王桥乡卫生院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馆陶县王桥乡卫生院2022年单位预算信息公开情况说明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w:t>
      </w:r>
      <w:bookmarkStart w:id="0" w:name="_GoBack"/>
      <w:bookmarkEnd w:id="0"/>
      <w:r>
        <w:rPr>
          <w:rFonts w:hint="eastAsia" w:ascii="Times New Roman" w:hAnsi="Times New Roman" w:eastAsia="方正仿宋_GBK" w:cs="Times New Roman"/>
          <w:color w:val="000000"/>
          <w:sz w:val="28"/>
        </w:rPr>
        <w:t>法</w:t>
      </w:r>
      <w:r>
        <w:rPr>
          <w:rFonts w:ascii="Times New Roman" w:hAnsi="Times New Roman" w:eastAsia="方正仿宋_GBK" w:cs="Times New Roman"/>
          <w:color w:val="000000"/>
          <w:sz w:val="28"/>
        </w:rPr>
        <w:t>》、《地方预决算公开操作规程》和《关于进一步推进预算公开工作的实施意见》规定，现将馆陶县王桥乡卫生院2022年单位预算公开如下：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馆陶县王桥乡卫生院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反映本单位当年全部收入。2022年预算收入619.61万元，其中：一般公共预算收入0万元，基金预算收入0万元，国有资本经营预算收入0万元，财政专户核拨收入0万元，单位资金收入619.61万元，上年结转结余0万元。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619.618万元，其中基本支出241.07万元，包括人员经费241.07万元；项目支出378.54万元，主要为商品和服务、办公费、差旅费、维修费、专用材料费等。</w:t>
      </w:r>
    </w:p>
    <w:p>
      <w:pPr>
        <w:pStyle w:val="15"/>
      </w:pPr>
      <w:r>
        <w:t>3、比上年增减情况</w:t>
      </w:r>
    </w:p>
    <w:p>
      <w:pPr>
        <w:pStyle w:val="15"/>
      </w:pPr>
      <w:r>
        <w:t>2022年预算收支安排619.61万元，较2021年预算增加160.01万元，其中：项目支出增加160.1万元，主要为疫情防控和开展卫生院相关项目支出。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2022年，单位安排运行经费378.54万元，主要用于商品服务支出、办公费、差旅费、专用材料费、维修维护费等支出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2022年，馆陶县王桥乡卫生院安排政府采购预算0.00万元。具体内容见下表。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361016馆陶县王桥乡卫生院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馆陶县王桥乡卫生院上年末固定资产金额为0.00万元（详见下表）。本年度拟购置固定资产总额为0.00万元，已按要求列入政府采购预算，详见政府采购预算表。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361016馆陶县王桥乡卫生院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1804785A"/>
    <w:rsid w:val="006E0B83"/>
    <w:rsid w:val="008320AA"/>
    <w:rsid w:val="1804785A"/>
    <w:rsid w:val="1C151B40"/>
    <w:rsid w:val="6E7F0AF5"/>
    <w:rsid w:val="FB9E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916</Words>
  <Characters>5225</Characters>
  <Lines>43</Lines>
  <Paragraphs>12</Paragraphs>
  <TotalTime>0</TotalTime>
  <ScaleCrop>false</ScaleCrop>
  <LinksUpToDate>false</LinksUpToDate>
  <CharactersWithSpaces>6129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2022-05-23T18:18:00Z</dcterms:created>
  <dc:creator>Administrator</dc:creator>
  <cp:lastModifiedBy>Sally</cp:lastModifiedBy>
  <dcterms:modified xsi:type="dcterms:W3CDTF">2023-11-16T09:28:31Z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9F06EF0BB28744C0B610C1B104C54ADF</vt:lpwstr>
  </property>
</Properties>
</file>