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44"/>
          <w:szCs w:val="44"/>
        </w:rPr>
      </w:pPr>
      <w:r>
        <w:rPr>
          <w:rFonts w:hint="eastAsia" w:ascii="黑体" w:hAnsi="黑体" w:eastAsia="黑体" w:cs="黑体"/>
          <w:sz w:val="44"/>
          <w:szCs w:val="44"/>
        </w:rPr>
        <w:t>馆陶县退役军人事务局</w:t>
      </w:r>
    </w:p>
    <w:p>
      <w:pPr>
        <w:jc w:val="center"/>
        <w:rPr>
          <w:rFonts w:ascii="黑体" w:hAnsi="黑体" w:eastAsia="黑体" w:cs="Times New Roman"/>
          <w:sz w:val="44"/>
          <w:szCs w:val="44"/>
        </w:rPr>
      </w:pPr>
      <w:r>
        <w:rPr>
          <w:rFonts w:ascii="黑体" w:hAnsi="黑体" w:eastAsia="黑体" w:cs="黑体"/>
          <w:sz w:val="44"/>
          <w:szCs w:val="44"/>
        </w:rPr>
        <w:t>2021</w:t>
      </w:r>
      <w:r>
        <w:rPr>
          <w:rFonts w:hint="eastAsia" w:ascii="黑体" w:hAnsi="黑体" w:eastAsia="黑体" w:cs="黑体"/>
          <w:sz w:val="44"/>
          <w:szCs w:val="44"/>
        </w:rPr>
        <w:t>年部门预算信息公开情况说明</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预算法》、《地方预决算公开操作规程》和《河北省省级预算公开办法》规定，现将退役军人事务局</w:t>
      </w:r>
      <w:r>
        <w:rPr>
          <w:rFonts w:ascii="仿宋" w:hAnsi="仿宋" w:eastAsia="仿宋" w:cs="仿宋"/>
          <w:sz w:val="32"/>
          <w:szCs w:val="32"/>
        </w:rPr>
        <w:t>2021</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部门职责：</w:t>
      </w:r>
    </w:p>
    <w:p>
      <w:pPr>
        <w:ind w:firstLine="640" w:firstLineChars="200"/>
        <w:rPr>
          <w:rFonts w:ascii="仿宋" w:hAnsi="仿宋" w:eastAsia="仿宋" w:cs="Times New Roman"/>
          <w:sz w:val="32"/>
          <w:szCs w:val="32"/>
        </w:rPr>
      </w:pPr>
      <w:r>
        <w:rPr>
          <w:rFonts w:hint="eastAsia" w:ascii="仿宋" w:hAnsi="仿宋" w:eastAsia="仿宋" w:cs="仿宋"/>
          <w:sz w:val="32"/>
          <w:szCs w:val="32"/>
        </w:rPr>
        <w:t>（一）贯彻执行国家、省、市退役军人思想政治、管理保障和安置优抚等工作政策法规，褒扬彰显退役军人为党、国家和人民牺牲奉献的精神风范和价值导向。</w:t>
      </w:r>
    </w:p>
    <w:p>
      <w:pPr>
        <w:ind w:firstLine="640" w:firstLineChars="200"/>
        <w:rPr>
          <w:rFonts w:ascii="仿宋" w:hAnsi="仿宋" w:eastAsia="仿宋" w:cs="Times New Roman"/>
          <w:sz w:val="32"/>
          <w:szCs w:val="32"/>
        </w:rPr>
      </w:pPr>
      <w:r>
        <w:rPr>
          <w:rFonts w:hint="eastAsia" w:ascii="仿宋" w:hAnsi="仿宋" w:eastAsia="仿宋" w:cs="仿宋"/>
          <w:sz w:val="32"/>
          <w:szCs w:val="32"/>
        </w:rPr>
        <w:t>（二）负责军队转业干部、复员干部、离退休干部、退役士兵、符合条件消防员和无军籍退休退职职工的移交安置工作和自主择业、就业退役军人服务管理工作。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（三）组织指导退役军人教育培训工作，协调扶持退役军人和随军随调家属就业创业。</w:t>
      </w:r>
    </w:p>
    <w:p>
      <w:pPr>
        <w:ind w:firstLine="640" w:firstLineChars="200"/>
        <w:rPr>
          <w:rFonts w:ascii="仿宋" w:hAnsi="仿宋" w:eastAsia="仿宋" w:cs="Times New Roman"/>
          <w:sz w:val="32"/>
          <w:szCs w:val="32"/>
        </w:rPr>
      </w:pPr>
      <w:r>
        <w:rPr>
          <w:rFonts w:hint="eastAsia" w:ascii="仿宋" w:hAnsi="仿宋" w:eastAsia="仿宋" w:cs="仿宋"/>
          <w:sz w:val="32"/>
          <w:szCs w:val="32"/>
        </w:rPr>
        <w:t>（四）会同有关部门贯彻落实退役军人特殊保障政策并组织实施，贯彻落实省、市关于部分企业军队转业干部解困政策。</w:t>
      </w:r>
    </w:p>
    <w:p>
      <w:pPr>
        <w:ind w:firstLine="640" w:firstLineChars="200"/>
        <w:rPr>
          <w:rFonts w:ascii="仿宋" w:hAnsi="仿宋" w:eastAsia="仿宋" w:cs="Times New Roman"/>
          <w:sz w:val="32"/>
          <w:szCs w:val="32"/>
        </w:rPr>
      </w:pPr>
      <w:r>
        <w:rPr>
          <w:rFonts w:hint="eastAsia" w:ascii="仿宋" w:hAnsi="仿宋" w:eastAsia="仿宋" w:cs="仿宋"/>
          <w:sz w:val="32"/>
          <w:szCs w:val="32"/>
        </w:rPr>
        <w:t>（五）组织协调落实移交地方的离退休军人、符合条件的其他退役军人和无军籍退休退职职工的住房保障工作，以及退役军人医疗保障、社会保险等待遇保障工作。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（六）组织指导伤病残退役军人服务管理和抚恤工作，贯彻落实有关退役军人医疗、疗养、养老等机构的规划政策。承担不适宜继续服役的伤病残军人相关工作。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（七）组织指导全县拥军优属工作。负责现役军人、退役军人、军属等优待、抚恤工作。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（八）负责烈士及退役军人荣誉奖励、英烈馆管理维护、纪念活动等工作，依法承担英雄烈士保护相关工作，总结表彰和宣传退役军人、退役军人工作单位和个人先进典型事迹。</w:t>
      </w:r>
    </w:p>
    <w:p>
      <w:pPr>
        <w:ind w:firstLine="640" w:firstLineChars="200"/>
        <w:rPr>
          <w:rFonts w:ascii="仿宋" w:hAnsi="仿宋" w:eastAsia="仿宋" w:cs="Times New Roman"/>
          <w:sz w:val="32"/>
          <w:szCs w:val="32"/>
        </w:rPr>
      </w:pPr>
      <w:r>
        <w:rPr>
          <w:rFonts w:hint="eastAsia" w:ascii="仿宋" w:hAnsi="仿宋" w:eastAsia="仿宋" w:cs="仿宋"/>
          <w:sz w:val="32"/>
          <w:szCs w:val="32"/>
        </w:rPr>
        <w:t>（九）指导并监督检查退役军人相关法律法规和政策措施的落实，组织开展退役军人权益维护和有关人员的帮扶援助工作。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（十）完成县委、县政府交办的其他任务。</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rPr>
            </w:pPr>
            <w:r>
              <w:rPr>
                <w:rFonts w:hint="eastAsia" w:ascii="方正书宋_GBK" w:eastAsia="方正书宋_GBK" w:cs="方正书宋_GBK"/>
              </w:rPr>
              <w:t>馆陶县退役军人事务局本级</w:t>
            </w:r>
          </w:p>
        </w:tc>
        <w:tc>
          <w:tcPr>
            <w:tcW w:w="1134"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正科级</w:t>
            </w:r>
          </w:p>
        </w:tc>
        <w:tc>
          <w:tcPr>
            <w:tcW w:w="2902"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馆陶县退役军人事务局（事业）</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正科级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center"/>
              <w:rPr>
                <w:rFonts w:ascii="Times New Roman" w:hAnsi="Times New Roman" w:eastAsia="方正书宋_GBK" w:cs="Times New Roman"/>
              </w:rPr>
            </w:pPr>
          </w:p>
        </w:tc>
        <w:tc>
          <w:tcPr>
            <w:tcW w:w="1276" w:type="dxa"/>
            <w:vAlign w:val="center"/>
          </w:tcPr>
          <w:p>
            <w:pPr>
              <w:spacing w:line="300" w:lineRule="exact"/>
              <w:jc w:val="center"/>
              <w:rPr>
                <w:rFonts w:ascii="Times New Roman" w:hAnsi="Times New Roman" w:eastAsia="方正书宋_GBK" w:cs="Times New Roman"/>
              </w:rPr>
            </w:pPr>
          </w:p>
        </w:tc>
        <w:tc>
          <w:tcPr>
            <w:tcW w:w="2902" w:type="dxa"/>
            <w:vAlign w:val="center"/>
          </w:tcPr>
          <w:p>
            <w:pPr>
              <w:spacing w:line="300" w:lineRule="exac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center"/>
              <w:rPr>
                <w:rFonts w:ascii="Times New Roman" w:hAnsi="Times New Roman" w:eastAsia="方正书宋_GBK" w:cs="Times New Roman"/>
              </w:rPr>
            </w:pPr>
          </w:p>
        </w:tc>
        <w:tc>
          <w:tcPr>
            <w:tcW w:w="1276" w:type="dxa"/>
            <w:vAlign w:val="center"/>
          </w:tcPr>
          <w:p>
            <w:pPr>
              <w:spacing w:line="300" w:lineRule="exact"/>
              <w:rPr>
                <w:rFonts w:ascii="Times New Roman" w:hAnsi="Times New Roman" w:eastAsia="方正书宋_GBK" w:cs="Times New Roman"/>
              </w:rPr>
            </w:pPr>
          </w:p>
        </w:tc>
        <w:tc>
          <w:tcPr>
            <w:tcW w:w="2902" w:type="dxa"/>
            <w:vAlign w:val="center"/>
          </w:tcPr>
          <w:p>
            <w:pPr>
              <w:spacing w:line="300" w:lineRule="exac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cs="Times New Roman"/>
              </w:rPr>
            </w:pPr>
          </w:p>
        </w:tc>
        <w:tc>
          <w:tcPr>
            <w:tcW w:w="1134" w:type="dxa"/>
            <w:vAlign w:val="center"/>
          </w:tcPr>
          <w:p>
            <w:pPr>
              <w:spacing w:line="300" w:lineRule="exact"/>
              <w:jc w:val="center"/>
              <w:rPr>
                <w:rFonts w:ascii="Times New Roman" w:hAnsi="Times New Roman" w:eastAsia="方正书宋_GBK" w:cs="Times New Roman"/>
              </w:rPr>
            </w:pPr>
          </w:p>
        </w:tc>
        <w:tc>
          <w:tcPr>
            <w:tcW w:w="1276" w:type="dxa"/>
            <w:vAlign w:val="center"/>
          </w:tcPr>
          <w:p>
            <w:pPr>
              <w:spacing w:line="300" w:lineRule="exact"/>
              <w:rPr>
                <w:rFonts w:ascii="Times New Roman" w:hAnsi="Times New Roman" w:eastAsia="方正书宋_GBK" w:cs="Times New Roman"/>
              </w:rPr>
            </w:pPr>
          </w:p>
        </w:tc>
        <w:tc>
          <w:tcPr>
            <w:tcW w:w="2902" w:type="dxa"/>
            <w:vAlign w:val="center"/>
          </w:tcPr>
          <w:p>
            <w:pPr>
              <w:spacing w:line="300" w:lineRule="exac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center"/>
              <w:rPr>
                <w:rFonts w:ascii="Times New Roman" w:hAnsi="Times New Roman" w:eastAsia="方正书宋_GBK" w:cs="Times New Roman"/>
              </w:rPr>
            </w:pPr>
          </w:p>
        </w:tc>
        <w:tc>
          <w:tcPr>
            <w:tcW w:w="1276" w:type="dxa"/>
            <w:vAlign w:val="center"/>
          </w:tcPr>
          <w:p>
            <w:pPr>
              <w:spacing w:line="300" w:lineRule="exact"/>
              <w:rPr>
                <w:rFonts w:ascii="Times New Roman" w:hAnsi="Times New Roman" w:eastAsia="方正书宋_GBK" w:cs="Times New Roman"/>
              </w:rPr>
            </w:pPr>
          </w:p>
        </w:tc>
        <w:tc>
          <w:tcPr>
            <w:tcW w:w="2902" w:type="dxa"/>
            <w:vAlign w:val="center"/>
          </w:tcPr>
          <w:p>
            <w:pPr>
              <w:spacing w:line="300" w:lineRule="exact"/>
              <w:rPr>
                <w:rFonts w:ascii="方正书宋_GBK" w:eastAsia="方正书宋_GBK" w:cs="Times New Roman"/>
              </w:rPr>
            </w:pPr>
          </w:p>
        </w:tc>
      </w:tr>
    </w:tbl>
    <w:p>
      <w:pPr>
        <w:rPr>
          <w:rFonts w:cs="Times New Roman"/>
        </w:rPr>
      </w:pPr>
      <w:r>
        <w:rPr>
          <w:rFonts w:cs="Times New Roman"/>
        </w:rPr>
        <w:br w:type="textWrapping" w:clear="all"/>
      </w: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按照预算管理有关规定，目前我单位部门预算的编制实行综合预算管理，即全部收入和支出都反映的预算中。馆陶县退役军人事务局的收支包含在部门预算中。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4265.5</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4265.5</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收支预算总表支出栏、基本支出表、项目支出表按经济分类和支出功能分类科目编制，反映馆陶县退役军人事务局年度部门预算中支出预算的总体情况。</w:t>
      </w:r>
      <w:r>
        <w:rPr>
          <w:rFonts w:ascii="Times New Roman" w:hAnsi="Times New Roman" w:eastAsia="仿宋" w:cs="Times New Roman"/>
          <w:sz w:val="32"/>
          <w:szCs w:val="32"/>
        </w:rPr>
        <w:t>2021</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4265.5</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749.32</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741.32</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8</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3516.18</w:t>
      </w:r>
      <w:r>
        <w:rPr>
          <w:rFonts w:hint="eastAsia" w:ascii="Times New Roman" w:hAnsi="Times New Roman" w:eastAsia="仿宋" w:cs="仿宋"/>
          <w:sz w:val="32"/>
          <w:szCs w:val="32"/>
        </w:rPr>
        <w:t>万元，主要为抚恤支出</w:t>
      </w:r>
      <w:r>
        <w:rPr>
          <w:rFonts w:ascii="Times New Roman" w:hAnsi="Times New Roman" w:eastAsia="仿宋" w:cs="Times New Roman"/>
          <w:sz w:val="32"/>
          <w:szCs w:val="32"/>
        </w:rPr>
        <w:t>2554.74</w:t>
      </w:r>
      <w:r>
        <w:rPr>
          <w:rFonts w:hint="eastAsia" w:ascii="Times New Roman" w:hAnsi="Times New Roman" w:eastAsia="仿宋" w:cs="仿宋"/>
          <w:sz w:val="32"/>
          <w:szCs w:val="32"/>
        </w:rPr>
        <w:t>万元，退役安置支出</w:t>
      </w:r>
      <w:r>
        <w:rPr>
          <w:rFonts w:ascii="Times New Roman" w:hAnsi="Times New Roman" w:eastAsia="仿宋" w:cs="Times New Roman"/>
          <w:sz w:val="32"/>
          <w:szCs w:val="32"/>
        </w:rPr>
        <w:t>699.78</w:t>
      </w:r>
      <w:r>
        <w:rPr>
          <w:rFonts w:hint="eastAsia" w:ascii="Times New Roman" w:hAnsi="Times New Roman" w:eastAsia="仿宋" w:cs="仿宋"/>
          <w:sz w:val="32"/>
          <w:szCs w:val="32"/>
        </w:rPr>
        <w:t>万元，退役军人管理事务支出</w:t>
      </w:r>
      <w:r>
        <w:rPr>
          <w:rFonts w:ascii="Times New Roman" w:hAnsi="Times New Roman" w:eastAsia="仿宋" w:cs="Times New Roman"/>
          <w:sz w:val="32"/>
          <w:szCs w:val="32"/>
        </w:rPr>
        <w:t>96</w:t>
      </w:r>
      <w:r>
        <w:rPr>
          <w:rFonts w:hint="eastAsia" w:ascii="Times New Roman" w:hAnsi="Times New Roman" w:eastAsia="仿宋" w:cs="仿宋"/>
          <w:sz w:val="32"/>
          <w:szCs w:val="32"/>
        </w:rPr>
        <w:t>万元，优抚对象医疗支出</w:t>
      </w:r>
      <w:r>
        <w:rPr>
          <w:rFonts w:ascii="Times New Roman" w:hAnsi="Times New Roman" w:eastAsia="仿宋" w:cs="Times New Roman"/>
          <w:sz w:val="32"/>
          <w:szCs w:val="32"/>
        </w:rPr>
        <w:t>165.66</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color w:val="000000"/>
          <w:sz w:val="32"/>
          <w:szCs w:val="32"/>
        </w:rPr>
        <w:t>2021</w:t>
      </w:r>
      <w:r>
        <w:rPr>
          <w:rFonts w:hint="eastAsia" w:ascii="Times New Roman" w:hAnsi="Times New Roman" w:eastAsia="仿宋" w:cs="仿宋"/>
          <w:color w:val="000000"/>
          <w:sz w:val="32"/>
          <w:szCs w:val="32"/>
        </w:rPr>
        <w:t>年部门预算收支安排</w:t>
      </w:r>
      <w:r>
        <w:rPr>
          <w:rFonts w:ascii="Times New Roman" w:hAnsi="Times New Roman" w:eastAsia="仿宋" w:cs="Times New Roman"/>
          <w:sz w:val="32"/>
          <w:szCs w:val="32"/>
        </w:rPr>
        <w:t>4265.5</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2020</w:t>
      </w:r>
      <w:r>
        <w:rPr>
          <w:rFonts w:hint="eastAsia" w:ascii="Times New Roman" w:hAnsi="Times New Roman" w:eastAsia="仿宋" w:cs="仿宋"/>
          <w:sz w:val="32"/>
          <w:szCs w:val="32"/>
        </w:rPr>
        <w:t>年增加</w:t>
      </w:r>
      <w:r>
        <w:rPr>
          <w:rFonts w:ascii="Times New Roman" w:hAnsi="Times New Roman" w:eastAsia="仿宋" w:cs="Times New Roman"/>
          <w:sz w:val="32"/>
          <w:szCs w:val="32"/>
        </w:rPr>
        <w:t>293.2</w:t>
      </w:r>
      <w:r>
        <w:rPr>
          <w:rFonts w:hint="eastAsia" w:ascii="Times New Roman" w:hAnsi="Times New Roman" w:eastAsia="仿宋" w:cs="仿宋"/>
          <w:sz w:val="32"/>
          <w:szCs w:val="32"/>
        </w:rPr>
        <w:t>万元，其中：基本支出增加</w:t>
      </w:r>
      <w:r>
        <w:rPr>
          <w:rFonts w:ascii="Times New Roman" w:hAnsi="Times New Roman" w:eastAsia="仿宋" w:cs="Times New Roman"/>
          <w:sz w:val="32"/>
          <w:szCs w:val="32"/>
        </w:rPr>
        <w:t>83.12</w:t>
      </w:r>
      <w:r>
        <w:rPr>
          <w:rFonts w:hint="eastAsia" w:ascii="Times New Roman" w:hAnsi="Times New Roman" w:eastAsia="仿宋" w:cs="仿宋"/>
          <w:sz w:val="32"/>
          <w:szCs w:val="32"/>
        </w:rPr>
        <w:t>万元，</w:t>
      </w:r>
      <w:r>
        <w:rPr>
          <w:rFonts w:hint="eastAsia" w:ascii="Times New Roman" w:hAnsi="Times New Roman" w:eastAsia="仿宋" w:cs="仿宋"/>
          <w:color w:val="000000"/>
          <w:sz w:val="32"/>
          <w:szCs w:val="32"/>
        </w:rPr>
        <w:t>主要是</w:t>
      </w:r>
      <w:r>
        <w:rPr>
          <w:rFonts w:ascii="Times New Roman" w:hAnsi="Times New Roman" w:eastAsia="仿宋" w:cs="Times New Roman"/>
          <w:color w:val="000000"/>
          <w:sz w:val="32"/>
          <w:szCs w:val="32"/>
        </w:rPr>
        <w:t>2021</w:t>
      </w:r>
      <w:r>
        <w:rPr>
          <w:rFonts w:hint="eastAsia" w:ascii="Times New Roman" w:hAnsi="Times New Roman" w:eastAsia="仿宋" w:cs="仿宋"/>
          <w:color w:val="000000"/>
          <w:sz w:val="32"/>
          <w:szCs w:val="32"/>
        </w:rPr>
        <w:t>年预算军退人员政府购买服务岗位人员人数增加，相应需增加岗位补贴资金；</w:t>
      </w:r>
      <w:r>
        <w:rPr>
          <w:rFonts w:hint="eastAsia" w:ascii="Times New Roman" w:hAnsi="Times New Roman" w:eastAsia="仿宋" w:cs="仿宋"/>
          <w:sz w:val="32"/>
          <w:szCs w:val="32"/>
        </w:rPr>
        <w:t>项目支出增加</w:t>
      </w:r>
      <w:r>
        <w:rPr>
          <w:rFonts w:ascii="Times New Roman" w:hAnsi="Times New Roman" w:eastAsia="仿宋" w:cs="Times New Roman"/>
          <w:sz w:val="32"/>
          <w:szCs w:val="32"/>
        </w:rPr>
        <w:t>210.08</w:t>
      </w:r>
      <w:r>
        <w:rPr>
          <w:rFonts w:hint="eastAsia" w:ascii="Times New Roman" w:hAnsi="Times New Roman" w:eastAsia="仿宋" w:cs="仿宋"/>
          <w:sz w:val="32"/>
          <w:szCs w:val="32"/>
        </w:rPr>
        <w:t>万元，主要是</w:t>
      </w:r>
      <w:r>
        <w:rPr>
          <w:rFonts w:ascii="Times New Roman" w:hAnsi="Times New Roman" w:eastAsia="仿宋" w:cs="Times New Roman"/>
          <w:sz w:val="32"/>
          <w:szCs w:val="32"/>
        </w:rPr>
        <w:t>2021</w:t>
      </w:r>
      <w:r>
        <w:rPr>
          <w:rFonts w:hint="eastAsia" w:ascii="Times New Roman" w:hAnsi="Times New Roman" w:eastAsia="仿宋" w:cs="仿宋"/>
          <w:sz w:val="32"/>
          <w:szCs w:val="32"/>
        </w:rPr>
        <w:t>年省级财政下达馆陶县英烈馆维修改造专项资金</w:t>
      </w:r>
      <w:r>
        <w:rPr>
          <w:rFonts w:ascii="Times New Roman" w:hAnsi="Times New Roman" w:eastAsia="仿宋" w:cs="Times New Roman"/>
          <w:sz w:val="32"/>
          <w:szCs w:val="32"/>
        </w:rPr>
        <w:t>210</w:t>
      </w:r>
      <w:r>
        <w:rPr>
          <w:rFonts w:hint="eastAsia" w:ascii="Times New Roman" w:hAnsi="Times New Roman" w:eastAsia="仿宋" w:cs="仿宋"/>
          <w:sz w:val="32"/>
          <w:szCs w:val="32"/>
        </w:rPr>
        <w:t>万元；其他支出无增减变化。</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2021</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16.24</w:t>
      </w:r>
      <w:r>
        <w:rPr>
          <w:rFonts w:hint="eastAsia" w:ascii="Times New Roman" w:hAnsi="Times New Roman" w:eastAsia="仿宋" w:cs="仿宋"/>
          <w:sz w:val="32"/>
          <w:szCs w:val="32"/>
        </w:rPr>
        <w:t>万元，主要用于机关日常办公、水电费、邮电费等日常运行支出。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00" w:lineRule="exact"/>
        <w:ind w:firstLine="640" w:firstLineChars="200"/>
        <w:jc w:val="left"/>
        <w:rPr>
          <w:rFonts w:ascii="仿宋" w:hAnsi="仿宋" w:eastAsia="仿宋" w:cs="Times New Roman"/>
          <w:sz w:val="32"/>
          <w:szCs w:val="32"/>
        </w:rPr>
      </w:pPr>
      <w:r>
        <w:rPr>
          <w:rFonts w:ascii="仿宋" w:hAnsi="仿宋" w:eastAsia="仿宋" w:cs="仿宋"/>
          <w:sz w:val="32"/>
          <w:szCs w:val="32"/>
        </w:rPr>
        <w:t>2021</w:t>
      </w:r>
      <w:r>
        <w:rPr>
          <w:rFonts w:hint="eastAsia" w:ascii="仿宋" w:hAnsi="仿宋" w:eastAsia="仿宋" w:cs="仿宋"/>
          <w:sz w:val="32"/>
          <w:szCs w:val="32"/>
        </w:rPr>
        <w:t>年，财政拨款“三公”经费预算安排</w:t>
      </w:r>
      <w:r>
        <w:rPr>
          <w:rFonts w:ascii="仿宋" w:hAnsi="仿宋" w:eastAsia="仿宋" w:cs="仿宋"/>
          <w:sz w:val="32"/>
          <w:szCs w:val="32"/>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万元；公务用车购置及运行维护费</w:t>
      </w:r>
      <w:r>
        <w:rPr>
          <w:rFonts w:ascii="仿宋" w:hAnsi="仿宋" w:eastAsia="仿宋" w:cs="仿宋"/>
          <w:sz w:val="32"/>
          <w:szCs w:val="32"/>
        </w:rPr>
        <w:t>0</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0</w:t>
      </w:r>
      <w:r>
        <w:rPr>
          <w:rFonts w:hint="eastAsia" w:ascii="仿宋" w:hAnsi="仿宋" w:eastAsia="仿宋" w:cs="仿宋"/>
          <w:sz w:val="32"/>
          <w:szCs w:val="32"/>
        </w:rPr>
        <w:t>万元）；公务接待费</w:t>
      </w:r>
      <w:r>
        <w:rPr>
          <w:rFonts w:ascii="仿宋" w:hAnsi="仿宋" w:eastAsia="仿宋" w:cs="仿宋"/>
          <w:sz w:val="32"/>
          <w:szCs w:val="32"/>
        </w:rPr>
        <w:t>0</w:t>
      </w:r>
      <w:r>
        <w:rPr>
          <w:rFonts w:hint="eastAsia" w:ascii="仿宋" w:hAnsi="仿宋" w:eastAsia="仿宋" w:cs="仿宋"/>
          <w:sz w:val="32"/>
          <w:szCs w:val="32"/>
        </w:rPr>
        <w:t>万元。“三公”经费与上年持平，无增减变化。</w:t>
      </w:r>
    </w:p>
    <w:p>
      <w:pPr>
        <w:spacing w:line="500" w:lineRule="exact"/>
        <w:ind w:firstLine="640" w:firstLineChars="200"/>
        <w:jc w:val="left"/>
        <w:rPr>
          <w:rFonts w:ascii="仿宋" w:hAnsi="仿宋" w:eastAsia="仿宋" w:cs="Times New Roman"/>
          <w:sz w:val="32"/>
          <w:szCs w:val="32"/>
        </w:rPr>
      </w:pPr>
      <w:r>
        <w:rPr>
          <w:rFonts w:hint="eastAsia" w:ascii="黑体" w:hAnsi="黑体" w:eastAsia="黑体" w:cs="黑体"/>
          <w:sz w:val="32"/>
          <w:szCs w:val="32"/>
        </w:rPr>
        <w:t>五、预算绩效信息</w:t>
      </w:r>
    </w:p>
    <w:p>
      <w:pPr>
        <w:autoSpaceDE w:val="0"/>
        <w:autoSpaceDN w:val="0"/>
        <w:adjustRightInd w:val="0"/>
        <w:ind w:left="198" w:firstLine="1928" w:firstLineChars="600"/>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ind w:firstLine="640" w:firstLineChars="200"/>
        <w:rPr>
          <w:rFonts w:ascii="仿宋" w:hAnsi="仿宋" w:eastAsia="仿宋" w:cs="Times New Roman"/>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部门整体绩效目标</w:t>
      </w:r>
    </w:p>
    <w:p>
      <w:pPr>
        <w:ind w:firstLine="640" w:firstLineChars="200"/>
        <w:rPr>
          <w:rFonts w:ascii="仿宋" w:hAnsi="仿宋" w:eastAsia="仿宋" w:cs="Times New Roman"/>
          <w:sz w:val="32"/>
          <w:szCs w:val="32"/>
        </w:rPr>
      </w:pPr>
      <w:r>
        <w:rPr>
          <w:rFonts w:hint="eastAsia" w:ascii="仿宋" w:hAnsi="仿宋" w:eastAsia="仿宋" w:cs="仿宋"/>
          <w:sz w:val="32"/>
          <w:szCs w:val="32"/>
        </w:rPr>
        <w:t>（一）总体绩效目标</w:t>
      </w:r>
      <w:r>
        <w:rPr>
          <w:rFonts w:ascii="仿宋" w:hAnsi="仿宋" w:eastAsia="仿宋" w:cs="仿宋"/>
          <w:sz w:val="32"/>
          <w:szCs w:val="32"/>
        </w:rPr>
        <w:fldChar w:fldCharType="begin"/>
      </w:r>
      <w:r>
        <w:rPr>
          <w:rFonts w:ascii="仿宋" w:hAnsi="仿宋" w:eastAsia="仿宋" w:cs="Times New Roman"/>
          <w:sz w:val="32"/>
          <w:szCs w:val="32"/>
        </w:rPr>
        <w:instrText xml:space="preserve">tc "</w:instrText>
      </w:r>
      <w:bookmarkStart w:id="1" w:name="_Toc30057650"/>
      <w:r>
        <w:rPr>
          <w:rFonts w:hint="eastAsia" w:ascii="仿宋" w:hAnsi="仿宋" w:eastAsia="仿宋" w:cs="仿宋"/>
          <w:sz w:val="32"/>
          <w:szCs w:val="32"/>
        </w:rPr>
        <w:instrText xml:space="preserve">总体绩效目标</w:instrText>
      </w:r>
      <w:bookmarkEnd w:id="1"/>
      <w:r>
        <w:rPr>
          <w:rFonts w:ascii="仿宋" w:hAnsi="仿宋" w:eastAsia="仿宋" w:cs="Times New Roman"/>
          <w:sz w:val="32"/>
          <w:szCs w:val="32"/>
        </w:rPr>
        <w:instrText xml:space="preserve">" \f A \l 0</w:instrText>
      </w:r>
      <w:r>
        <w:rPr>
          <w:rFonts w:ascii="仿宋" w:hAnsi="仿宋" w:eastAsia="仿宋" w:cs="仿宋"/>
          <w:sz w:val="32"/>
          <w:szCs w:val="32"/>
        </w:rPr>
        <w:instrText xml:space="preserve">000000000001</w:instrText>
      </w:r>
      <w:r>
        <w:rPr>
          <w:rFonts w:ascii="仿宋" w:hAnsi="仿宋" w:eastAsia="仿宋" w:cs="仿宋"/>
          <w:sz w:val="32"/>
          <w:szCs w:val="32"/>
        </w:rPr>
        <w:fldChar w:fldCharType="end"/>
      </w:r>
    </w:p>
    <w:p>
      <w:pPr>
        <w:ind w:firstLine="640" w:firstLineChars="200"/>
        <w:rPr>
          <w:rFonts w:ascii="仿宋" w:hAnsi="仿宋" w:eastAsia="仿宋" w:cs="Times New Roman"/>
          <w:sz w:val="32"/>
          <w:szCs w:val="32"/>
        </w:rPr>
      </w:pPr>
      <w:r>
        <w:rPr>
          <w:rFonts w:hint="eastAsia" w:ascii="仿宋" w:hAnsi="仿宋" w:eastAsia="仿宋" w:cs="仿宋"/>
          <w:sz w:val="32"/>
          <w:szCs w:val="32"/>
        </w:rPr>
        <w:t>紧紧围绕“做好退役军人服务保障工作，维护军人军属合法权益，让军人成为全社会尊崇的职业”的工作目标，贯彻和落实退役军人工作的法律法规和政策规定，拟订我县退役军人思想政治、管理保障和安置优抚等工作的具体措施并组织实施，褒扬彰显退役军人为党、国家和人民牺牲奉献的精神风范和价值导向。负责全县军队转业干部、复员干部、离休退休干部、退役士兵和无军籍退休退职职工的移交安置工作和自主择业、就业退役军人服务管理工作。组织开展退役军人教育培训工作。会同有关部门拟定贯彻落实退役军人特殊保障政策的具体措施并组织实施，配合做好指导退役军人党建工作。组织协调落实移交地方的离休退休军人以及退役军人医疗保障、社会保险等待遇保障工作。组织开展伤病残退役军人服务管理和抚恤工作。组织开展全县拥军优属工作。负责烈士及退役军人荣誉奖励、纪念活动等工作，依法承担英雄烈士保护相关工作，总结表彰和宣扬退役军人、退役军人工作单位和个人先进典型事迹，营造关心国防、热爱部队、崇尚军人、敬重英雄的社会氛围。组织开展退役军人权益维护和有关人员的帮扶援助工作。深化改革创新，防范化解重大风险，加强作风建设，积极进取、奋发有为，努力开创新时代退役军人服务工作新局面。</w:t>
      </w:r>
    </w:p>
    <w:p>
      <w:pPr>
        <w:ind w:firstLine="640" w:firstLineChars="200"/>
        <w:rPr>
          <w:rFonts w:ascii="仿宋" w:hAnsi="仿宋" w:eastAsia="仿宋" w:cs="Times New Roman"/>
          <w:sz w:val="32"/>
          <w:szCs w:val="32"/>
        </w:rPr>
      </w:pPr>
      <w:r>
        <w:rPr>
          <w:rFonts w:hint="eastAsia" w:ascii="仿宋" w:hAnsi="仿宋" w:eastAsia="仿宋" w:cs="仿宋"/>
          <w:sz w:val="32"/>
          <w:szCs w:val="32"/>
        </w:rPr>
        <w:t>（二）分项绩效目标</w:t>
      </w:r>
      <w:r>
        <w:rPr>
          <w:rFonts w:ascii="仿宋" w:hAnsi="仿宋" w:eastAsia="仿宋" w:cs="仿宋"/>
          <w:sz w:val="32"/>
          <w:szCs w:val="32"/>
        </w:rPr>
        <w:fldChar w:fldCharType="begin"/>
      </w:r>
      <w:r>
        <w:rPr>
          <w:rFonts w:ascii="仿宋" w:hAnsi="仿宋" w:eastAsia="仿宋" w:cs="Times New Roman"/>
          <w:sz w:val="32"/>
          <w:szCs w:val="32"/>
        </w:rPr>
        <w:instrText xml:space="preserve">tc "</w:instrText>
      </w:r>
      <w:bookmarkStart w:id="2" w:name="_Toc30057651"/>
      <w:r>
        <w:rPr>
          <w:rFonts w:hint="eastAsia" w:ascii="仿宋" w:hAnsi="仿宋" w:eastAsia="仿宋" w:cs="仿宋"/>
          <w:sz w:val="32"/>
          <w:szCs w:val="32"/>
        </w:rPr>
        <w:instrText xml:space="preserve">分项绩效目标</w:instrText>
      </w:r>
      <w:bookmarkEnd w:id="2"/>
      <w:r>
        <w:rPr>
          <w:rFonts w:ascii="仿宋" w:hAnsi="仿宋" w:eastAsia="仿宋" w:cs="Times New Roman"/>
          <w:sz w:val="32"/>
          <w:szCs w:val="32"/>
        </w:rPr>
        <w:instrText xml:space="preserve">" \f A \l 0</w:instrText>
      </w:r>
      <w:r>
        <w:rPr>
          <w:rFonts w:ascii="仿宋" w:hAnsi="仿宋" w:eastAsia="仿宋" w:cs="仿宋"/>
          <w:sz w:val="32"/>
          <w:szCs w:val="32"/>
        </w:rPr>
        <w:instrText xml:space="preserve">000000000001</w:instrText>
      </w:r>
      <w:r>
        <w:rPr>
          <w:rFonts w:ascii="仿宋" w:hAnsi="仿宋" w:eastAsia="仿宋" w:cs="仿宋"/>
          <w:sz w:val="32"/>
          <w:szCs w:val="32"/>
        </w:rPr>
        <w:fldChar w:fldCharType="end"/>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、做好全县优待抚恤工作。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绩效目标：按规定向全县烈士遗属、因公牺牲军人遗属、病故军人遗属、伤残军人、伤残人民警察、伤残国家机关工作人员、伤残民兵民工、全区抗日时期在乡复员军人、解放和中华人民共和国成立后</w:t>
      </w:r>
      <w:bookmarkStart w:id="6" w:name="_GoBack"/>
      <w:bookmarkEnd w:id="6"/>
      <w:r>
        <w:rPr>
          <w:rFonts w:hint="eastAsia" w:ascii="仿宋" w:hAnsi="仿宋" w:eastAsia="仿宋" w:cs="仿宋"/>
          <w:sz w:val="32"/>
          <w:szCs w:val="32"/>
        </w:rPr>
        <w:t>在乡复员军人、带病回乡退伍军人、参战参试退役人员、满</w:t>
      </w:r>
      <w:r>
        <w:rPr>
          <w:rFonts w:ascii="仿宋" w:hAnsi="仿宋" w:eastAsia="仿宋" w:cs="仿宋"/>
          <w:sz w:val="32"/>
          <w:szCs w:val="32"/>
        </w:rPr>
        <w:t>60</w:t>
      </w:r>
      <w:r>
        <w:rPr>
          <w:rFonts w:hint="eastAsia" w:ascii="仿宋" w:hAnsi="仿宋" w:eastAsia="仿宋" w:cs="仿宋"/>
          <w:sz w:val="32"/>
          <w:szCs w:val="32"/>
        </w:rPr>
        <w:t>周岁的烈士子女等优抚对象发放抚恤补助和医疗补助，为全县现役义务兵家庭发放优待金，有效保障优抚对象基本生活，调动义务兵安心服役、献身国防的积极性。</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绩效指标：我县优抚对象符合条件的共</w:t>
      </w:r>
      <w:r>
        <w:rPr>
          <w:rFonts w:ascii="仿宋" w:hAnsi="仿宋" w:eastAsia="仿宋" w:cs="仿宋"/>
          <w:sz w:val="32"/>
          <w:szCs w:val="32"/>
        </w:rPr>
        <w:t>2820</w:t>
      </w:r>
      <w:r>
        <w:rPr>
          <w:rFonts w:hint="eastAsia" w:ascii="仿宋" w:hAnsi="仿宋" w:eastAsia="仿宋" w:cs="仿宋"/>
          <w:sz w:val="32"/>
          <w:szCs w:val="32"/>
        </w:rPr>
        <w:t>人，及时足额兑现各类抚恤补助资金和医疗补助资金，发放率、覆盖率达到</w:t>
      </w:r>
      <w:r>
        <w:rPr>
          <w:rFonts w:ascii="仿宋" w:hAnsi="仿宋" w:eastAsia="仿宋" w:cs="仿宋"/>
          <w:sz w:val="32"/>
          <w:szCs w:val="32"/>
        </w:rPr>
        <w:t>100%</w:t>
      </w:r>
      <w:r>
        <w:rPr>
          <w:rFonts w:hint="eastAsia" w:ascii="仿宋" w:hAnsi="仿宋" w:eastAsia="仿宋" w:cs="仿宋"/>
          <w:sz w:val="32"/>
          <w:szCs w:val="32"/>
        </w:rPr>
        <w:t>。义务兵家庭优待金发放到位率</w:t>
      </w:r>
      <w:r>
        <w:rPr>
          <w:rFonts w:ascii="仿宋" w:hAnsi="仿宋" w:eastAsia="仿宋" w:cs="仿宋"/>
          <w:sz w:val="32"/>
          <w:szCs w:val="32"/>
        </w:rPr>
        <w:t>95%</w:t>
      </w:r>
      <w:r>
        <w:rPr>
          <w:rFonts w:hint="eastAsia" w:ascii="仿宋" w:hAnsi="仿宋" w:eastAsia="仿宋" w:cs="仿宋"/>
          <w:sz w:val="32"/>
          <w:szCs w:val="32"/>
        </w:rPr>
        <w:t>以上，使优抚对象满意度</w:t>
      </w:r>
      <w:r>
        <w:rPr>
          <w:rFonts w:ascii="仿宋" w:hAnsi="仿宋" w:eastAsia="仿宋" w:cs="仿宋"/>
          <w:sz w:val="32"/>
          <w:szCs w:val="32"/>
        </w:rPr>
        <w:t>90%</w:t>
      </w:r>
      <w:r>
        <w:rPr>
          <w:rFonts w:hint="eastAsia" w:ascii="仿宋" w:hAnsi="仿宋" w:eastAsia="仿宋" w:cs="仿宋"/>
          <w:sz w:val="32"/>
          <w:szCs w:val="32"/>
        </w:rPr>
        <w:t>以上。</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、做好全县双拥拥军优属工作。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绩效目标：严格贯彻落实党的十九大精神和上级有关法规、政策、文件要求，不断提升现役军人、退役军人和其他优抚对象的获得感和荣誉感，不断巩固军政军民团结，让军人成为全社会尊崇的职业。</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绩效指标：据核查统计我县驻馆部队单位</w:t>
      </w:r>
      <w:r>
        <w:rPr>
          <w:rFonts w:ascii="仿宋" w:hAnsi="仿宋" w:eastAsia="仿宋" w:cs="仿宋"/>
          <w:sz w:val="32"/>
          <w:szCs w:val="32"/>
        </w:rPr>
        <w:t>3</w:t>
      </w:r>
      <w:r>
        <w:rPr>
          <w:rFonts w:hint="eastAsia" w:ascii="仿宋" w:hAnsi="仿宋" w:eastAsia="仿宋" w:cs="仿宋"/>
          <w:sz w:val="32"/>
          <w:szCs w:val="32"/>
        </w:rPr>
        <w:t>家（武装部、</w:t>
      </w:r>
      <w:r>
        <w:rPr>
          <w:rFonts w:ascii="仿宋" w:hAnsi="仿宋" w:eastAsia="仿宋" w:cs="仿宋"/>
          <w:sz w:val="32"/>
          <w:szCs w:val="32"/>
        </w:rPr>
        <w:t>66389</w:t>
      </w:r>
      <w:r>
        <w:rPr>
          <w:rFonts w:hint="eastAsia" w:ascii="仿宋" w:hAnsi="仿宋" w:eastAsia="仿宋" w:cs="仿宋"/>
          <w:sz w:val="32"/>
          <w:szCs w:val="32"/>
        </w:rPr>
        <w:t>部队、武警县中队），每个单位重大节日慰问资金不低于周边县标准，合理使用预算经费，项目执行率达</w:t>
      </w:r>
      <w:r>
        <w:rPr>
          <w:rFonts w:ascii="仿宋" w:hAnsi="仿宋" w:eastAsia="仿宋" w:cs="仿宋"/>
          <w:sz w:val="32"/>
          <w:szCs w:val="32"/>
        </w:rPr>
        <w:t>100%</w:t>
      </w:r>
      <w:r>
        <w:rPr>
          <w:rFonts w:hint="eastAsia" w:ascii="仿宋" w:hAnsi="仿宋" w:eastAsia="仿宋" w:cs="仿宋"/>
          <w:sz w:val="32"/>
          <w:szCs w:val="32"/>
        </w:rPr>
        <w:t>。</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、做好退役军人信访维稳工作，确保相关政策落实到位。</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绩效目标：加强北京退役军人事务部值班工作和敏感节点攻坚行动，保障进京信访稳定。</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绩效指标：加强驻京值班制度，通过值守及耐心细致政策解释，精心组织排查和现场处置，争取进京上访人数递减。</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、做好退役军人安置工作。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绩效目标：为退役士兵发放自谋职业金及待安置期间生活费，缴纳待安置期间医疗、养老保险改善他们生活标准，提高退役士兵的家庭发展能力。</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绩效指标：按照冀民【</w:t>
      </w:r>
      <w:r>
        <w:rPr>
          <w:rFonts w:ascii="仿宋" w:hAnsi="仿宋" w:eastAsia="仿宋" w:cs="仿宋"/>
          <w:sz w:val="32"/>
          <w:szCs w:val="32"/>
        </w:rPr>
        <w:t>2012</w:t>
      </w:r>
      <w:r>
        <w:rPr>
          <w:rFonts w:hint="eastAsia" w:ascii="仿宋" w:hAnsi="仿宋" w:eastAsia="仿宋" w:cs="仿宋"/>
          <w:sz w:val="32"/>
          <w:szCs w:val="32"/>
        </w:rPr>
        <w:t>】</w:t>
      </w:r>
      <w:r>
        <w:rPr>
          <w:rFonts w:ascii="仿宋" w:hAnsi="仿宋" w:eastAsia="仿宋" w:cs="仿宋"/>
          <w:sz w:val="32"/>
          <w:szCs w:val="32"/>
        </w:rPr>
        <w:t>99</w:t>
      </w:r>
      <w:r>
        <w:rPr>
          <w:rFonts w:hint="eastAsia" w:ascii="仿宋" w:hAnsi="仿宋" w:eastAsia="仿宋" w:cs="仿宋"/>
          <w:sz w:val="32"/>
          <w:szCs w:val="32"/>
        </w:rPr>
        <w:t>号规定标准为退役士兵发放自谋职业金及待安置期间生活费。缴纳待安置期间养老保险。做到及时足额发放，发放率、覆盖率达到</w:t>
      </w:r>
      <w:r>
        <w:rPr>
          <w:rFonts w:ascii="仿宋" w:hAnsi="仿宋" w:eastAsia="仿宋" w:cs="仿宋"/>
          <w:sz w:val="32"/>
          <w:szCs w:val="32"/>
        </w:rPr>
        <w:t>100%</w:t>
      </w:r>
      <w:r>
        <w:rPr>
          <w:rFonts w:hint="eastAsia" w:ascii="仿宋" w:hAnsi="仿宋" w:eastAsia="仿宋" w:cs="仿宋"/>
          <w:sz w:val="32"/>
          <w:szCs w:val="32"/>
        </w:rPr>
        <w:t>。</w:t>
      </w:r>
    </w:p>
    <w:p>
      <w:pPr>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、全面落实军休干部政治待遇及生活待遇。</w:t>
      </w:r>
    </w:p>
    <w:p>
      <w:pPr>
        <w:ind w:firstLine="640" w:firstLineChars="200"/>
        <w:rPr>
          <w:rFonts w:ascii="仿宋" w:hAnsi="仿宋" w:eastAsia="仿宋" w:cs="仿宋"/>
          <w:sz w:val="32"/>
          <w:szCs w:val="32"/>
        </w:rPr>
      </w:pPr>
      <w:r>
        <w:rPr>
          <w:rFonts w:hint="eastAsia" w:ascii="仿宋" w:hAnsi="仿宋" w:eastAsia="仿宋" w:cs="仿宋"/>
          <w:sz w:val="32"/>
          <w:szCs w:val="32"/>
        </w:rPr>
        <w:t>绩效目标：规范管理，提升服务管理水平，按时准确发放军休干部离退休费用，落实军休干部的政治待遇和生活待遇，确保医疗保险准时上缴。</w:t>
      </w:r>
      <w:r>
        <w:rPr>
          <w:rFonts w:ascii="仿宋" w:hAnsi="仿宋" w:eastAsia="仿宋" w:cs="仿宋"/>
          <w:sz w:val="32"/>
          <w:szCs w:val="32"/>
        </w:rPr>
        <w:t xml:space="preserve"> </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绩效指标：按月及时足额发放军休干部离退休费；</w:t>
      </w:r>
      <w:r>
        <w:rPr>
          <w:rFonts w:ascii="仿宋" w:hAnsi="仿宋" w:eastAsia="仿宋" w:cs="仿宋"/>
          <w:sz w:val="32"/>
          <w:szCs w:val="32"/>
        </w:rPr>
        <w:t xml:space="preserve"> </w:t>
      </w:r>
      <w:r>
        <w:rPr>
          <w:rFonts w:hint="eastAsia" w:ascii="仿宋" w:hAnsi="仿宋" w:eastAsia="仿宋" w:cs="仿宋"/>
          <w:sz w:val="32"/>
          <w:szCs w:val="32"/>
        </w:rPr>
        <w:t>切实落实军休干部生活补贴、医保、体检、疗养、节日慰问金、集体活动等各项生活待遇；</w:t>
      </w:r>
      <w:r>
        <w:rPr>
          <w:rFonts w:ascii="仿宋" w:hAnsi="仿宋" w:eastAsia="仿宋" w:cs="仿宋"/>
          <w:sz w:val="32"/>
          <w:szCs w:val="32"/>
        </w:rPr>
        <w:t xml:space="preserve"> </w:t>
      </w:r>
      <w:r>
        <w:rPr>
          <w:rFonts w:hint="eastAsia" w:ascii="仿宋" w:hAnsi="仿宋" w:eastAsia="仿宋" w:cs="仿宋"/>
          <w:sz w:val="32"/>
          <w:szCs w:val="32"/>
        </w:rPr>
        <w:t>使军休干部对军休工作的服务满意度达到</w:t>
      </w:r>
      <w:r>
        <w:rPr>
          <w:rFonts w:ascii="仿宋" w:hAnsi="仿宋" w:eastAsia="仿宋" w:cs="仿宋"/>
          <w:sz w:val="32"/>
          <w:szCs w:val="32"/>
        </w:rPr>
        <w:t>95%</w:t>
      </w:r>
      <w:r>
        <w:rPr>
          <w:rFonts w:hint="eastAsia" w:ascii="仿宋" w:hAnsi="仿宋" w:eastAsia="仿宋" w:cs="仿宋"/>
          <w:sz w:val="32"/>
          <w:szCs w:val="32"/>
        </w:rPr>
        <w:t>以上</w:t>
      </w:r>
    </w:p>
    <w:p>
      <w:pPr>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、做好军转干部思想政治和权益维护工作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绩效目标：落实中央关于军转干部待遇政策，努力提高群体满意度和社会大局稳定程度。</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绩效指标：落实辖区内企业军转退休干部困难生活补助及各项慰问活动到位率</w:t>
      </w:r>
      <w:r>
        <w:rPr>
          <w:rFonts w:ascii="仿宋" w:hAnsi="仿宋" w:eastAsia="仿宋" w:cs="仿宋"/>
          <w:sz w:val="32"/>
          <w:szCs w:val="32"/>
        </w:rPr>
        <w:t>95%</w:t>
      </w:r>
      <w:r>
        <w:rPr>
          <w:rFonts w:hint="eastAsia" w:ascii="仿宋" w:hAnsi="仿宋" w:eastAsia="仿宋" w:cs="仿宋"/>
          <w:sz w:val="32"/>
          <w:szCs w:val="32"/>
        </w:rPr>
        <w:t>以上，确保群众满意度</w:t>
      </w:r>
      <w:r>
        <w:rPr>
          <w:rFonts w:ascii="仿宋" w:hAnsi="仿宋" w:eastAsia="仿宋" w:cs="仿宋"/>
          <w:sz w:val="32"/>
          <w:szCs w:val="32"/>
        </w:rPr>
        <w:t>90%</w:t>
      </w:r>
      <w:r>
        <w:rPr>
          <w:rFonts w:hint="eastAsia" w:ascii="仿宋" w:hAnsi="仿宋" w:eastAsia="仿宋" w:cs="仿宋"/>
          <w:sz w:val="32"/>
          <w:szCs w:val="32"/>
        </w:rPr>
        <w:t>以上。</w:t>
      </w:r>
    </w:p>
    <w:p>
      <w:pPr>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、做好英烈馆的维护工作。</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绩效目标：英烈馆日常修缮、管理、维护、搜集整理烈士信息、填写烈士英名录，为纪念缅怀英雄烈士提供场所，发挥其作为爱国主义教育基地的作用。</w:t>
      </w:r>
    </w:p>
    <w:p>
      <w:pPr>
        <w:ind w:firstLine="640" w:firstLineChars="200"/>
        <w:rPr>
          <w:rFonts w:ascii="仿宋" w:hAnsi="仿宋" w:eastAsia="仿宋" w:cs="Times New Roman"/>
          <w:sz w:val="32"/>
          <w:szCs w:val="32"/>
        </w:rPr>
      </w:pPr>
      <w:r>
        <w:rPr>
          <w:rFonts w:hint="eastAsia" w:ascii="仿宋" w:hAnsi="仿宋" w:eastAsia="仿宋" w:cs="仿宋"/>
          <w:sz w:val="32"/>
          <w:szCs w:val="32"/>
        </w:rPr>
        <w:t>绩效指标：英烈馆的园林绿化、环境卫生、水电维修、纪念馆、办公区域得到了专业化、规范化和科学化的管理，英烈馆清洁卫生情况优良，卫生清洁及时，提高英烈馆整体管理水平，为广大市民提供更好的缅怀烈士的环境。</w:t>
      </w:r>
    </w:p>
    <w:p>
      <w:pPr>
        <w:ind w:firstLine="640" w:firstLineChars="200"/>
        <w:rPr>
          <w:rFonts w:ascii="仿宋" w:hAnsi="仿宋" w:eastAsia="仿宋" w:cs="Times New Roman"/>
          <w:sz w:val="32"/>
          <w:szCs w:val="32"/>
        </w:rPr>
      </w:pPr>
      <w:r>
        <w:rPr>
          <w:rFonts w:hint="eastAsia" w:ascii="仿宋" w:hAnsi="仿宋" w:eastAsia="仿宋" w:cs="仿宋"/>
          <w:sz w:val="32"/>
          <w:szCs w:val="32"/>
        </w:rPr>
        <w:t>（三）工作保障措施</w:t>
      </w:r>
      <w:r>
        <w:rPr>
          <w:rFonts w:ascii="仿宋" w:hAnsi="仿宋" w:eastAsia="仿宋" w:cs="仿宋"/>
          <w:sz w:val="32"/>
          <w:szCs w:val="32"/>
        </w:rPr>
        <w:fldChar w:fldCharType="begin"/>
      </w:r>
      <w:r>
        <w:rPr>
          <w:rFonts w:ascii="仿宋" w:hAnsi="仿宋" w:eastAsia="仿宋" w:cs="Times New Roman"/>
          <w:sz w:val="32"/>
          <w:szCs w:val="32"/>
        </w:rPr>
        <w:instrText xml:space="preserve">tc "</w:instrText>
      </w:r>
      <w:bookmarkStart w:id="3" w:name="_Toc30057652"/>
      <w:r>
        <w:rPr>
          <w:rFonts w:hint="eastAsia" w:ascii="仿宋" w:hAnsi="仿宋" w:eastAsia="仿宋" w:cs="仿宋"/>
          <w:sz w:val="32"/>
          <w:szCs w:val="32"/>
        </w:rPr>
        <w:instrText xml:space="preserve">工作保障措施</w:instrText>
      </w:r>
      <w:bookmarkEnd w:id="3"/>
      <w:r>
        <w:rPr>
          <w:rFonts w:ascii="仿宋" w:hAnsi="仿宋" w:eastAsia="仿宋" w:cs="Times New Roman"/>
          <w:sz w:val="32"/>
          <w:szCs w:val="32"/>
        </w:rPr>
        <w:instrText xml:space="preserve">" \f A \l 0</w:instrText>
      </w:r>
      <w:r>
        <w:rPr>
          <w:rFonts w:ascii="仿宋" w:hAnsi="仿宋" w:eastAsia="仿宋" w:cs="仿宋"/>
          <w:sz w:val="32"/>
          <w:szCs w:val="32"/>
        </w:rPr>
        <w:instrText xml:space="preserve">000000000001</w:instrText>
      </w:r>
      <w:r>
        <w:rPr>
          <w:rFonts w:ascii="仿宋" w:hAnsi="仿宋" w:eastAsia="仿宋" w:cs="仿宋"/>
          <w:sz w:val="32"/>
          <w:szCs w:val="32"/>
        </w:rPr>
        <w:fldChar w:fldCharType="end"/>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提高政治站位。深入学习领会习近平总书记关于退役军人工作的重要论述和重要指示批示精神，切实提高政治站位，增强大局观念、协同意识，自觉服从服务于党和国家工作大局，把做好退役军人工作作为重要政治任务、当作分内之责，主动作为，确保党中央关于退役军人工作决策部署落地见效。</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推进规范管理。建立健全管理制度，明确工作岗位职责，落实我县退役军人事务系统管理规范和部门工作标准。加强工作过程控制，形成各项工作运行程序规则，建立可操作、易执行的工作流程，加强固定资产登记、使用和报废处置管理，做到支出合理，物尽其用。为全年预算绩效目标的实现奠定制度基础。</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、落实资金保障。加强退役军人事务部门和服务管理机构组建运行经费保障，用于保障退役军人社保接续、走访慰问、生活补助、医疗补助等方面，确保退役军人服务管理机构正常运转，确保资金支出进度达标。</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、加强绩效运行监控。按要求开展绩效运行监控，发现问题及时采取措施，确保绩效目标如期保质实现。</w:t>
      </w:r>
    </w:p>
    <w:p>
      <w:pPr>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加强内部监督。加强内部监督制度建设，对绩效运行情况、重大支出决策、资产处置及其他重要业务事项的决策和执行进行督导，对会计资料进行内部审计，并配合好审计、财政监督等外部监督工作，确保财政资金安全有效。</w:t>
      </w:r>
    </w:p>
    <w:p>
      <w:pPr>
        <w:spacing w:line="500" w:lineRule="exact"/>
        <w:ind w:firstLine="560" w:firstLineChars="200"/>
        <w:jc w:val="left"/>
        <w:rPr>
          <w:rFonts w:ascii="Times New Roman" w:eastAsia="方正仿宋_GBK" w:cs="Times New Roman"/>
          <w:sz w:val="28"/>
          <w:szCs w:val="28"/>
        </w:rPr>
      </w:pPr>
    </w:p>
    <w:p>
      <w:pPr>
        <w:autoSpaceDE w:val="0"/>
        <w:autoSpaceDN w:val="0"/>
        <w:adjustRightInd w:val="0"/>
        <w:ind w:left="198" w:firstLine="643" w:firstLineChars="200"/>
        <w:jc w:val="center"/>
        <w:rPr>
          <w:rFonts w:ascii="仿宋_GB2312" w:eastAsia="仿宋_GB2312" w:cs="Times New Roman"/>
          <w:b/>
          <w:bCs/>
          <w:sz w:val="32"/>
          <w:szCs w:val="32"/>
        </w:rPr>
      </w:pPr>
    </w:p>
    <w:bookmarkEnd w:id="0"/>
    <w:p>
      <w:pPr>
        <w:numPr>
          <w:ilvl w:val="0"/>
          <w:numId w:val="1"/>
        </w:numPr>
        <w:ind w:firstLine="2570" w:firstLineChars="800"/>
        <w:rPr>
          <w:rFonts w:ascii="仿宋_GB2312" w:hAnsi="黑体" w:eastAsia="仿宋_GB2312" w:cs="Times New Roman"/>
          <w:b/>
          <w:bCs/>
          <w:sz w:val="32"/>
          <w:szCs w:val="32"/>
        </w:rPr>
      </w:pP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rPr>
          <w:rFonts w:ascii="仿宋_GB2312" w:hAnsi="黑体" w:eastAsia="仿宋_GB2312" w:cs="Times New Roman"/>
          <w:b/>
          <w:bCs/>
          <w:sz w:val="32"/>
          <w:szCs w:val="32"/>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[2020]152</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年中央优抚对象补助经费预算的通知（死亡抚恤）绩效目标表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993"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w:t>
            </w:r>
            <w:r>
              <w:t>“</w:t>
            </w:r>
            <w:r>
              <w:rPr>
                <w:rFonts w:hint="eastAsia" w:ascii="方正书宋_GBK" w:eastAsia="方正书宋_GBK" w:cs="方正书宋_GBK"/>
              </w:rPr>
              <w:t>三属</w:t>
            </w:r>
            <w:r>
              <w:t>”</w:t>
            </w:r>
            <w:r>
              <w:rPr>
                <w:rFonts w:hint="eastAsia" w:ascii="方正书宋_GBK" w:eastAsia="方正书宋_GBK" w:cs="方正书宋_GBK"/>
              </w:rPr>
              <w:t>发放定期抚恤补助资金，使</w:t>
            </w:r>
            <w:r>
              <w:t>“</w:t>
            </w:r>
            <w:r>
              <w:rPr>
                <w:rFonts w:hint="eastAsia" w:ascii="方正书宋_GBK" w:eastAsia="方正书宋_GBK" w:cs="方正书宋_GBK"/>
              </w:rPr>
              <w:t>三属</w:t>
            </w:r>
            <w:r>
              <w:t>”</w:t>
            </w:r>
            <w:r>
              <w:rPr>
                <w:rFonts w:hint="eastAsia" w:ascii="方正书宋_GBK" w:eastAsia="方正书宋_GBK" w:cs="方正书宋_GBK"/>
              </w:rPr>
              <w:t>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按时足额发放定期抚恤金，确保全县</w:t>
            </w:r>
            <w:r>
              <w:t>“</w:t>
            </w:r>
            <w:r>
              <w:rPr>
                <w:rFonts w:hint="eastAsia" w:ascii="方正书宋_GBK" w:eastAsia="方正书宋_GBK" w:cs="方正书宋_GBK"/>
              </w:rPr>
              <w:t>三属</w:t>
            </w:r>
            <w:r>
              <w:t>”</w:t>
            </w:r>
            <w:r>
              <w:rPr>
                <w:rFonts w:hint="eastAsia" w:ascii="方正书宋_GBK" w:eastAsia="方正书宋_GBK" w:cs="方正书宋_GBK"/>
              </w:rPr>
              <w:t>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504"/>
        <w:gridCol w:w="1880"/>
        <w:gridCol w:w="1880"/>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享受死亡抚恤生的优抚对象人数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死亡抚恤定期抚恤金标准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“三属”定期抚恤金标准发放标准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严格按照文件标准执行</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rPr>
          <w:rFonts w:ascii="仿宋_GB2312" w:hAnsi="黑体" w:eastAsia="仿宋_GB2312" w:cs="Times New Roman"/>
          <w:b/>
          <w:bCs/>
          <w:sz w:val="32"/>
          <w:szCs w:val="32"/>
        </w:rPr>
      </w:pPr>
    </w:p>
    <w:p>
      <w:pPr>
        <w:rPr>
          <w:rFonts w:ascii="仿宋_GB2312" w:hAnsi="黑体" w:eastAsia="仿宋_GB2312" w:cs="Times New Roman"/>
          <w:b/>
          <w:bCs/>
          <w:sz w:val="32"/>
          <w:szCs w:val="32"/>
        </w:rPr>
      </w:pPr>
    </w:p>
    <w:p>
      <w:pPr>
        <w:rPr>
          <w:rFonts w:ascii="仿宋_GB2312" w:hAnsi="黑体" w:eastAsia="仿宋_GB2312" w:cs="Times New Roman"/>
          <w:b/>
          <w:bCs/>
          <w:sz w:val="32"/>
          <w:szCs w:val="32"/>
        </w:rPr>
      </w:pPr>
    </w:p>
    <w:p>
      <w:pPr>
        <w:rPr>
          <w:rFonts w:ascii="仿宋_GB2312" w:hAnsi="黑体" w:eastAsia="仿宋_GB2312" w:cs="Times New Roman"/>
          <w:b/>
          <w:bCs/>
          <w:sz w:val="32"/>
          <w:szCs w:val="32"/>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[2020]152</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年中央优抚对象补助经费预算的通知（伤残抚恤）绩效目标表</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007"/>
        <w:gridCol w:w="8404"/>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1190"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通过为伤残退役军人发放定期抚恤补助资金，使残疾军人优抚对象基本生活得到有效保障。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按时足额发放定期抚恤金，确保全县伤残退役军人优抚对象满意。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1509"/>
        <w:gridCol w:w="1866"/>
        <w:gridCol w:w="1866"/>
        <w:gridCol w:w="1687"/>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5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86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86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68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5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享受伤残抚恤的优抚对象人数</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234</w:t>
            </w:r>
            <w:r>
              <w:rPr>
                <w:rFonts w:hint="eastAsia" w:ascii="方正书宋_GBK" w:eastAsia="方正书宋_GBK" w:cs="方正书宋_GBK"/>
              </w:rPr>
              <w:t>人</w:t>
            </w:r>
          </w:p>
        </w:tc>
        <w:tc>
          <w:tcPr>
            <w:tcW w:w="1509"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continue"/>
            <w:vAlign w:val="center"/>
          </w:tcPr>
          <w:p>
            <w:pPr>
              <w:spacing w:line="300" w:lineRule="exact"/>
              <w:jc w:val="center"/>
              <w:rPr>
                <w:rFonts w:ascii="方正书宋_GBK" w:eastAsia="方正书宋_GBK" w:cs="Times New Roman"/>
              </w:rPr>
            </w:pP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1687"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continue"/>
            <w:vAlign w:val="center"/>
          </w:tcPr>
          <w:p>
            <w:pPr>
              <w:spacing w:line="300" w:lineRule="exact"/>
              <w:jc w:val="center"/>
              <w:rPr>
                <w:rFonts w:ascii="方正书宋_GBK" w:eastAsia="方正书宋_GBK" w:cs="Times New Roman"/>
              </w:rPr>
            </w:pP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continue"/>
            <w:vAlign w:val="center"/>
          </w:tcPr>
          <w:p>
            <w:pPr>
              <w:spacing w:line="300" w:lineRule="exact"/>
              <w:jc w:val="center"/>
              <w:rPr>
                <w:rFonts w:ascii="方正书宋_GBK" w:eastAsia="方正书宋_GBK" w:cs="Times New Roman"/>
              </w:rPr>
            </w:pP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伤残抚恤定期抚恤金标准</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伤残抚恤定期抚恤金标准发放标准</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严格按照文件标准执行</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1687"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ind w:firstLine="562" w:firstLineChars="200"/>
        <w:jc w:val="left"/>
        <w:rPr>
          <w:rFonts w:ascii="方正仿宋_GBK" w:eastAsia="方正仿宋_GBK" w:cs="Times New Roman"/>
          <w:b/>
          <w:bCs/>
          <w:sz w:val="28"/>
          <w:szCs w:val="28"/>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[2020]152</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年中央优抚对象补助经费预算的通知（在乡复员、退伍军人生活补助）绩效目标表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通过发放在乡复员、退伍军人优抚对象抚恤补助资金，使优抚对象基本生活得到有效保障。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按时足额发放补助资金，确保全县优抚对象满意。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504"/>
        <w:gridCol w:w="1880"/>
        <w:gridCol w:w="1880"/>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享受在乡复员、退伍军人生活补助的优抚对象人数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2560</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农村籍满</w:t>
            </w:r>
            <w:r>
              <w:rPr>
                <w:rFonts w:ascii="方正书宋_GBK" w:eastAsia="方正书宋_GBK" w:cs="方正书宋_GBK"/>
              </w:rPr>
              <w:t>60</w:t>
            </w:r>
            <w:r>
              <w:rPr>
                <w:rFonts w:hint="eastAsia" w:ascii="方正书宋_GBK" w:eastAsia="方正书宋_GBK" w:cs="方正书宋_GBK"/>
              </w:rPr>
              <w:t>周岁补助标准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农村籍满</w:t>
            </w:r>
            <w:r>
              <w:rPr>
                <w:rFonts w:ascii="方正书宋_GBK" w:eastAsia="方正书宋_GBK" w:cs="方正书宋_GBK"/>
              </w:rPr>
              <w:t>60</w:t>
            </w:r>
            <w:r>
              <w:rPr>
                <w:rFonts w:hint="eastAsia" w:ascii="方正书宋_GBK" w:eastAsia="方正书宋_GBK" w:cs="方正书宋_GBK"/>
              </w:rPr>
              <w:t>周岁补助标准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每服一年义务兵每人每月补助</w:t>
            </w:r>
            <w:r>
              <w:rPr>
                <w:rFonts w:ascii="方正书宋_GBK" w:eastAsia="方正书宋_GBK" w:cs="方正书宋_GBK"/>
              </w:rPr>
              <w:t>45</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[2020]14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4</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[2020]161</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年中央财政退役安置补助经费预算的通知（军休人员补助经费）绩效目标表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按时足额下拨军队离退休干部生活保障经费。</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保障我县接收管理的军休干部各项政策待遇，保障其合法权益。</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补助军队离退休干部人数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享受补助的军队离退休干部人数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实际拨付军休人员经费金额占应拨付金额的比例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161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161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军休人员生活待遇标准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军休人员生活待遇标准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军休人员就业生活得到有效保障</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军休人员就业生活等方面得到有效保障</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效果明显</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rPr>
          <w:rFonts w:ascii="仿宋_GB2312" w:hAnsi="黑体" w:eastAsia="仿宋_GB2312" w:cs="Times New Roman"/>
          <w:b/>
          <w:bCs/>
          <w:sz w:val="32"/>
          <w:szCs w:val="32"/>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[2020]161</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年中央财政退役安置补助经费预算的通知（军休管理机构补助经费）绩效目标表</w:t>
      </w:r>
    </w:p>
    <w:tbl>
      <w:tblPr>
        <w:tblStyle w:val="8"/>
        <w:tblpPr w:leftFromText="180" w:rightFromText="180" w:vertAnchor="text" w:horzAnchor="page" w:tblpXSpec="center" w:tblpY="632"/>
        <w:tblOverlap w:val="never"/>
        <w:tblW w:w="9411"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056"/>
        <w:gridCol w:w="8355"/>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205"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9829"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按时足额发放军休管理机构的人员经费，保障他们的工资</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通过下拨军休机构工作经费，维护军休服务管理机构的日常运转。</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573"/>
        <w:gridCol w:w="2014"/>
        <w:gridCol w:w="2784"/>
        <w:gridCol w:w="938"/>
        <w:gridCol w:w="10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84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37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329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07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26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70"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8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37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军休所管理人员人数</w:t>
            </w:r>
          </w:p>
        </w:tc>
        <w:tc>
          <w:tcPr>
            <w:tcW w:w="32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馆陶县军休所管理人员人数</w:t>
            </w:r>
          </w:p>
        </w:tc>
        <w:tc>
          <w:tcPr>
            <w:tcW w:w="1079" w:type="dxa"/>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人</w:t>
            </w:r>
          </w:p>
        </w:tc>
        <w:tc>
          <w:tcPr>
            <w:tcW w:w="1260"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70" w:type="dxa"/>
            <w:vMerge w:val="continue"/>
            <w:vAlign w:val="center"/>
          </w:tcPr>
          <w:p>
            <w:pPr>
              <w:spacing w:line="300" w:lineRule="exact"/>
              <w:jc w:val="center"/>
              <w:rPr>
                <w:rFonts w:ascii="方正书宋_GBK" w:eastAsia="方正书宋_GBK" w:cs="Times New Roman"/>
              </w:rPr>
            </w:pPr>
          </w:p>
        </w:tc>
        <w:tc>
          <w:tcPr>
            <w:tcW w:w="18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37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32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军休管理机构经费足额拨付率</w:t>
            </w:r>
          </w:p>
        </w:tc>
        <w:tc>
          <w:tcPr>
            <w:tcW w:w="1079"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12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70" w:type="dxa"/>
            <w:vMerge w:val="continue"/>
            <w:vAlign w:val="center"/>
          </w:tcPr>
          <w:p>
            <w:pPr>
              <w:spacing w:line="300" w:lineRule="exact"/>
              <w:jc w:val="center"/>
              <w:rPr>
                <w:rFonts w:ascii="方正书宋_GBK" w:eastAsia="方正书宋_GBK" w:cs="Times New Roman"/>
              </w:rPr>
            </w:pPr>
          </w:p>
        </w:tc>
        <w:tc>
          <w:tcPr>
            <w:tcW w:w="18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37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32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按时拨付军休机构保障运行资金率</w:t>
            </w:r>
          </w:p>
        </w:tc>
        <w:tc>
          <w:tcPr>
            <w:tcW w:w="1079"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12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70" w:type="dxa"/>
            <w:vMerge w:val="continue"/>
            <w:vAlign w:val="center"/>
          </w:tcPr>
          <w:p>
            <w:pPr>
              <w:spacing w:line="300" w:lineRule="exact"/>
              <w:jc w:val="center"/>
              <w:rPr>
                <w:rFonts w:ascii="方正书宋_GBK" w:eastAsia="方正书宋_GBK" w:cs="Times New Roman"/>
              </w:rPr>
            </w:pPr>
          </w:p>
        </w:tc>
        <w:tc>
          <w:tcPr>
            <w:tcW w:w="18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37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是否超出预算</w:t>
            </w:r>
          </w:p>
        </w:tc>
        <w:tc>
          <w:tcPr>
            <w:tcW w:w="32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资金支出是否超出预算</w:t>
            </w:r>
          </w:p>
        </w:tc>
        <w:tc>
          <w:tcPr>
            <w:tcW w:w="107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有效控制在预算范围之内</w:t>
            </w:r>
          </w:p>
        </w:tc>
        <w:tc>
          <w:tcPr>
            <w:tcW w:w="12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7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8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37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保障军休机构正常运行</w:t>
            </w:r>
          </w:p>
        </w:tc>
        <w:tc>
          <w:tcPr>
            <w:tcW w:w="32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保障军休管理机构日常工作的正常运行</w:t>
            </w:r>
          </w:p>
        </w:tc>
        <w:tc>
          <w:tcPr>
            <w:tcW w:w="107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效果显著</w:t>
            </w:r>
          </w:p>
        </w:tc>
        <w:tc>
          <w:tcPr>
            <w:tcW w:w="12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7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84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37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329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军休人员对我县军休机构工作的满意度</w:t>
            </w:r>
          </w:p>
        </w:tc>
        <w:tc>
          <w:tcPr>
            <w:tcW w:w="1079"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26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问卷调查</w:t>
            </w:r>
          </w:p>
        </w:tc>
      </w:tr>
    </w:tbl>
    <w:p>
      <w:pPr>
        <w:spacing w:line="300" w:lineRule="exact"/>
        <w:jc w:val="left"/>
        <w:rPr>
          <w:rFonts w:cs="Times New Roman"/>
        </w:rPr>
      </w:pPr>
    </w:p>
    <w:p>
      <w:pPr>
        <w:spacing w:line="300" w:lineRule="exact"/>
        <w:jc w:val="left"/>
        <w:rPr>
          <w:rFonts w:cs="Times New Roman"/>
        </w:rPr>
      </w:pPr>
    </w:p>
    <w:p>
      <w:pPr>
        <w:numPr>
          <w:ilvl w:val="0"/>
          <w:numId w:val="2"/>
        </w:numPr>
        <w:ind w:firstLine="562" w:firstLineChars="200"/>
        <w:jc w:val="left"/>
        <w:rPr>
          <w:rFonts w:ascii="方正仿宋_GBK" w:eastAsia="方正仿宋_GBK" w:cs="Times New Roman"/>
          <w:b/>
          <w:bCs/>
          <w:sz w:val="28"/>
          <w:szCs w:val="28"/>
        </w:rPr>
      </w:pP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[2020]161</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年中央财政退役安置补助经费预算的通知（退役士兵社会保险补缴）绩效目标表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通过为部分退役士兵补缴基本养老保险，解决部分退役士兵未参保和断缴问题。</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保障退役士兵享受相应的养老保险待遇。</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享受养老保险补缴的人数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享受政府补缴的退役士兵养老保险的人数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752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部分退役士兵基本养老保险补缴率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部分退役士兵基本养老保险补缴人数占应补缴人数的比例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补缴工作</w:t>
            </w:r>
            <w:r>
              <w:rPr>
                <w:rFonts w:ascii="方正书宋_GBK" w:eastAsia="方正书宋_GBK" w:cs="方正书宋_GBK"/>
              </w:rPr>
              <w:t xml:space="preserve"> </w:t>
            </w:r>
            <w:r>
              <w:rPr>
                <w:rFonts w:hint="eastAsia" w:ascii="方正书宋_GBK" w:eastAsia="方正书宋_GBK" w:cs="方正书宋_GBK"/>
              </w:rPr>
              <w:t>完成时间</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补缴保险费标准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符合条件的退役士兵补缴保险费标准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严格按照上级文件和人社部门征缴单据标准缴纳</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保障退役军人安置工作的正常运行</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保障退役军人安置工作的正常运行</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效果显著</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保险接续退役士兵对政府工作满意人数占总人数的比例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7</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[2020]206</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年省级财政优抚对象补助经费预算的通知</w:t>
      </w:r>
      <w:r>
        <w:rPr>
          <w:rFonts w:ascii="方正仿宋_GBK" w:eastAsia="方正仿宋_GBK" w:cs="方正仿宋_GBK"/>
          <w:b/>
          <w:bCs/>
          <w:sz w:val="28"/>
          <w:szCs w:val="28"/>
        </w:rPr>
        <w:t>(</w:t>
      </w:r>
      <w:r>
        <w:rPr>
          <w:rFonts w:hint="eastAsia" w:ascii="方正仿宋_GBK" w:eastAsia="方正仿宋_GBK" w:cs="方正仿宋_GBK"/>
          <w:b/>
          <w:bCs/>
          <w:sz w:val="28"/>
          <w:szCs w:val="28"/>
        </w:rPr>
        <w:t>死亡抚恤</w:t>
      </w:r>
      <w:r>
        <w:rPr>
          <w:rFonts w:ascii="方正仿宋_GBK" w:eastAsia="方正仿宋_GBK" w:cs="方正仿宋_GBK"/>
          <w:b/>
          <w:bCs/>
          <w:sz w:val="28"/>
          <w:szCs w:val="28"/>
        </w:rPr>
        <w:t>)</w:t>
      </w:r>
      <w:r>
        <w:rPr>
          <w:rFonts w:hint="eastAsia" w:ascii="方正仿宋_GBK" w:eastAsia="方正仿宋_GBK" w:cs="方正仿宋_GBK"/>
          <w:b/>
          <w:bCs/>
          <w:sz w:val="28"/>
          <w:szCs w:val="28"/>
        </w:rPr>
        <w:t>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w:t>
            </w:r>
            <w:r>
              <w:t>“</w:t>
            </w:r>
            <w:r>
              <w:rPr>
                <w:rFonts w:hint="eastAsia" w:ascii="方正书宋_GBK" w:eastAsia="方正书宋_GBK" w:cs="方正书宋_GBK"/>
              </w:rPr>
              <w:t>三属</w:t>
            </w:r>
            <w:r>
              <w:t>”</w:t>
            </w:r>
            <w:r>
              <w:rPr>
                <w:rFonts w:hint="eastAsia" w:ascii="方正书宋_GBK" w:eastAsia="方正书宋_GBK" w:cs="方正书宋_GBK"/>
              </w:rPr>
              <w:t>发放定期抚恤补助资金，使</w:t>
            </w:r>
            <w:r>
              <w:t>“</w:t>
            </w:r>
            <w:r>
              <w:rPr>
                <w:rFonts w:hint="eastAsia" w:ascii="方正书宋_GBK" w:eastAsia="方正书宋_GBK" w:cs="方正书宋_GBK"/>
              </w:rPr>
              <w:t>三属</w:t>
            </w:r>
            <w:r>
              <w:t>”</w:t>
            </w:r>
            <w:r>
              <w:rPr>
                <w:rFonts w:hint="eastAsia" w:ascii="方正书宋_GBK" w:eastAsia="方正书宋_GBK" w:cs="方正书宋_GBK"/>
              </w:rPr>
              <w:t>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按时足额发放定期抚恤金，确保全县</w:t>
            </w:r>
            <w:r>
              <w:t>“</w:t>
            </w:r>
            <w:r>
              <w:rPr>
                <w:rFonts w:hint="eastAsia" w:ascii="方正书宋_GBK" w:eastAsia="方正书宋_GBK" w:cs="方正书宋_GBK"/>
              </w:rPr>
              <w:t>三属</w:t>
            </w:r>
            <w:r>
              <w:t>”</w:t>
            </w:r>
            <w:r>
              <w:rPr>
                <w:rFonts w:hint="eastAsia" w:ascii="方正书宋_GBK" w:eastAsia="方正书宋_GBK" w:cs="方正书宋_GBK"/>
              </w:rPr>
              <w:t>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504"/>
        <w:gridCol w:w="1880"/>
        <w:gridCol w:w="1880"/>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享受死亡抚恤生的优抚对象人数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88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88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死亡抚恤定期抚恤金标准</w:t>
            </w:r>
          </w:p>
        </w:tc>
        <w:tc>
          <w:tcPr>
            <w:tcW w:w="169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“三属”定期抚恤金标准发放标准</w:t>
            </w:r>
          </w:p>
        </w:tc>
        <w:tc>
          <w:tcPr>
            <w:tcW w:w="150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8</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[2020]206</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年省级财政优抚对象补助经费预算的通知（伤残抚恤）绩效目标表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通过为伤残退役军人发放定期抚恤补助资金，使残疾军人优抚对象基本生活得到有效保障。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按时足额发放定期抚恤金，确保全县伤残退役军人优抚对象满意。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5"/>
        <w:gridCol w:w="1504"/>
        <w:gridCol w:w="1880"/>
        <w:gridCol w:w="1880"/>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8"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8"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享受伤残抚恤的优抚对象人数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234</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8"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8"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8"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88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伤残抚恤定期抚恤金标准</w:t>
            </w:r>
          </w:p>
        </w:tc>
        <w:tc>
          <w:tcPr>
            <w:tcW w:w="188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伤残抚恤定期抚恤金标准发放标准</w:t>
            </w:r>
          </w:p>
        </w:tc>
        <w:tc>
          <w:tcPr>
            <w:tcW w:w="1690"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严格按照文件标准执行</w:t>
            </w:r>
          </w:p>
        </w:tc>
        <w:tc>
          <w:tcPr>
            <w:tcW w:w="150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8"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8"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9</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[2020]206</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年省级财政优抚对象补助经费预算的通知（在乡复员、退伍军人生活补助）绩效目标表</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007"/>
        <w:gridCol w:w="8404"/>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通过发放在乡复员、退伍军人优抚对象抚恤补助资金，使优抚对象基本生活得到有效保障。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按时足额发放补助资金，确保全县优抚对象满意。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1509"/>
        <w:gridCol w:w="1866"/>
        <w:gridCol w:w="1866"/>
        <w:gridCol w:w="1687"/>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7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5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86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86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68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5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享受抚恤生活补助的优抚对象人数</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2560</w:t>
            </w:r>
            <w:r>
              <w:rPr>
                <w:rFonts w:hint="eastAsia" w:ascii="方正书宋_GBK" w:eastAsia="方正书宋_GBK" w:cs="方正书宋_GBK"/>
              </w:rPr>
              <w:t>人</w:t>
            </w:r>
          </w:p>
        </w:tc>
        <w:tc>
          <w:tcPr>
            <w:tcW w:w="1509" w:type="dxa"/>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continue"/>
            <w:vAlign w:val="center"/>
          </w:tcPr>
          <w:p>
            <w:pPr>
              <w:spacing w:line="300" w:lineRule="exact"/>
              <w:jc w:val="center"/>
              <w:rPr>
                <w:rFonts w:ascii="方正书宋_GBK" w:eastAsia="方正书宋_GBK" w:cs="Times New Roman"/>
              </w:rPr>
            </w:pP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1687"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continue"/>
            <w:vAlign w:val="center"/>
          </w:tcPr>
          <w:p>
            <w:pPr>
              <w:spacing w:line="300" w:lineRule="exact"/>
              <w:jc w:val="center"/>
              <w:rPr>
                <w:rFonts w:ascii="方正书宋_GBK" w:eastAsia="方正书宋_GBK" w:cs="Times New Roman"/>
              </w:rPr>
            </w:pP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Merge w:val="continue"/>
            <w:vAlign w:val="center"/>
          </w:tcPr>
          <w:p>
            <w:pPr>
              <w:spacing w:line="300" w:lineRule="exact"/>
              <w:jc w:val="center"/>
              <w:rPr>
                <w:rFonts w:ascii="方正书宋_GBK" w:eastAsia="方正书宋_GBK" w:cs="Times New Roman"/>
              </w:rPr>
            </w:pP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农村籍满</w:t>
            </w:r>
            <w:r>
              <w:rPr>
                <w:rFonts w:ascii="方正书宋_GBK" w:eastAsia="方正书宋_GBK" w:cs="方正书宋_GBK"/>
              </w:rPr>
              <w:t>60</w:t>
            </w:r>
            <w:r>
              <w:rPr>
                <w:rFonts w:hint="eastAsia" w:ascii="方正书宋_GBK" w:eastAsia="方正书宋_GBK" w:cs="方正书宋_GBK"/>
              </w:rPr>
              <w:t>周岁补助标准</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农村籍满</w:t>
            </w:r>
            <w:r>
              <w:rPr>
                <w:rFonts w:ascii="方正书宋_GBK" w:eastAsia="方正书宋_GBK" w:cs="方正书宋_GBK"/>
              </w:rPr>
              <w:t>60</w:t>
            </w:r>
            <w:r>
              <w:rPr>
                <w:rFonts w:hint="eastAsia" w:ascii="方正书宋_GBK" w:eastAsia="方正书宋_GBK" w:cs="方正书宋_GBK"/>
              </w:rPr>
              <w:t>周岁补助标准</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每服一年义务兵每人每月补助</w:t>
            </w:r>
            <w:r>
              <w:rPr>
                <w:rFonts w:ascii="方正书宋_GBK" w:eastAsia="方正书宋_GBK" w:cs="方正书宋_GBK"/>
              </w:rPr>
              <w:t>45</w:t>
            </w:r>
            <w:r>
              <w:rPr>
                <w:rFonts w:hint="eastAsia" w:ascii="方正书宋_GBK" w:eastAsia="方正书宋_GBK" w:cs="方正书宋_GBK"/>
              </w:rPr>
              <w:t>元</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[2020]14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168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7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86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1687"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50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10</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[2020]206</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年省级财政优抚对象补助经费预算的通知（优抚对象医疗补助）绩效目标表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通过发放优抚对象医疗补助资金，对优抚对象参保缴费住院和门诊费用进行补助。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有效帮助解决优抚对象医疗难问题。</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942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优抚对象医疗费补助标准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11</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[2020]206</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年省级财政优抚对象补助经费预算的通知（义务兵优待金）绩效目标表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按时足额发放义务兵优待金</w:t>
            </w:r>
            <w:r>
              <w:rPr>
                <w:rFonts w:ascii="方正书宋_GBK" w:eastAsia="方正书宋_GBK" w:cs="方正书宋_GBK"/>
              </w:rPr>
              <w:t>,</w:t>
            </w:r>
            <w:r>
              <w:rPr>
                <w:rFonts w:hint="eastAsia" w:ascii="方正书宋_GBK" w:eastAsia="方正书宋_GBK" w:cs="方正书宋_GBK"/>
              </w:rPr>
              <w:t>保障义务兵合法权益</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通过对符合条件的义务兵发放家庭优待金</w:t>
            </w:r>
            <w:r>
              <w:rPr>
                <w:rFonts w:ascii="方正书宋_GBK" w:eastAsia="方正书宋_GBK" w:cs="方正书宋_GBK"/>
              </w:rPr>
              <w:t>,</w:t>
            </w:r>
            <w:r>
              <w:rPr>
                <w:rFonts w:hint="eastAsia" w:ascii="方正书宋_GBK" w:eastAsia="方正书宋_GBK" w:cs="方正书宋_GBK"/>
              </w:rPr>
              <w:t>让广大义务兵家庭得到优待</w:t>
            </w:r>
            <w:r>
              <w:rPr>
                <w:rFonts w:ascii="方正书宋_GBK" w:eastAsia="方正书宋_GBK" w:cs="方正书宋_GBK"/>
              </w:rPr>
              <w:t>,</w:t>
            </w:r>
            <w:r>
              <w:rPr>
                <w:rFonts w:hint="eastAsia" w:ascii="方正书宋_GBK" w:eastAsia="方正书宋_GBK" w:cs="方正书宋_GBK"/>
              </w:rPr>
              <w:t>营造一人当兵全家光荣的良好氛围</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享受优待金的人数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享受义务兵家庭优待金的人数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补助足额发放率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实际发放补助资金占应发放额的比率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义务兵优待金发放工作按时完成比率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发放标准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义务兵优待金发放标准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按冀民</w:t>
            </w:r>
            <w:r>
              <w:rPr>
                <w:rFonts w:ascii="方正书宋_GBK" w:eastAsia="方正书宋_GBK" w:cs="方正书宋_GBK"/>
              </w:rPr>
              <w:t>[2016]86</w:t>
            </w:r>
            <w:r>
              <w:rPr>
                <w:rFonts w:hint="eastAsia" w:ascii="方正书宋_GBK" w:eastAsia="方正书宋_GBK" w:cs="方正书宋_GBK"/>
              </w:rPr>
              <w:t>号规定标准发放</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[2016]86</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在全县产生的重要影响</w:t>
            </w:r>
            <w:r>
              <w:rPr>
                <w:rFonts w:ascii="方正书宋_GBK" w:eastAsia="方正书宋_GBK" w:cs="方正书宋_GBK"/>
              </w:rPr>
              <w:t>,</w:t>
            </w:r>
            <w:r>
              <w:rPr>
                <w:rFonts w:hint="eastAsia" w:ascii="方正书宋_GBK" w:eastAsia="方正书宋_GBK" w:cs="方正书宋_GBK"/>
              </w:rPr>
              <w:t>得到广大义务兵家庭的充分认可</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充分认可</w:t>
            </w:r>
          </w:p>
        </w:tc>
        <w:tc>
          <w:tcPr>
            <w:tcW w:w="800" w:type="pct"/>
            <w:vAlign w:val="center"/>
          </w:tcPr>
          <w:p>
            <w:pPr>
              <w:spacing w:line="300" w:lineRule="exact"/>
              <w:jc w:val="lef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义务兵家庭满意度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对优待金发放工作满意的义务兵家庭数占义务兵家庭总数的比例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12</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[2020]189</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年省级财政退役安置补助经费预算的通知</w:t>
      </w:r>
      <w:r>
        <w:rPr>
          <w:rFonts w:ascii="方正仿宋_GBK" w:eastAsia="方正仿宋_GBK" w:cs="方正仿宋_GBK"/>
          <w:b/>
          <w:bCs/>
          <w:sz w:val="28"/>
          <w:szCs w:val="28"/>
        </w:rPr>
        <w:t>(</w:t>
      </w:r>
      <w:r>
        <w:rPr>
          <w:rFonts w:hint="eastAsia" w:ascii="方正仿宋_GBK" w:eastAsia="方正仿宋_GBK" w:cs="方正仿宋_GBK"/>
          <w:b/>
          <w:bCs/>
          <w:sz w:val="28"/>
          <w:szCs w:val="28"/>
        </w:rPr>
        <w:t>自主就业一次性经济补助</w:t>
      </w:r>
      <w:r>
        <w:rPr>
          <w:rFonts w:ascii="方正仿宋_GBK" w:eastAsia="方正仿宋_GBK" w:cs="方正仿宋_GBK"/>
          <w:b/>
          <w:bCs/>
          <w:sz w:val="28"/>
          <w:szCs w:val="28"/>
        </w:rPr>
        <w:t>)</w:t>
      </w:r>
      <w:r>
        <w:rPr>
          <w:rFonts w:hint="eastAsia" w:ascii="方正仿宋_GBK" w:eastAsia="方正仿宋_GBK" w:cs="方正仿宋_GBK"/>
          <w:b/>
          <w:bCs/>
          <w:sz w:val="28"/>
          <w:szCs w:val="28"/>
        </w:rPr>
        <w:t>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按时足额发放退役士兵一次性经济补助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提高广大青年参军的积极性</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79</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号文件规定的自主就业一次性补助的标准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享受一次性经济补助退役士兵生活改善情况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享受一次性经济补助的退役士兵满意度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13</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[2020]189</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年省级财政退役安置补助经费预算的通知</w:t>
      </w:r>
      <w:r>
        <w:rPr>
          <w:rFonts w:ascii="方正仿宋_GBK" w:eastAsia="方正仿宋_GBK" w:cs="方正仿宋_GBK"/>
          <w:b/>
          <w:bCs/>
          <w:sz w:val="28"/>
          <w:szCs w:val="28"/>
        </w:rPr>
        <w:t>(</w:t>
      </w:r>
      <w:r>
        <w:rPr>
          <w:rFonts w:hint="eastAsia" w:ascii="方正仿宋_GBK" w:eastAsia="方正仿宋_GBK" w:cs="方正仿宋_GBK"/>
          <w:b/>
          <w:bCs/>
          <w:sz w:val="28"/>
          <w:szCs w:val="28"/>
        </w:rPr>
        <w:t>教育培训</w:t>
      </w:r>
      <w:r>
        <w:rPr>
          <w:rFonts w:ascii="方正仿宋_GBK" w:eastAsia="方正仿宋_GBK" w:cs="方正仿宋_GBK"/>
          <w:b/>
          <w:bCs/>
          <w:sz w:val="28"/>
          <w:szCs w:val="28"/>
        </w:rPr>
        <w:t>)</w:t>
      </w:r>
      <w:r>
        <w:rPr>
          <w:rFonts w:hint="eastAsia" w:ascii="方正仿宋_GBK" w:eastAsia="方正仿宋_GBK" w:cs="方正仿宋_GBK"/>
          <w:b/>
          <w:bCs/>
          <w:sz w:val="28"/>
          <w:szCs w:val="28"/>
        </w:rPr>
        <w:t>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通过提高教育培训质量，丰富教育培训内容，强化教育培训与就业创业的关联度。</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确保教育培训工作在提升退役士兵就业创业技能中的作用更加显著。</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享受教育培训人数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享受职业教育和技能培训的人数</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79</w:t>
            </w:r>
            <w:r>
              <w:rPr>
                <w:rFonts w:hint="eastAsia" w:ascii="方正书宋_GBK" w:eastAsia="方正书宋_GBK" w:cs="方正书宋_GBK"/>
              </w:rPr>
              <w:t>人</w:t>
            </w:r>
            <w:r>
              <w:rPr>
                <w:rFonts w:ascii="方正书宋_GBK" w:eastAsia="方正书宋_GBK" w:cs="方正书宋_GBK"/>
              </w:rPr>
              <w:t xml:space="preserve"> </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经费实际拨付金额占应发金额的比例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退役士兵教育培训工作完成时限</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培训标准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退役士兵职业技能教育培训标准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达到文件规定标准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退役士兵工作情况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退役士兵掌握职业技能人数占总人数的比例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接受培训退役士兵对技能培训的满意人数占总培训人数比例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14</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[2020]189</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年省级财政退役安置补助经费预算的通知</w:t>
      </w:r>
      <w:r>
        <w:rPr>
          <w:rFonts w:ascii="方正仿宋_GBK" w:eastAsia="方正仿宋_GBK" w:cs="方正仿宋_GBK"/>
          <w:b/>
          <w:bCs/>
          <w:sz w:val="28"/>
          <w:szCs w:val="28"/>
        </w:rPr>
        <w:t>(</w:t>
      </w:r>
      <w:r>
        <w:rPr>
          <w:rFonts w:hint="eastAsia" w:ascii="方正仿宋_GBK" w:eastAsia="方正仿宋_GBK" w:cs="方正仿宋_GBK"/>
          <w:b/>
          <w:bCs/>
          <w:sz w:val="28"/>
          <w:szCs w:val="28"/>
        </w:rPr>
        <w:t>军休干部及家属医疗生活补助</w:t>
      </w:r>
      <w:r>
        <w:rPr>
          <w:rFonts w:ascii="方正仿宋_GBK" w:eastAsia="方正仿宋_GBK" w:cs="方正仿宋_GBK"/>
          <w:b/>
          <w:bCs/>
          <w:sz w:val="28"/>
          <w:szCs w:val="28"/>
        </w:rPr>
        <w:t>)</w:t>
      </w:r>
      <w:r>
        <w:rPr>
          <w:rFonts w:hint="eastAsia" w:ascii="方正仿宋_GBK" w:eastAsia="方正仿宋_GBK" w:cs="方正仿宋_GBK"/>
          <w:b/>
          <w:bCs/>
          <w:sz w:val="28"/>
          <w:szCs w:val="28"/>
        </w:rPr>
        <w:t>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99" w:type="pct"/>
          </w:tcPr>
          <w:p>
            <w:pPr>
              <w:spacing w:line="300" w:lineRule="exact"/>
              <w:rPr>
                <w:rFonts w:ascii="方正书宋_GBK" w:eastAsia="方正书宋_GBK" w:cs="Times New Roman"/>
                <w:b/>
                <w:bCs/>
              </w:rPr>
            </w:pPr>
            <w:r>
              <w:rPr>
                <w:rFonts w:hint="eastAsia" w:ascii="方正书宋_GBK" w:eastAsia="方正书宋_GBK" w:cs="方正书宋_GBK"/>
                <w:b/>
                <w:bCs/>
              </w:rPr>
              <w:t>绩效目标</w:t>
            </w:r>
          </w:p>
        </w:tc>
        <w:tc>
          <w:tcPr>
            <w:tcW w:w="4500" w:type="pct"/>
          </w:tcPr>
          <w:p>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按时足额下拨军队离退休干部生活保障经费。</w:t>
            </w:r>
          </w:p>
          <w:p>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保障我县接收管理的军休干部各项政策待遇，保障其合法权益。</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补助军队离退休干部人数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享受补助的军队离退休干部人数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实际拨付军休人员经费金额占应拨付金额的比例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军休人员生活待遇标准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军休人员生活待遇标准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军休人员就业生活得到有效保障</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军休人员就业生活等方面得到有效保障</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效果明显</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15</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[2020]151</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年中央优抚对象医疗保障经费预算的通知绩效目标表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通过发放优抚对象医疗补助资金，对优抚对象参保缴费住院和门诊费用进行补助。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有效帮助解决优抚对象医疗难问题。</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942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优抚对象医疗费补助标准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16</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[2020]173</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年中央财政企业军转干部生活困难补助经费预算的通知绩效目标表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按时足额发放解困资金，保障困难企业军转干部的基本生活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解决困难企业军转干部的生活困难，维护企业军转干部的权益，确保社会稳定</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享受解困资金补助企业军转干部人数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人（其中退休人员</w:t>
            </w:r>
            <w:r>
              <w:rPr>
                <w:rFonts w:ascii="方正书宋_GBK" w:eastAsia="方正书宋_GBK" w:cs="方正书宋_GBK"/>
              </w:rPr>
              <w:t>49</w:t>
            </w:r>
            <w:r>
              <w:rPr>
                <w:rFonts w:hint="eastAsia" w:ascii="方正书宋_GBK" w:eastAsia="方正书宋_GBK" w:cs="方正书宋_GBK"/>
              </w:rPr>
              <w:t>人，在岗公益岗位人员</w:t>
            </w:r>
            <w:r>
              <w:rPr>
                <w:rFonts w:ascii="方正书宋_GBK" w:eastAsia="方正书宋_GBK" w:cs="方正书宋_GBK"/>
              </w:rPr>
              <w:t>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实际拨付解困资金的金额占应拨付金额的比例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节日慰问补助标准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春节、八一期间慰问困难企业军转干部标准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每人每次</w:t>
            </w:r>
            <w:r>
              <w:rPr>
                <w:rFonts w:ascii="方正书宋_GBK" w:eastAsia="方正书宋_GBK" w:cs="方正书宋_GBK"/>
              </w:rPr>
              <w:t>500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享受解困资金企业军转干部生活情况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企业军转干部的满意度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对解困资金发放满意的企业军转干部的人数占总人数的比率</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17</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[2020]177</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年中央财政优抚事业单位补助资金预算的通知绩效目标表</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007"/>
        <w:gridCol w:w="8404"/>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改造英烈馆展厅，在现有布展基础上提质改造，为群众学习英烈事迹，瞻仰烈士遗物提供场所。</w:t>
            </w:r>
          </w:p>
          <w:p>
            <w:pPr>
              <w:spacing w:line="300" w:lineRule="exact"/>
              <w:jc w:val="left"/>
              <w:rPr>
                <w:rFonts w:ascii="方正书宋_GBK" w:eastAsia="方正书宋_GBK" w:cs="Times New Roman"/>
              </w:rPr>
            </w:pPr>
            <w:r>
              <w:rPr>
                <w:rFonts w:ascii="方正书宋_GBK" w:eastAsia="方正书宋_GBK" w:cs="方正书宋_GBK"/>
              </w:rPr>
              <w:t>2.2021</w:t>
            </w:r>
            <w:r>
              <w:rPr>
                <w:rFonts w:hint="eastAsia" w:ascii="方正书宋_GBK" w:eastAsia="方正书宋_GBK" w:cs="方正书宋_GBK"/>
              </w:rPr>
              <w:t>年底完成英烈馆展厅布展工程施工任务</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509"/>
        <w:gridCol w:w="1865"/>
        <w:gridCol w:w="1865"/>
        <w:gridCol w:w="1687"/>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展厅改造数量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英烈馆展厅改造数量</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间</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资金足额拨付率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资金足额拨付率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工作完成时限</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布展工作完成时限</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底</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布展标准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大厅改造布展标准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达到计划标准</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改造计划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营造纪念烈士的浓厚氛围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营造纪念烈士的浓厚氛围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有效营造</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参观群众的满意度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通过问卷调查，反应满意的人数占调查人数的比例</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ind w:firstLine="562" w:firstLineChars="200"/>
        <w:jc w:val="left"/>
        <w:rPr>
          <w:rFonts w:ascii="方正仿宋_GBK" w:eastAsia="方正仿宋_GBK" w:cs="Times New Roman"/>
          <w:b/>
          <w:bCs/>
          <w:sz w:val="28"/>
          <w:szCs w:val="28"/>
        </w:rPr>
      </w:pPr>
      <w:r>
        <w:rPr>
          <w:rFonts w:ascii="方正仿宋_GBK" w:eastAsia="方正仿宋_GBK" w:cs="方正仿宋_GBK"/>
          <w:b/>
          <w:bCs/>
          <w:sz w:val="28"/>
          <w:szCs w:val="28"/>
        </w:rPr>
        <w:t>18</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[2020]191</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年省级企业军转干部解困补助资金的通知绩效目标表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按时足额发放解困资金，保障困难企业军转干部的基本生活</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解决困难企业军转干部的生活困难，维护企业军转干部的权益，确保社会稳定</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享受解困资金补助企业军转干部人数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人（其中退休人员</w:t>
            </w:r>
            <w:r>
              <w:rPr>
                <w:rFonts w:ascii="方正书宋_GBK" w:eastAsia="方正书宋_GBK" w:cs="方正书宋_GBK"/>
              </w:rPr>
              <w:t>49</w:t>
            </w:r>
            <w:r>
              <w:rPr>
                <w:rFonts w:hint="eastAsia" w:ascii="方正书宋_GBK" w:eastAsia="方正书宋_GBK" w:cs="方正书宋_GBK"/>
              </w:rPr>
              <w:t>人，在岗公益岗位人员</w:t>
            </w:r>
            <w:r>
              <w:rPr>
                <w:rFonts w:ascii="方正书宋_GBK" w:eastAsia="方正书宋_GBK" w:cs="方正书宋_GBK"/>
              </w:rPr>
              <w:t>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实际拨付解困资金的金额占应拨付金额的比例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节日慰问补助标准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春节、八一期间慰问困难企业军转干部标准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每人每次</w:t>
            </w:r>
            <w:r>
              <w:rPr>
                <w:rFonts w:ascii="方正书宋_GBK" w:eastAsia="方正书宋_GBK" w:cs="方正书宋_GBK"/>
              </w:rPr>
              <w:t>500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享受解困资金企业军转干部生活情况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企业军转干部的满意度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对解困资金发放满意的企业军转干部的人数占总人数的比率</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19</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[2020]202</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河北省财政厅关于提前下达</w:t>
      </w:r>
      <w:r>
        <w:rPr>
          <w:rFonts w:ascii="方正仿宋_GBK" w:eastAsia="方正仿宋_GBK" w:cs="方正仿宋_GBK"/>
          <w:b/>
          <w:bCs/>
          <w:sz w:val="28"/>
          <w:szCs w:val="28"/>
        </w:rPr>
        <w:t>2021</w:t>
      </w:r>
      <w:r>
        <w:rPr>
          <w:rFonts w:hint="eastAsia" w:ascii="方正仿宋_GBK" w:eastAsia="方正仿宋_GBK" w:cs="方正仿宋_GBK"/>
          <w:b/>
          <w:bCs/>
          <w:sz w:val="28"/>
          <w:szCs w:val="28"/>
        </w:rPr>
        <w:t>年省级财政优抚事业单位补助资金预算的通知绩效目标表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维护光荣院的正常运行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保障光荣院冬季取暖</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光荣院优抚对象人数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集中供养的光荣院优抚对象人数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实际拨付取暖费金额占应拨付金额的比例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取暖成本</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光荣院冬季供暖成本</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既要保证取暖效果达标，又要将取暖费控制在</w:t>
            </w:r>
            <w:r>
              <w:rPr>
                <w:rFonts w:ascii="方正书宋_GBK" w:eastAsia="方正书宋_GBK" w:cs="方正书宋_GBK"/>
              </w:rPr>
              <w:t>14</w:t>
            </w:r>
            <w:r>
              <w:rPr>
                <w:rFonts w:hint="eastAsia" w:ascii="方正书宋_GBK" w:eastAsia="方正书宋_GBK" w:cs="方正书宋_GBK"/>
              </w:rPr>
              <w:t>万以内</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优抚对象生活取暖改善情况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光荣院集中供养优抚对象老人生活、取暖改善情况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光荣院优抚对象满意率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光荣院满意人数占总人数的比例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方正仿宋_GBK" w:eastAsia="方正仿宋_GBK" w:cs="Times New Roman"/>
          <w:b/>
          <w:bCs/>
          <w:sz w:val="28"/>
          <w:szCs w:val="28"/>
        </w:rPr>
      </w:pPr>
      <w:r>
        <w:rPr>
          <w:rFonts w:ascii="方正仿宋_GBK" w:eastAsia="方正仿宋_GBK" w:cs="方正仿宋_GBK"/>
          <w:b/>
          <w:bCs/>
          <w:sz w:val="28"/>
          <w:szCs w:val="28"/>
        </w:rPr>
        <w:t>20</w:t>
      </w:r>
      <w:r>
        <w:rPr>
          <w:rFonts w:hint="eastAsia" w:ascii="方正仿宋_GBK" w:eastAsia="方正仿宋_GBK" w:cs="方正仿宋_GBK"/>
          <w:b/>
          <w:bCs/>
          <w:sz w:val="28"/>
          <w:szCs w:val="28"/>
        </w:rPr>
        <w:t>、专项公用经费绩效目标表</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007"/>
        <w:gridCol w:w="8404"/>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按时足额为下属科室拨付日常公用经费。</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严格按照规定标准支出日常公用经费</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94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509"/>
        <w:gridCol w:w="1865"/>
        <w:gridCol w:w="1865"/>
        <w:gridCol w:w="1687"/>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3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255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226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经费保障科室数量</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经费保障的科室运转的数量</w:t>
            </w:r>
          </w:p>
        </w:tc>
        <w:tc>
          <w:tcPr>
            <w:tcW w:w="2551" w:type="dxa"/>
            <w:vAlign w:val="center"/>
          </w:tcPr>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办公室和综合科</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2551" w:type="dxa"/>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拨付时间</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公用经费拨付时间</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按时发放</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cs="Times New Roman"/>
              </w:rPr>
            </w:pP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差旅费标准</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差旅费标准</w:t>
            </w:r>
          </w:p>
        </w:tc>
        <w:tc>
          <w:tcPr>
            <w:tcW w:w="255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严格按照《馆陶县县级机关差旅费管理办法》执行</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馆财【</w:t>
            </w:r>
            <w:r>
              <w:rPr>
                <w:rFonts w:ascii="方正书宋_GBK" w:eastAsia="方正书宋_GBK" w:cs="方正书宋_GBK"/>
              </w:rPr>
              <w:t>2015</w:t>
            </w:r>
            <w:r>
              <w:rPr>
                <w:rFonts w:hint="eastAsia" w:ascii="方正书宋_GBK" w:eastAsia="方正书宋_GBK" w:cs="方正书宋_GBK"/>
              </w:rPr>
              <w:t>】</w:t>
            </w:r>
            <w:r>
              <w:rPr>
                <w:rFonts w:ascii="方正书宋_GBK" w:eastAsia="方正书宋_GBK" w:cs="方正书宋_GBK"/>
              </w:rPr>
              <w:t>69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工作正常运转</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按照部门职能正常运转</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职工满意度</w:t>
            </w:r>
          </w:p>
        </w:tc>
        <w:tc>
          <w:tcPr>
            <w:tcW w:w="283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职工满意程度</w:t>
            </w:r>
          </w:p>
        </w:tc>
        <w:tc>
          <w:tcPr>
            <w:tcW w:w="2551"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2268"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21</w:t>
      </w:r>
      <w:r>
        <w:rPr>
          <w:rFonts w:hint="eastAsia" w:ascii="方正仿宋_GBK" w:eastAsia="方正仿宋_GBK" w:cs="方正仿宋_GBK"/>
          <w:b/>
          <w:bCs/>
          <w:sz w:val="28"/>
          <w:szCs w:val="28"/>
        </w:rPr>
        <w:t>、视频一体化平台云视频服务经费绩效目标表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615"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确保能够按照合同约定，及时足额支付服务费。</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进一步保障退役军人一体化平台工作能够顺利开展。</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县级视频设备数量</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县级视频一体化平台设备数量</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台</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乡级视频设备数量</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乡级视频一体化平台设备数量</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9</w:t>
            </w:r>
            <w:r>
              <w:rPr>
                <w:rFonts w:hint="eastAsia" w:ascii="方正书宋_GBK" w:eastAsia="方正书宋_GBK" w:cs="方正书宋_GBK"/>
              </w:rPr>
              <w:t>台</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村级视频设备数量</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村级视频一体化平台设备数量</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279</w:t>
            </w:r>
            <w:r>
              <w:rPr>
                <w:rFonts w:hint="eastAsia" w:ascii="方正书宋_GBK" w:eastAsia="方正书宋_GBK" w:cs="方正书宋_GBK"/>
              </w:rPr>
              <w:t>台</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视频服务费资金实际拨付金额占总金额的比例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资金发放准时率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资金发放准时率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县级视频设备服务费标准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县级视频设备服务费标准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每台每年</w:t>
            </w:r>
            <w:r>
              <w:rPr>
                <w:rFonts w:ascii="方正书宋_GBK" w:eastAsia="方正书宋_GBK" w:cs="方正书宋_GBK"/>
              </w:rPr>
              <w:t>8400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乡镇级视频设备服务费标准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乡镇级视频设备服务费标准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每台每年</w:t>
            </w:r>
            <w:r>
              <w:rPr>
                <w:rFonts w:ascii="方正书宋_GBK" w:eastAsia="方正书宋_GBK" w:cs="方正书宋_GBK"/>
              </w:rPr>
              <w:t>6000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村级视频设备服务费标准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村级视频设备服务费标准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每台每年</w:t>
            </w:r>
            <w:r>
              <w:rPr>
                <w:rFonts w:ascii="方正书宋_GBK" w:eastAsia="方正书宋_GBK" w:cs="方正书宋_GBK"/>
              </w:rPr>
              <w:t>180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退役军人管理服务工作情况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退役军人管理服务工作情况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显著提高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工作人员满意度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工作人员对一体化设备高效工作满意度</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非常满意</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ind w:firstLine="420" w:firstLineChars="200"/>
        <w:jc w:val="left"/>
        <w:rPr>
          <w:rFonts w:ascii="Times New Roman" w:hAnsi="宋体" w:cs="Times New Roman"/>
          <w:b/>
          <w:bCs/>
          <w:sz w:val="28"/>
          <w:szCs w:val="28"/>
        </w:rPr>
      </w:pPr>
      <w:r>
        <w:t xml:space="preserve"> </w:t>
      </w:r>
      <w:r>
        <w:rPr>
          <w:rFonts w:ascii="方正仿宋_GBK" w:eastAsia="方正仿宋_GBK" w:cs="方正仿宋_GBK"/>
          <w:b/>
          <w:bCs/>
          <w:sz w:val="28"/>
          <w:szCs w:val="28"/>
        </w:rPr>
        <w:t>22</w:t>
      </w:r>
      <w:r>
        <w:rPr>
          <w:rFonts w:hint="eastAsia" w:ascii="方正仿宋_GBK" w:eastAsia="方正仿宋_GBK" w:cs="方正仿宋_GBK"/>
          <w:b/>
          <w:bCs/>
          <w:sz w:val="28"/>
          <w:szCs w:val="28"/>
        </w:rPr>
        <w:t>、退役军人服务中心工作经费绩效目标表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维护退役军人服务中心的正常运行</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保障退役军人合法权益</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实施走访慰问、就业创业等次数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实施走访慰问、就业创业等次数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300</w:t>
            </w:r>
            <w:r>
              <w:rPr>
                <w:rFonts w:hint="eastAsia" w:ascii="方正书宋_GBK" w:eastAsia="方正书宋_GBK" w:cs="方正书宋_GBK"/>
              </w:rPr>
              <w:t>次</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实际完成业务工作占全年业务工作比例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工作完成及时率</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经费保障标准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退役军人服务中心经费保障标准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按照年初计划标准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在全体退役军人中产生重要影响</w:t>
            </w:r>
            <w:r>
              <w:rPr>
                <w:rFonts w:ascii="方正书宋_GBK" w:eastAsia="方正书宋_GBK" w:cs="方正书宋_GBK"/>
              </w:rPr>
              <w:t>,</w:t>
            </w:r>
            <w:r>
              <w:rPr>
                <w:rFonts w:hint="eastAsia" w:ascii="方正书宋_GBK" w:eastAsia="方正书宋_GBK" w:cs="方正书宋_GBK"/>
              </w:rPr>
              <w:t>得到充分认可</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充分认可</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群众满意度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群众对当年退役军人服务工作的整体满意度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23</w:t>
      </w:r>
      <w:r>
        <w:rPr>
          <w:rFonts w:hint="eastAsia" w:ascii="方正仿宋_GBK" w:eastAsia="方正仿宋_GBK" w:cs="方正仿宋_GBK"/>
          <w:b/>
          <w:bCs/>
          <w:sz w:val="28"/>
          <w:szCs w:val="28"/>
        </w:rPr>
        <w:t>、自主就业退役士兵一次性经济补助资金绩效目标表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按时足额发放退役士兵一次性经济补助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提高广大青年参军的积极性</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79</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号文件规定的自主就业一次性补助的标准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享受一次性经济补助退役士兵生活改善情况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享受一次性经济补助的退役士兵满意度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24</w:t>
      </w:r>
      <w:r>
        <w:rPr>
          <w:rFonts w:hint="eastAsia" w:ascii="方正仿宋_GBK" w:eastAsia="方正仿宋_GBK" w:cs="方正仿宋_GBK"/>
          <w:b/>
          <w:bCs/>
          <w:sz w:val="28"/>
          <w:szCs w:val="28"/>
        </w:rPr>
        <w:t>、光荣院管理经费绩效目标表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保障光荣院老人的基本生活水平</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体现党对光荣院老人的关心</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0"/>
        <w:gridCol w:w="1505"/>
        <w:gridCol w:w="1879"/>
        <w:gridCol w:w="1879"/>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5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1"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00"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1"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光荣院供养老人人数</w:t>
            </w:r>
          </w:p>
        </w:tc>
        <w:tc>
          <w:tcPr>
            <w:tcW w:w="1000" w:type="pct"/>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w:t>
            </w:r>
            <w:r>
              <w:rPr>
                <w:rFonts w:hint="eastAsia" w:ascii="方正书宋_GBK" w:eastAsia="方正书宋_GBK" w:cs="方正书宋_GBK"/>
              </w:rPr>
              <w:t>光荣院供养老人人数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00" w:type="pct"/>
            <w:vMerge w:val="continue"/>
            <w:vAlign w:val="center"/>
          </w:tcPr>
          <w:p>
            <w:pPr>
              <w:spacing w:line="300" w:lineRule="exact"/>
              <w:jc w:val="center"/>
              <w:rPr>
                <w:rFonts w:ascii="方正书宋_GBK" w:eastAsia="方正书宋_GBK" w:cs="Times New Roman"/>
              </w:rPr>
            </w:pPr>
          </w:p>
        </w:tc>
        <w:tc>
          <w:tcPr>
            <w:tcW w:w="801"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00" w:type="pct"/>
            <w:vMerge w:val="continue"/>
            <w:vAlign w:val="center"/>
          </w:tcPr>
          <w:p>
            <w:pPr>
              <w:spacing w:line="300" w:lineRule="exact"/>
              <w:jc w:val="center"/>
              <w:rPr>
                <w:rFonts w:ascii="方正书宋_GBK" w:eastAsia="方正书宋_GBK" w:cs="Times New Roman"/>
              </w:rPr>
            </w:pPr>
          </w:p>
        </w:tc>
        <w:tc>
          <w:tcPr>
            <w:tcW w:w="801"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资金拨付的及时率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资金拨付的及时率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00" w:type="pct"/>
            <w:vMerge w:val="continue"/>
            <w:vAlign w:val="center"/>
          </w:tcPr>
          <w:p>
            <w:pPr>
              <w:spacing w:line="300" w:lineRule="exact"/>
              <w:jc w:val="center"/>
              <w:rPr>
                <w:rFonts w:ascii="方正书宋_GBK" w:eastAsia="方正书宋_GBK" w:cs="Times New Roman"/>
              </w:rPr>
            </w:pPr>
          </w:p>
        </w:tc>
        <w:tc>
          <w:tcPr>
            <w:tcW w:w="801"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生活费标准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光荣院供养老人生活费标准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达到文件标准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00"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1"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光荣院供养的优抚对象生活改善情况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500"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1"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光荣院供养的优抚对象满意度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光荣院供养的优抚对象满意度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25</w:t>
      </w:r>
      <w:r>
        <w:rPr>
          <w:rFonts w:hint="eastAsia" w:ascii="方正仿宋_GBK" w:eastAsia="方正仿宋_GBK" w:cs="方正仿宋_GBK"/>
          <w:b/>
          <w:bCs/>
          <w:sz w:val="28"/>
          <w:szCs w:val="28"/>
        </w:rPr>
        <w:t>、优抚对象抚恤生活补助资金绩效目标表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通过发放优抚对象生活补助资金，使优抚对象基本生活得到有效保障。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按时足额发放补助资金，确保全县优抚对象满意。</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504"/>
        <w:gridCol w:w="1880"/>
        <w:gridCol w:w="1880"/>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补助金发放人数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享受抚恤生活补助的优抚对象人数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753</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抚恤生活补助发放工作完成时间</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cs="Times New Roman"/>
              </w:rPr>
            </w:pPr>
            <w:r>
              <w:rPr>
                <w:rFonts w:hint="eastAsia" w:ascii="方正书宋_GBK" w:eastAsia="方正书宋_GBK" w:cs="方正书宋_GBK"/>
              </w:rPr>
              <w:t>抚恤生活补助发放标准</w:t>
            </w:r>
          </w:p>
        </w:tc>
        <w:tc>
          <w:tcPr>
            <w:tcW w:w="1000" w:type="pct"/>
            <w:vAlign w:val="center"/>
          </w:tcPr>
          <w:p>
            <w:pPr>
              <w:spacing w:line="300" w:lineRule="exact"/>
              <w:jc w:val="left"/>
              <w:rPr>
                <w:rFonts w:cs="Times New Roman"/>
              </w:rPr>
            </w:pPr>
            <w:r>
              <w:rPr>
                <w:rFonts w:hint="eastAsia" w:ascii="方正书宋_GBK" w:eastAsia="方正书宋_GBK" w:cs="方正书宋_GBK"/>
              </w:rPr>
              <w:t>死亡抚恤、伤残抚恤及在乡复员、退伍军人生活补助发放标准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按照文件规定标准执行</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优抚对象幸福指数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提高优抚对象的幸福指数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优抚对象对补助金发放工作满意度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调查了解优抚对象对补助金发放工作的满意度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26</w:t>
      </w:r>
      <w:r>
        <w:rPr>
          <w:rFonts w:hint="eastAsia" w:ascii="方正仿宋_GBK" w:eastAsia="方正仿宋_GBK" w:cs="方正仿宋_GBK"/>
          <w:b/>
          <w:bCs/>
          <w:sz w:val="28"/>
          <w:szCs w:val="28"/>
        </w:rPr>
        <w:t>、大学生入伍一次性经济奖励资金绩效目标表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鼓励大学生积极参军</w:t>
            </w:r>
            <w:r>
              <w:rPr>
                <w:rFonts w:ascii="方正书宋_GBK" w:eastAsia="方正书宋_GBK" w:cs="方正书宋_GBK"/>
              </w:rPr>
              <w:t>,</w:t>
            </w:r>
            <w:r>
              <w:rPr>
                <w:rFonts w:hint="eastAsia" w:ascii="方正书宋_GBK" w:eastAsia="方正书宋_GBK" w:cs="方正书宋_GBK"/>
              </w:rPr>
              <w:t>保障大学生军人合法权益。</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按时足额为新入伍大学生发放一次性奖励资金。</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享受奖励人数（人）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享受一次性经济奖励的大学生人数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55</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资金拨付的及时率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资金拨付的及时率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奖励金发放标准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大学生入伍一次性奖励金发放标准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本科及以上：</w:t>
            </w:r>
            <w:r>
              <w:rPr>
                <w:rFonts w:ascii="方正书宋_GBK" w:eastAsia="方正书宋_GBK" w:cs="方正书宋_GBK"/>
              </w:rPr>
              <w:t>3000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人，专科和在校生：</w:t>
            </w:r>
            <w:r>
              <w:rPr>
                <w:rFonts w:ascii="方正书宋_GBK" w:eastAsia="方正书宋_GBK" w:cs="方正书宋_GBK"/>
              </w:rPr>
              <w:t>2000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邯政发【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入伍大学生生活情况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入伍大学生生活情况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入伍大学生满意度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享受一次性补助金的入伍大学生满意度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27</w:t>
      </w:r>
      <w:r>
        <w:rPr>
          <w:rFonts w:hint="eastAsia" w:ascii="方正仿宋_GBK" w:eastAsia="方正仿宋_GBK" w:cs="方正仿宋_GBK"/>
          <w:b/>
          <w:bCs/>
          <w:sz w:val="28"/>
          <w:szCs w:val="28"/>
        </w:rPr>
        <w:t>、信访维稳工作经费绩效目标表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保障有诉求退役军人的合法权益</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力争把矛盾化解在当地，协调处置各类突发性群体事件，确保不发生重大退役军人群体性事件和集体越级上访事件</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控制到县到市退役军人信访案件</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控制到县到市退役军人信访案件</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件</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控制赴省进京退役军人信访案件</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控制赴省进京退役军人信访案件</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&lt;1</w:t>
            </w:r>
            <w:r>
              <w:rPr>
                <w:rFonts w:hint="eastAsia" w:ascii="方正书宋_GBK" w:eastAsia="方正书宋_GBK" w:cs="方正书宋_GBK"/>
              </w:rPr>
              <w:t>件</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信访案件解决率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实际解决信访案件占信访总案件的比例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案件处理及时率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案件处理及时率</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住宿费标准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值班期间住宿费标准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每人每天</w:t>
            </w:r>
            <w:r>
              <w:rPr>
                <w:rFonts w:ascii="方正书宋_GBK" w:eastAsia="方正书宋_GBK" w:cs="方正书宋_GBK"/>
              </w:rPr>
              <w:t>310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馆财【</w:t>
            </w:r>
            <w:r>
              <w:rPr>
                <w:rFonts w:ascii="方正书宋_GBK" w:eastAsia="方正书宋_GBK" w:cs="方正书宋_GBK"/>
              </w:rPr>
              <w:t>2015</w:t>
            </w:r>
            <w:r>
              <w:rPr>
                <w:rFonts w:hint="eastAsia" w:ascii="方正书宋_GBK" w:eastAsia="方正书宋_GBK" w:cs="方正书宋_GBK"/>
              </w:rPr>
              <w:t>】</w:t>
            </w:r>
            <w:r>
              <w:rPr>
                <w:rFonts w:ascii="方正书宋_GBK" w:eastAsia="方正书宋_GBK" w:cs="方正书宋_GBK"/>
              </w:rPr>
              <w:t>69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市内交通补助标准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值班期间市内交通补助标准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每人每天</w:t>
            </w:r>
            <w:r>
              <w:rPr>
                <w:rFonts w:ascii="方正书宋_GBK" w:eastAsia="方正书宋_GBK" w:cs="方正书宋_GBK"/>
              </w:rPr>
              <w:t>80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馆财【</w:t>
            </w:r>
            <w:r>
              <w:rPr>
                <w:rFonts w:ascii="方正书宋_GBK" w:eastAsia="方正书宋_GBK" w:cs="方正书宋_GBK"/>
              </w:rPr>
              <w:t>2015</w:t>
            </w:r>
            <w:r>
              <w:rPr>
                <w:rFonts w:hint="eastAsia" w:ascii="方正书宋_GBK" w:eastAsia="方正书宋_GBK" w:cs="方正书宋_GBK"/>
              </w:rPr>
              <w:t>】</w:t>
            </w:r>
            <w:r>
              <w:rPr>
                <w:rFonts w:ascii="方正书宋_GBK" w:eastAsia="方正书宋_GBK" w:cs="方正书宋_GBK"/>
              </w:rPr>
              <w:t>69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伙食补助标准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值班期间伙食补助标准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每人每天</w:t>
            </w:r>
            <w:r>
              <w:rPr>
                <w:rFonts w:ascii="方正书宋_GBK" w:eastAsia="方正书宋_GBK" w:cs="方正书宋_GBK"/>
              </w:rPr>
              <w:t>100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馆财【</w:t>
            </w:r>
            <w:r>
              <w:rPr>
                <w:rFonts w:ascii="方正书宋_GBK" w:eastAsia="方正书宋_GBK" w:cs="方正书宋_GBK"/>
              </w:rPr>
              <w:t>2015</w:t>
            </w:r>
            <w:r>
              <w:rPr>
                <w:rFonts w:hint="eastAsia" w:ascii="方正书宋_GBK" w:eastAsia="方正书宋_GBK" w:cs="方正书宋_GBK"/>
              </w:rPr>
              <w:t>】</w:t>
            </w:r>
            <w:r>
              <w:rPr>
                <w:rFonts w:ascii="方正书宋_GBK" w:eastAsia="方正书宋_GBK" w:cs="方正书宋_GBK"/>
              </w:rPr>
              <w:t>69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社会稳定水平</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通过信访维稳促进社会稳定水平逐步提高</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逐步提高</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信访群众满意度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信访群众对退役军人事务局信访工作的满意度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28</w:t>
      </w:r>
      <w:r>
        <w:rPr>
          <w:rFonts w:hint="eastAsia" w:ascii="方正仿宋_GBK" w:eastAsia="方正仿宋_GBK" w:cs="方正仿宋_GBK"/>
          <w:b/>
          <w:bCs/>
          <w:sz w:val="28"/>
          <w:szCs w:val="28"/>
        </w:rPr>
        <w:t>、企业军转干部解困资金绩效目标表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按时足额发放解困资金，保障困难企业军转干部的基本生活</w:t>
            </w:r>
            <w:r>
              <w:rPr>
                <w:rFonts w:ascii="方正书宋_GBK" w:eastAsia="方正书宋_GBK" w:cs="Times New Roman"/>
              </w:rPr>
              <w:tab/>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解决困难企业军转干部的生活困难，维护企业军转干部的权益，确保社会稳定</w:t>
            </w:r>
            <w:r>
              <w:rPr>
                <w:rFonts w:ascii="方正书宋_GBK" w:eastAsia="方正书宋_GBK" w:cs="Times New Roman"/>
              </w:rPr>
              <w:tab/>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享受解困资金补助企业军转干部人数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人（其中退休人员</w:t>
            </w:r>
            <w:r>
              <w:rPr>
                <w:rFonts w:ascii="方正书宋_GBK" w:eastAsia="方正书宋_GBK" w:cs="方正书宋_GBK"/>
              </w:rPr>
              <w:t>49</w:t>
            </w:r>
            <w:r>
              <w:rPr>
                <w:rFonts w:hint="eastAsia" w:ascii="方正书宋_GBK" w:eastAsia="方正书宋_GBK" w:cs="方正书宋_GBK"/>
              </w:rPr>
              <w:t>人，在岗公益岗位人员</w:t>
            </w:r>
            <w:r>
              <w:rPr>
                <w:rFonts w:ascii="方正书宋_GBK" w:eastAsia="方正书宋_GBK" w:cs="方正书宋_GBK"/>
              </w:rPr>
              <w:t>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实际拨付解困资金的金额占应拨付金额的比例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节日慰问补助标准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春节、八一期间慰问困难企业军转干部标准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每人每次</w:t>
            </w:r>
            <w:r>
              <w:rPr>
                <w:rFonts w:ascii="方正书宋_GBK" w:eastAsia="方正书宋_GBK" w:cs="方正书宋_GBK"/>
              </w:rPr>
              <w:t>500</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享受解困资金企业军转干部生活情况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企业军转干部的满意度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对解困资金发放满意的企业军转干部的人数占总人数的比率</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29</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w:t>
      </w:r>
      <w:r>
        <w:rPr>
          <w:rFonts w:ascii="方正仿宋_GBK" w:eastAsia="方正仿宋_GBK" w:cs="方正仿宋_GBK"/>
          <w:b/>
          <w:bCs/>
          <w:sz w:val="28"/>
          <w:szCs w:val="28"/>
        </w:rPr>
        <w:t>7</w:t>
      </w:r>
      <w:r>
        <w:rPr>
          <w:rFonts w:hint="eastAsia" w:ascii="方正仿宋_GBK" w:eastAsia="方正仿宋_GBK" w:cs="方正仿宋_GBK"/>
          <w:b/>
          <w:bCs/>
          <w:sz w:val="28"/>
          <w:szCs w:val="28"/>
        </w:rPr>
        <w:t>、</w:t>
      </w:r>
      <w:r>
        <w:rPr>
          <w:rFonts w:ascii="方正仿宋_GBK" w:eastAsia="方正仿宋_GBK" w:cs="方正仿宋_GBK"/>
          <w:b/>
          <w:bCs/>
          <w:sz w:val="28"/>
          <w:szCs w:val="28"/>
        </w:rPr>
        <w:t>8</w:t>
      </w:r>
      <w:r>
        <w:rPr>
          <w:rFonts w:hint="eastAsia" w:ascii="方正仿宋_GBK" w:eastAsia="方正仿宋_GBK" w:cs="方正仿宋_GBK"/>
          <w:b/>
          <w:bCs/>
          <w:sz w:val="28"/>
          <w:szCs w:val="28"/>
        </w:rPr>
        <w:t>月份优抚对象价格临时补贴资金绩效目标表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通过发放优抚对象价格临时补贴，使优抚对象基本生活得到有效保障。</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按时足额发放补助资金，确保优抚对象基本生活不因物价上涨而降低，并逐步得到改善。</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享受补贴的人数（人）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享受价格临时补贴的优抚对象人数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2817</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补助资金足额拨付率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实际拨付资金的总额占应发资金总额的比例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为全县优抚对象发放价格补贴的时限</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6</w:t>
            </w:r>
            <w:r>
              <w:rPr>
                <w:rFonts w:hint="eastAsia" w:ascii="方正书宋_GBK" w:eastAsia="方正书宋_GBK" w:cs="方正书宋_GBK"/>
              </w:rPr>
              <w:t>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ascii="方正书宋_GBK" w:eastAsia="方正书宋_GBK" w:cs="方正书宋_GBK"/>
              </w:rPr>
              <w:t>7</w:t>
            </w:r>
            <w:r>
              <w:rPr>
                <w:rFonts w:hint="eastAsia" w:ascii="方正书宋_GBK" w:eastAsia="方正书宋_GBK" w:cs="方正书宋_GBK"/>
              </w:rPr>
              <w:t>月份价格临时补贴标准</w:t>
            </w:r>
          </w:p>
        </w:tc>
        <w:tc>
          <w:tcPr>
            <w:tcW w:w="10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7</w:t>
            </w:r>
            <w:r>
              <w:rPr>
                <w:rFonts w:hint="eastAsia" w:ascii="方正书宋_GBK" w:eastAsia="方正书宋_GBK" w:cs="方正书宋_GBK"/>
              </w:rPr>
              <w:t>月份优抚对象价格临时补贴标准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w:t>
            </w:r>
            <w:r>
              <w:rPr>
                <w:rFonts w:ascii="方正书宋_GBK" w:eastAsia="方正书宋_GBK" w:cs="方正书宋_GBK"/>
              </w:rPr>
              <w:t>71</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ascii="方正书宋_GBK" w:eastAsia="方正书宋_GBK" w:cs="方正书宋_GBK"/>
              </w:rPr>
              <w:t>8</w:t>
            </w:r>
            <w:r>
              <w:rPr>
                <w:rFonts w:hint="eastAsia" w:ascii="方正书宋_GBK" w:eastAsia="方正书宋_GBK" w:cs="方正书宋_GBK"/>
              </w:rPr>
              <w:t>月份价格临时补贴标准</w:t>
            </w:r>
          </w:p>
        </w:tc>
        <w:tc>
          <w:tcPr>
            <w:tcW w:w="10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8</w:t>
            </w:r>
            <w:r>
              <w:rPr>
                <w:rFonts w:hint="eastAsia" w:ascii="方正书宋_GBK" w:eastAsia="方正书宋_GBK" w:cs="方正书宋_GBK"/>
              </w:rPr>
              <w:t>月份优抚对象价格临时补贴标准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w:t>
            </w:r>
            <w:r>
              <w:rPr>
                <w:rFonts w:ascii="方正书宋_GBK" w:eastAsia="方正书宋_GBK" w:cs="方正书宋_GBK"/>
              </w:rPr>
              <w:t>75</w:t>
            </w:r>
            <w:r>
              <w:rPr>
                <w:rFonts w:hint="eastAsia" w:ascii="方正书宋_GBK" w:eastAsia="方正书宋_GBK" w:cs="方正书宋_GBK"/>
              </w:rPr>
              <w:t>元</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享受价格临时补贴优抚对象生活情况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优抚对象满意人数占总人数的比例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问卷调查</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30</w:t>
      </w:r>
      <w:r>
        <w:rPr>
          <w:rFonts w:hint="eastAsia" w:ascii="方正仿宋_GBK" w:eastAsia="方正仿宋_GBK" w:cs="方正仿宋_GBK"/>
          <w:b/>
          <w:bCs/>
          <w:sz w:val="28"/>
          <w:szCs w:val="28"/>
        </w:rPr>
        <w:t>、义务兵家庭优待金绩效目标表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按时足额发放义务兵优待金</w:t>
            </w:r>
            <w:r>
              <w:rPr>
                <w:rFonts w:ascii="方正书宋_GBK" w:eastAsia="方正书宋_GBK" w:cs="方正书宋_GBK"/>
              </w:rPr>
              <w:t>,</w:t>
            </w:r>
            <w:r>
              <w:rPr>
                <w:rFonts w:hint="eastAsia" w:ascii="方正书宋_GBK" w:eastAsia="方正书宋_GBK" w:cs="方正书宋_GBK"/>
              </w:rPr>
              <w:t>保障义务兵合法权益</w:t>
            </w:r>
            <w:r>
              <w:rPr>
                <w:rFonts w:ascii="方正书宋_GBK" w:eastAsia="方正书宋_GBK" w:cs="Times New Roman"/>
              </w:rPr>
              <w:tab/>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通过对符合条件的义务兵发放家庭优待金</w:t>
            </w:r>
            <w:r>
              <w:rPr>
                <w:rFonts w:ascii="方正书宋_GBK" w:eastAsia="方正书宋_GBK" w:cs="方正书宋_GBK"/>
              </w:rPr>
              <w:t>,</w:t>
            </w:r>
            <w:r>
              <w:rPr>
                <w:rFonts w:hint="eastAsia" w:ascii="方正书宋_GBK" w:eastAsia="方正书宋_GBK" w:cs="方正书宋_GBK"/>
              </w:rPr>
              <w:t>让广大义务兵家庭得到优待</w:t>
            </w:r>
            <w:r>
              <w:rPr>
                <w:rFonts w:ascii="方正书宋_GBK" w:eastAsia="方正书宋_GBK" w:cs="方正书宋_GBK"/>
              </w:rPr>
              <w:t>,</w:t>
            </w:r>
            <w:r>
              <w:rPr>
                <w:rFonts w:hint="eastAsia" w:ascii="方正书宋_GBK" w:eastAsia="方正书宋_GBK" w:cs="方正书宋_GBK"/>
              </w:rPr>
              <w:t>营造一人当兵全家光荣的良好氛围</w:t>
            </w:r>
            <w:r>
              <w:rPr>
                <w:rFonts w:ascii="方正书宋_GBK" w:eastAsia="方正书宋_GBK" w:cs="Times New Roman"/>
              </w:rPr>
              <w:tab/>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享受优待金的人数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享受义务兵家庭优待金的人数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补助足额发放率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实际发放补助资金占应发放额的比率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工作按时完成率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义务兵优待金发放工作按时完成比率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发放标准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义务兵优待金发放标准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按冀民</w:t>
            </w:r>
            <w:r>
              <w:rPr>
                <w:rFonts w:ascii="方正书宋_GBK" w:eastAsia="方正书宋_GBK" w:cs="方正书宋_GBK"/>
              </w:rPr>
              <w:t>[2016]86</w:t>
            </w:r>
            <w:r>
              <w:rPr>
                <w:rFonts w:hint="eastAsia" w:ascii="方正书宋_GBK" w:eastAsia="方正书宋_GBK" w:cs="方正书宋_GBK"/>
              </w:rPr>
              <w:t>号规定标准发放</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[2016]86</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在全县产生的重要影响</w:t>
            </w:r>
            <w:r>
              <w:rPr>
                <w:rFonts w:ascii="方正书宋_GBK" w:eastAsia="方正书宋_GBK" w:cs="方正书宋_GBK"/>
              </w:rPr>
              <w:t>,</w:t>
            </w:r>
            <w:r>
              <w:rPr>
                <w:rFonts w:hint="eastAsia" w:ascii="方正书宋_GBK" w:eastAsia="方正书宋_GBK" w:cs="方正书宋_GBK"/>
              </w:rPr>
              <w:t>得到广大义务兵家庭的充分认可</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充分认可</w:t>
            </w:r>
            <w:r>
              <w:rPr>
                <w:rFonts w:ascii="方正书宋_GBK" w:eastAsia="方正书宋_GBK" w:cs="Times New Roman"/>
              </w:rPr>
              <w:tab/>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义务兵家庭满意度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对优待金发放工作满意的义务兵家庭数占义务兵家庭总数的比例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31</w:t>
      </w:r>
      <w:r>
        <w:rPr>
          <w:rFonts w:hint="eastAsia" w:ascii="方正仿宋_GBK" w:eastAsia="方正仿宋_GBK" w:cs="方正仿宋_GBK"/>
          <w:b/>
          <w:bCs/>
          <w:sz w:val="28"/>
          <w:szCs w:val="28"/>
        </w:rPr>
        <w:t>、退役士兵待分配期间生活补助资金绩效目标表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按时足额发放退役士兵待分配期间生活补助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体现政府对退役士兵的关心和关怀</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享受补助的自主就业退役士兵人数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根据往年数据推测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待安置期间生活补助及时拨付率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待安置期间每月补助标准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按照</w:t>
            </w:r>
            <w:r>
              <w:rPr>
                <w:rFonts w:ascii="方正书宋_GBK" w:eastAsia="方正书宋_GBK" w:cs="方正书宋_GBK"/>
              </w:rPr>
              <w:t>2020</w:t>
            </w:r>
            <w:r>
              <w:rPr>
                <w:rFonts w:hint="eastAsia" w:ascii="方正书宋_GBK" w:eastAsia="方正书宋_GBK" w:cs="方正书宋_GBK"/>
              </w:rPr>
              <w:t>年度最低工资标准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2018</w:t>
            </w:r>
            <w:r>
              <w:rPr>
                <w:rFonts w:hint="eastAsia" w:ascii="方正书宋_GBK" w:eastAsia="方正书宋_GBK" w:cs="方正书宋_GBK"/>
              </w:rPr>
              <w:t>】</w:t>
            </w:r>
            <w:r>
              <w:rPr>
                <w:rFonts w:ascii="方正书宋_GBK" w:eastAsia="方正书宋_GBK" w:cs="方正书宋_GBK"/>
              </w:rPr>
              <w:t>102</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享受待安置期间生活补助退役士兵的生活情况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退役士兵对补助发放工作满意度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32</w:t>
      </w:r>
      <w:r>
        <w:rPr>
          <w:rFonts w:hint="eastAsia" w:ascii="方正仿宋_GBK" w:eastAsia="方正仿宋_GBK" w:cs="方正仿宋_GBK"/>
          <w:b/>
          <w:bCs/>
          <w:sz w:val="28"/>
          <w:szCs w:val="28"/>
        </w:rPr>
        <w:t>、优抚对象医疗费资金绩效目标表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通过发放优抚对象医疗补助资金，对优抚对象参保缴费住院和门诊费用进行补助。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有效帮助解决优抚对象医疗难问题。</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942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医疗费补助标准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33</w:t>
      </w:r>
      <w:r>
        <w:rPr>
          <w:rFonts w:hint="eastAsia" w:ascii="方正仿宋_GBK" w:eastAsia="方正仿宋_GBK" w:cs="方正仿宋_GBK"/>
          <w:b/>
          <w:bCs/>
          <w:sz w:val="28"/>
          <w:szCs w:val="28"/>
        </w:rPr>
        <w:t>、春节、“八一”期间慰问资金绩效目标表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弘扬拥军优属、拥政爱民的光荣传统。</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做好春节节日期间双拥工作。</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走访慰问人数（人）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走访慰问的人数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9700</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走访慰问驻馆部队单位数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走访慰问驻馆部队单位数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慰问驻馆部队单位</w:t>
            </w:r>
            <w:r>
              <w:rPr>
                <w:rFonts w:ascii="方正书宋_GBK" w:eastAsia="方正书宋_GBK" w:cs="方正书宋_GBK"/>
              </w:rPr>
              <w:t>3</w:t>
            </w:r>
            <w:r>
              <w:rPr>
                <w:rFonts w:hint="eastAsia" w:ascii="方正书宋_GBK" w:eastAsia="方正书宋_GBK" w:cs="方正书宋_GBK"/>
              </w:rPr>
              <w:t>处（武装部、</w:t>
            </w:r>
            <w:r>
              <w:rPr>
                <w:rFonts w:ascii="方正书宋_GBK" w:eastAsia="方正书宋_GBK" w:cs="方正书宋_GBK"/>
              </w:rPr>
              <w:t>66389</w:t>
            </w:r>
            <w:r>
              <w:rPr>
                <w:rFonts w:hint="eastAsia" w:ascii="方正书宋_GBK" w:eastAsia="方正书宋_GBK" w:cs="方正书宋_GBK"/>
              </w:rPr>
              <w:t>部队、武警县中队）</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走访慰问资金执行标准率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实际走访慰问执行标准占应执行标准的比例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慰问资金时间及时程度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慰问资金实际使用时间与应使用时间的对比</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按时慰问</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慰问资金标准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优抚对象慰问标准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超过每人</w:t>
            </w:r>
            <w:r>
              <w:rPr>
                <w:rFonts w:ascii="方正书宋_GBK" w:eastAsia="方正书宋_GBK" w:cs="方正书宋_GBK"/>
              </w:rPr>
              <w:t>200</w:t>
            </w:r>
            <w:r>
              <w:rPr>
                <w:rFonts w:hint="eastAsia" w:ascii="方正书宋_GBK" w:eastAsia="方正书宋_GBK" w:cs="方正书宋_GBK"/>
              </w:rPr>
              <w:t>元的慰问标准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双拥工作的氛围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达到为退役军人服务、增强退役军人及军属满意度和幸福感的目的，为馆陶发展提供支持。</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较好</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退役军人及军属对慰问满意度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退役军人及军属对慰问满意度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走访调查</w:t>
            </w:r>
          </w:p>
        </w:tc>
      </w:tr>
    </w:tbl>
    <w:p>
      <w:pPr>
        <w:spacing w:line="300" w:lineRule="exact"/>
        <w:jc w:val="left"/>
        <w:rPr>
          <w:rFonts w:cs="Times New Roman"/>
        </w:rPr>
      </w:pPr>
    </w:p>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34</w:t>
      </w:r>
      <w:r>
        <w:rPr>
          <w:rFonts w:hint="eastAsia" w:ascii="方正仿宋_GBK" w:eastAsia="方正仿宋_GBK" w:cs="方正仿宋_GBK"/>
          <w:b/>
          <w:bCs/>
          <w:sz w:val="28"/>
          <w:szCs w:val="28"/>
        </w:rPr>
        <w:t>、重点优抚对象体检资金绩效目标表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保障重点优抚对象的身体健康</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体现党对优抚对象的关心和关爱</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享受体检人数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享受体检重点优抚对象人数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942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体检人员覆盖率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实际体检优抚对象人数占应体检人数的比例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体检工作完成时限</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月底</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体检标准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重点优抚对象体检标准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每人</w:t>
            </w:r>
            <w:r>
              <w:rPr>
                <w:rFonts w:ascii="方正书宋_GBK" w:eastAsia="方正书宋_GBK" w:cs="方正书宋_GBK"/>
              </w:rPr>
              <w:t>500</w:t>
            </w:r>
            <w:r>
              <w:rPr>
                <w:rFonts w:hint="eastAsia" w:ascii="方正书宋_GBK" w:eastAsia="方正书宋_GBK" w:cs="方正书宋_GBK"/>
              </w:rPr>
              <w:t>元标准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周边县标准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在全县产生的重要影响，得到广大优抚对象的充分认可</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认可</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享受体检待遇的优抚对象的满意程度</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满意</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35</w:t>
      </w:r>
      <w:r>
        <w:rPr>
          <w:rFonts w:hint="eastAsia" w:ascii="方正仿宋_GBK" w:eastAsia="方正仿宋_GBK" w:cs="方正仿宋_GBK"/>
          <w:b/>
          <w:bCs/>
          <w:sz w:val="28"/>
          <w:szCs w:val="28"/>
        </w:rPr>
        <w:t>、优抚对象医疗保障经费绩效目标表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通过发放优抚对象医疗补助资金，对优抚对象参保缴费住院和门诊费用进行补助。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有效帮助解决优抚对象医疗难问题。</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942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优抚对象医疗费补助标准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36</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[2020]138</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中央财政退役安置补助资金绩效目标表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保障我县接收管理的军休干部各项政策待遇，保障其合法权益。通过下拨军休机构工作经费，维护军休服务管理机构的日常运转。</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确保教育培训工作在提升退役士兵就业创业技能中的作用更加显著。</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转业士官人数</w:t>
            </w:r>
          </w:p>
        </w:tc>
        <w:tc>
          <w:tcPr>
            <w:tcW w:w="10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年我县负责管理教育的转业士官人数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17</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参加自主就业退役士兵教育培训人数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享受生活补助军休人员人数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享受生活保障补助军队离退休人员人数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军休机构和人员经费拨付率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实际拨付军休机构和人员经费金额占应拨付金额的比例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军休人员经费拨付时限</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军休人员经费拨付时限</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教育培训标准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退役士兵教育培训标准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达到文件规定标准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落实待遇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落实军队离退休人员各项待遇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退役士兵工作情况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退役士兵掌握职业技能人数占总人数的比例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92%</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军队离退休人员的满意度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接受培训退役士兵对技能培训的满意人数占总培训人数比例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37</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[2019]80</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年中央退役安置补助资金绩效目标表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按时足额发放军休管理机构的人员经费，保障他们的工资</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通过下拨军休机构工作经费，维护军休服务管理机构的日常运转。</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504"/>
        <w:gridCol w:w="1880"/>
        <w:gridCol w:w="1880"/>
        <w:gridCol w:w="1690"/>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军休所管理人员人数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馆陶县军休所管理人员人数</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军休管理机构经费足额拨付率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按时拨付军休机构保障运行资金率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是否超出预算</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资金支出是否超出预算</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有效控制在预算范围之内</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保障军休机构正常运行</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保障军休管理机构日常工作的正常运行</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效果显著</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军休人员对我县军休机构工作的满意度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问卷调查</w:t>
            </w:r>
          </w:p>
        </w:tc>
      </w:tr>
    </w:tbl>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38</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[2020]17</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年退役安置省级补助资金绩效目标表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按时足额发放退役士兵一次性经济补助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提高广大青年参军的积极性</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享受补助人数（人）</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享受一次性经济补助的人数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79</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r>
              <w:rPr>
                <w:rFonts w:ascii="方正书宋_GBK" w:eastAsia="方正书宋_GBK" w:cs="Times New Roman"/>
              </w:rPr>
              <w:tab/>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资金拨付及时率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号文件规定的自主就业一次性补助的标准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退役士兵生活情况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享受一次性经济补助退役士兵生活改善情况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享受一次性经济补助的退役士兵满意度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39</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[2019]95</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年退役安置省级补助资金绩效目标表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通过提高教育培训质量，丰富教育培训内容，强化教育培训与就业创业的关联度。</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确保教育培训工作在提升退役士兵就业创业技能中的作用更加显著。</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享受教育培训人数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享受职业教育和技能培训的人数</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69</w:t>
            </w:r>
            <w:r>
              <w:rPr>
                <w:rFonts w:hint="eastAsia" w:ascii="方正书宋_GBK" w:eastAsia="方正书宋_GBK" w:cs="方正书宋_GBK"/>
              </w:rPr>
              <w:t>人</w:t>
            </w:r>
            <w:r>
              <w:rPr>
                <w:rFonts w:ascii="方正书宋_GBK" w:eastAsia="方正书宋_GBK" w:cs="方正书宋_GBK"/>
              </w:rPr>
              <w:t xml:space="preserve"> </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经费实际拨付金额占应发金额的比例</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完成时间</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退役士兵教育培训工作完成时限</w:t>
            </w:r>
          </w:p>
        </w:tc>
        <w:tc>
          <w:tcPr>
            <w:tcW w:w="899" w:type="pct"/>
            <w:vAlign w:val="center"/>
          </w:tcPr>
          <w:p>
            <w:pPr>
              <w:spacing w:line="300" w:lineRule="exact"/>
              <w:jc w:val="left"/>
              <w:rPr>
                <w:rFonts w:ascii="方正书宋_GBK" w:eastAsia="方正书宋_GBK" w:cs="Times New Roman"/>
              </w:rPr>
            </w:pPr>
            <w:r>
              <w:rPr>
                <w:rFonts w:ascii="方正书宋_GBK" w:eastAsia="方正书宋_GBK" w:cs="方正书宋_GBK"/>
              </w:rPr>
              <w:t>2021</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月底前</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培训标准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退役士兵职业技能教育培训标准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冀政办</w:t>
            </w:r>
            <w:r>
              <w:rPr>
                <w:rFonts w:ascii="方正书宋_GBK" w:eastAsia="方正书宋_GBK" w:cs="方正书宋_GBK"/>
              </w:rPr>
              <w:t>[2011]14</w:t>
            </w:r>
            <w:r>
              <w:rPr>
                <w:rFonts w:hint="eastAsia" w:ascii="方正书宋_GBK" w:eastAsia="方正书宋_GBK" w:cs="方正书宋_GBK"/>
              </w:rPr>
              <w:t>号文件规定</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退役士兵工作情况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退役士兵掌握职业技能人数占总人数的比例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退役士兵满意度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接受培训退役士兵对技能培训的满意人数占总培训人数比例</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spacing w:line="300" w:lineRule="exact"/>
        <w:jc w:val="left"/>
        <w:rPr>
          <w:rFonts w:cs="Times New Roman"/>
        </w:rPr>
      </w:pPr>
    </w:p>
    <w:p>
      <w:pPr>
        <w:ind w:firstLine="562" w:firstLineChars="200"/>
        <w:jc w:val="left"/>
        <w:rPr>
          <w:rFonts w:ascii="Times New Roman" w:hAnsi="宋体" w:cs="Times New Roman"/>
          <w:b/>
          <w:bCs/>
          <w:sz w:val="28"/>
          <w:szCs w:val="28"/>
        </w:rPr>
      </w:pPr>
      <w:r>
        <w:rPr>
          <w:rFonts w:ascii="方正仿宋_GBK" w:eastAsia="方正仿宋_GBK" w:cs="方正仿宋_GBK"/>
          <w:b/>
          <w:bCs/>
          <w:sz w:val="28"/>
          <w:szCs w:val="28"/>
        </w:rPr>
        <w:t>40</w:t>
      </w:r>
      <w:r>
        <w:rPr>
          <w:rFonts w:hint="eastAsia" w:ascii="方正仿宋_GBK" w:eastAsia="方正仿宋_GBK" w:cs="方正仿宋_GBK"/>
          <w:b/>
          <w:bCs/>
          <w:sz w:val="28"/>
          <w:szCs w:val="28"/>
        </w:rPr>
        <w:t>、优抚对象医疗保障经费绩效目标表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autofit"/>
        <w:tblCellMar>
          <w:top w:w="0" w:type="dxa"/>
          <w:left w:w="108" w:type="dxa"/>
          <w:bottom w:w="0" w:type="dxa"/>
          <w:right w:w="108" w:type="dxa"/>
        </w:tblCellMar>
      </w:tblPr>
      <w:tblGrid>
        <w:gridCol w:w="938"/>
        <w:gridCol w:w="8461"/>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499" w:type="pct"/>
            <w:tcBorders>
              <w:top w:val="single" w:color="000000" w:sz="6" w:space="0"/>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4500" w:type="pct"/>
            <w:tcBorders>
              <w:top w:val="single" w:color="000000" w:sz="6" w:space="0"/>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通过发放优抚对象医疗补助资金，对优抚对象参保缴费住院和门诊费用进行补助。</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有效帮助解决优抚对象医疗难问题。</w:t>
            </w:r>
          </w:p>
        </w:tc>
      </w:tr>
    </w:tbl>
    <w:p>
      <w:pPr>
        <w:spacing w:line="14" w:lineRule="exact"/>
        <w:jc w:val="center"/>
        <w:rPr>
          <w:rFonts w:ascii="Times New Roman" w:hAnsi="宋体" w:cs="Times New Roman"/>
          <w:sz w:val="18"/>
          <w:szCs w:val="18"/>
        </w:rPr>
      </w:pPr>
      <w:r>
        <w:rPr>
          <w:rFonts w:ascii="方正书宋_GBK" w:eastAsia="方正书宋_GBK" w:cs="方正书宋_GBK"/>
          <w:sz w:val="18"/>
          <w:szCs w:val="18"/>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8"/>
        <w:gridCol w:w="1504"/>
        <w:gridCol w:w="1880"/>
        <w:gridCol w:w="1880"/>
        <w:gridCol w:w="1690"/>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10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899"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800" w:type="pc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享受医疗补助人数</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享受医疗补助的优抚对象人数</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942</w:t>
            </w:r>
            <w:r>
              <w:rPr>
                <w:rFonts w:hint="eastAsia" w:ascii="方正书宋_GBK" w:eastAsia="方正书宋_GBK" w:cs="方正书宋_GBK"/>
              </w:rPr>
              <w:t>人</w:t>
            </w:r>
          </w:p>
        </w:tc>
        <w:tc>
          <w:tcPr>
            <w:tcW w:w="800" w:type="pct"/>
            <w:vAlign w:val="center"/>
          </w:tcPr>
          <w:p>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899" w:type="pct"/>
            <w:vAlign w:val="center"/>
          </w:tcPr>
          <w:p>
            <w:pPr>
              <w:spacing w:line="300" w:lineRule="exact"/>
              <w:jc w:val="left"/>
              <w:rPr>
                <w:rFonts w:ascii="方正书宋_GBK" w:eastAsia="方正书宋_GBK" w:cs="方正书宋_GBK"/>
              </w:rPr>
            </w:pPr>
            <w:r>
              <w:rPr>
                <w:rFonts w:ascii="方正书宋_GBK" w:eastAsia="方正书宋_GBK" w:cs="方正书宋_GBK"/>
              </w:rPr>
              <w:t>100%</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Merge w:val="continue"/>
            <w:vAlign w:val="center"/>
          </w:tcPr>
          <w:p>
            <w:pPr>
              <w:spacing w:line="300" w:lineRule="exact"/>
              <w:jc w:val="center"/>
              <w:rPr>
                <w:rFonts w:ascii="方正书宋_GBK" w:eastAsia="方正书宋_GBK" w:cs="Times New Roman"/>
              </w:rPr>
            </w:pP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补助标准</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优抚对象医疗费补助标准</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达到标准</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899"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99" w:type="pc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10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899" w:type="pct"/>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800" w:type="pc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bl>
    <w:p>
      <w:pPr>
        <w:spacing w:line="300" w:lineRule="exact"/>
        <w:jc w:val="left"/>
        <w:rPr>
          <w:rFonts w:cs="Times New Roman"/>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Times New Roman"/>
          <w:sz w:val="32"/>
          <w:szCs w:val="32"/>
        </w:rPr>
      </w:pPr>
      <w:bookmarkStart w:id="4" w:name="_Toc471398468"/>
      <w:r>
        <w:rPr>
          <w:rFonts w:ascii="Times New Roman" w:hAnsi="Times New Roman" w:eastAsia="仿宋" w:cs="Times New Roman"/>
          <w:sz w:val="32"/>
          <w:szCs w:val="32"/>
        </w:rPr>
        <w:t>2021</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213.3</w:t>
      </w:r>
      <w:r>
        <w:rPr>
          <w:rFonts w:hint="eastAsia" w:ascii="Times New Roman" w:hAnsi="Times New Roman" w:eastAsia="仿宋" w:cs="仿宋"/>
          <w:sz w:val="32"/>
          <w:szCs w:val="32"/>
        </w:rPr>
        <w:t>万元。具体内容见下表。</w:t>
      </w:r>
      <w:bookmarkEnd w:id="4"/>
    </w:p>
    <w:p>
      <w:pPr>
        <w:jc w:val="center"/>
        <w:outlineLvl w:val="0"/>
        <w:rPr>
          <w:rFonts w:ascii="方正小标宋_GBK" w:eastAsia="方正小标宋_GBK" w:cs="Times New Roman"/>
          <w:sz w:val="32"/>
          <w:szCs w:val="32"/>
        </w:rPr>
      </w:pPr>
      <w:bookmarkStart w:id="5" w:name="_Toc535404684"/>
      <w:r>
        <w:rPr>
          <w:rFonts w:hint="eastAsia" w:ascii="方正小标宋_GBK" w:eastAsia="方正小标宋_GBK" w:cs="方正小标宋_GBK"/>
          <w:sz w:val="32"/>
          <w:szCs w:val="32"/>
        </w:rPr>
        <w:t>部门政府采购预算</w:t>
      </w:r>
      <w:bookmarkEnd w:id="5"/>
    </w:p>
    <w:tbl>
      <w:tblPr>
        <w:tblStyle w:val="8"/>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3"/>
        <w:gridCol w:w="630"/>
        <w:gridCol w:w="593"/>
        <w:gridCol w:w="1087"/>
        <w:gridCol w:w="630"/>
        <w:gridCol w:w="735"/>
        <w:gridCol w:w="735"/>
        <w:gridCol w:w="630"/>
        <w:gridCol w:w="630"/>
        <w:gridCol w:w="709"/>
        <w:gridCol w:w="315"/>
        <w:gridCol w:w="315"/>
        <w:gridCol w:w="333"/>
        <w:gridCol w:w="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5743"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cs="Times New Roman"/>
                <w:sz w:val="24"/>
                <w:szCs w:val="24"/>
              </w:rPr>
            </w:pPr>
            <w:r>
              <w:rPr>
                <w:rFonts w:hint="eastAsia" w:ascii="宋体" w:hAnsi="宋体" w:cs="宋体"/>
                <w:sz w:val="24"/>
                <w:szCs w:val="24"/>
              </w:rPr>
              <w:t>馆陶县退役军人事务局</w:t>
            </w:r>
          </w:p>
        </w:tc>
        <w:tc>
          <w:tcPr>
            <w:tcW w:w="3168"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08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63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3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3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3168"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33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63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rPr>
                <w:rFonts w:cs="Times New Roman"/>
              </w:rPr>
            </w:pPr>
          </w:p>
        </w:tc>
        <w:tc>
          <w:tcPr>
            <w:tcW w:w="1087" w:type="dxa"/>
            <w:vMerge w:val="continue"/>
            <w:vAlign w:val="center"/>
          </w:tcPr>
          <w:p>
            <w:pPr>
              <w:spacing w:line="300" w:lineRule="exact"/>
              <w:jc w:val="left"/>
              <w:outlineLvl w:val="0"/>
              <w:rPr>
                <w:rFonts w:cs="Times New Roman"/>
              </w:rPr>
            </w:pPr>
          </w:p>
        </w:tc>
        <w:tc>
          <w:tcPr>
            <w:tcW w:w="630" w:type="dxa"/>
            <w:vMerge w:val="continue"/>
            <w:vAlign w:val="center"/>
          </w:tcPr>
          <w:p>
            <w:pPr>
              <w:spacing w:line="300" w:lineRule="exact"/>
              <w:jc w:val="left"/>
              <w:outlineLvl w:val="0"/>
              <w:rPr>
                <w:rFonts w:cs="Times New Roman"/>
              </w:rPr>
            </w:pPr>
          </w:p>
        </w:tc>
        <w:tc>
          <w:tcPr>
            <w:tcW w:w="735" w:type="dxa"/>
            <w:vMerge w:val="continue"/>
            <w:vAlign w:val="center"/>
          </w:tcPr>
          <w:p>
            <w:pPr>
              <w:spacing w:line="300" w:lineRule="exact"/>
              <w:jc w:val="left"/>
              <w:outlineLvl w:val="0"/>
              <w:rPr>
                <w:rFonts w:cs="Times New Roman"/>
              </w:rPr>
            </w:pPr>
          </w:p>
        </w:tc>
        <w:tc>
          <w:tcPr>
            <w:tcW w:w="735" w:type="dxa"/>
            <w:vMerge w:val="continue"/>
            <w:vAlign w:val="center"/>
          </w:tcPr>
          <w:p>
            <w:pPr>
              <w:spacing w:line="300" w:lineRule="exact"/>
              <w:jc w:val="left"/>
              <w:outlineLvl w:val="0"/>
              <w:rPr>
                <w:rFonts w:cs="Times New Roman"/>
              </w:rPr>
            </w:pPr>
          </w:p>
        </w:tc>
        <w:tc>
          <w:tcPr>
            <w:tcW w:w="63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2302"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23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4" w:hRule="atLeast"/>
          <w:tblHeader/>
          <w:jc w:val="center"/>
        </w:trPr>
        <w:tc>
          <w:tcPr>
            <w:tcW w:w="1333" w:type="dxa"/>
            <w:vMerge w:val="continue"/>
            <w:vAlign w:val="center"/>
          </w:tcPr>
          <w:p>
            <w:pPr>
              <w:spacing w:line="300" w:lineRule="exact"/>
              <w:jc w:val="left"/>
              <w:outlineLvl w:val="0"/>
              <w:rPr>
                <w:rFonts w:cs="Times New Roman"/>
              </w:rPr>
            </w:pPr>
          </w:p>
        </w:tc>
        <w:tc>
          <w:tcPr>
            <w:tcW w:w="630" w:type="dxa"/>
            <w:vMerge w:val="continue"/>
            <w:vAlign w:val="center"/>
          </w:tcPr>
          <w:p>
            <w:pPr>
              <w:spacing w:line="300" w:lineRule="exact"/>
              <w:jc w:val="left"/>
              <w:outlineLvl w:val="0"/>
              <w:rPr>
                <w:rFonts w:cs="Times New Roman"/>
              </w:rPr>
            </w:pPr>
          </w:p>
        </w:tc>
        <w:tc>
          <w:tcPr>
            <w:tcW w:w="593" w:type="dxa"/>
            <w:vMerge w:val="continue"/>
            <w:vAlign w:val="center"/>
          </w:tcPr>
          <w:p>
            <w:pPr>
              <w:spacing w:line="300" w:lineRule="exact"/>
              <w:jc w:val="left"/>
              <w:outlineLvl w:val="0"/>
              <w:rPr>
                <w:rFonts w:cs="Times New Roman"/>
              </w:rPr>
            </w:pPr>
          </w:p>
        </w:tc>
        <w:tc>
          <w:tcPr>
            <w:tcW w:w="1087" w:type="dxa"/>
            <w:vMerge w:val="continue"/>
            <w:vAlign w:val="center"/>
          </w:tcPr>
          <w:p>
            <w:pPr>
              <w:spacing w:line="300" w:lineRule="exact"/>
              <w:jc w:val="left"/>
              <w:outlineLvl w:val="0"/>
              <w:rPr>
                <w:rFonts w:cs="Times New Roman"/>
              </w:rPr>
            </w:pPr>
          </w:p>
        </w:tc>
        <w:tc>
          <w:tcPr>
            <w:tcW w:w="630" w:type="dxa"/>
            <w:vMerge w:val="continue"/>
            <w:vAlign w:val="center"/>
          </w:tcPr>
          <w:p>
            <w:pPr>
              <w:spacing w:line="300" w:lineRule="exact"/>
              <w:jc w:val="left"/>
              <w:outlineLvl w:val="0"/>
              <w:rPr>
                <w:rFonts w:cs="Times New Roman"/>
              </w:rPr>
            </w:pPr>
          </w:p>
        </w:tc>
        <w:tc>
          <w:tcPr>
            <w:tcW w:w="735" w:type="dxa"/>
            <w:vMerge w:val="continue"/>
            <w:vAlign w:val="center"/>
          </w:tcPr>
          <w:p>
            <w:pPr>
              <w:spacing w:line="300" w:lineRule="exact"/>
              <w:jc w:val="left"/>
              <w:outlineLvl w:val="0"/>
              <w:rPr>
                <w:rFonts w:cs="Times New Roman"/>
              </w:rPr>
            </w:pPr>
          </w:p>
        </w:tc>
        <w:tc>
          <w:tcPr>
            <w:tcW w:w="735" w:type="dxa"/>
            <w:vMerge w:val="continue"/>
            <w:vAlign w:val="center"/>
          </w:tcPr>
          <w:p>
            <w:pPr>
              <w:spacing w:line="300" w:lineRule="exact"/>
              <w:jc w:val="left"/>
              <w:outlineLvl w:val="0"/>
              <w:rPr>
                <w:rFonts w:cs="Times New Roman"/>
              </w:rPr>
            </w:pPr>
          </w:p>
        </w:tc>
        <w:tc>
          <w:tcPr>
            <w:tcW w:w="630" w:type="dxa"/>
            <w:vAlign w:val="center"/>
          </w:tcPr>
          <w:p>
            <w:pPr>
              <w:spacing w:line="300" w:lineRule="exact"/>
              <w:jc w:val="left"/>
              <w:outlineLvl w:val="0"/>
              <w:rPr>
                <w:rFonts w:cs="Times New Roman"/>
              </w:rPr>
            </w:pPr>
          </w:p>
        </w:tc>
        <w:tc>
          <w:tcPr>
            <w:tcW w:w="63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7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31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315"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33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236"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33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630" w:type="dxa"/>
            <w:vAlign w:val="center"/>
          </w:tcPr>
          <w:p>
            <w:pPr>
              <w:spacing w:line="300" w:lineRule="exact"/>
              <w:jc w:val="right"/>
              <w:rPr>
                <w:rFonts w:ascii="方正书宋_GBK" w:eastAsia="方正书宋_GBK" w:cs="Times New Roman"/>
                <w:b/>
                <w:bCs/>
              </w:rPr>
            </w:pPr>
          </w:p>
        </w:tc>
        <w:tc>
          <w:tcPr>
            <w:tcW w:w="593" w:type="dxa"/>
            <w:vAlign w:val="center"/>
          </w:tcPr>
          <w:p>
            <w:pPr>
              <w:spacing w:line="300" w:lineRule="exact"/>
              <w:jc w:val="left"/>
              <w:rPr>
                <w:rFonts w:ascii="方正书宋_GBK" w:eastAsia="方正书宋_GBK" w:cs="Times New Roman"/>
                <w:b/>
                <w:bCs/>
              </w:rPr>
            </w:pPr>
          </w:p>
        </w:tc>
        <w:tc>
          <w:tcPr>
            <w:tcW w:w="1087" w:type="dxa"/>
            <w:vAlign w:val="center"/>
          </w:tcPr>
          <w:p>
            <w:pPr>
              <w:spacing w:line="300" w:lineRule="exact"/>
              <w:jc w:val="left"/>
              <w:rPr>
                <w:rFonts w:ascii="方正书宋_GBK" w:eastAsia="方正书宋_GBK" w:cs="Times New Roman"/>
                <w:b/>
                <w:bCs/>
              </w:rPr>
            </w:pPr>
          </w:p>
        </w:tc>
        <w:tc>
          <w:tcPr>
            <w:tcW w:w="630" w:type="dxa"/>
            <w:vAlign w:val="center"/>
          </w:tcPr>
          <w:p>
            <w:pPr>
              <w:spacing w:line="300" w:lineRule="exact"/>
              <w:jc w:val="left"/>
              <w:rPr>
                <w:rFonts w:ascii="方正书宋_GBK" w:eastAsia="方正书宋_GBK" w:cs="Times New Roman"/>
                <w:b/>
                <w:bCs/>
              </w:rPr>
            </w:pPr>
          </w:p>
        </w:tc>
        <w:tc>
          <w:tcPr>
            <w:tcW w:w="735" w:type="dxa"/>
            <w:vAlign w:val="center"/>
          </w:tcPr>
          <w:p>
            <w:pPr>
              <w:spacing w:line="300" w:lineRule="exact"/>
              <w:jc w:val="right"/>
              <w:rPr>
                <w:rFonts w:ascii="方正书宋_GBK" w:eastAsia="方正书宋_GBK" w:cs="Times New Roman"/>
                <w:b/>
                <w:bCs/>
              </w:rPr>
            </w:pPr>
          </w:p>
        </w:tc>
        <w:tc>
          <w:tcPr>
            <w:tcW w:w="735" w:type="dxa"/>
            <w:vAlign w:val="center"/>
          </w:tcPr>
          <w:p>
            <w:pPr>
              <w:spacing w:line="300" w:lineRule="exact"/>
              <w:jc w:val="right"/>
              <w:rPr>
                <w:rFonts w:ascii="方正书宋_GBK" w:eastAsia="方正书宋_GBK" w:cs="Times New Roman"/>
                <w:b/>
                <w:bCs/>
              </w:rPr>
            </w:pPr>
          </w:p>
        </w:tc>
        <w:tc>
          <w:tcPr>
            <w:tcW w:w="63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213.3</w:t>
            </w:r>
          </w:p>
        </w:tc>
        <w:tc>
          <w:tcPr>
            <w:tcW w:w="63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213.3</w:t>
            </w:r>
          </w:p>
        </w:tc>
        <w:tc>
          <w:tcPr>
            <w:tcW w:w="709" w:type="dxa"/>
            <w:vAlign w:val="center"/>
          </w:tcPr>
          <w:p>
            <w:pPr>
              <w:spacing w:line="300" w:lineRule="exact"/>
              <w:ind w:right="105"/>
              <w:jc w:val="right"/>
              <w:rPr>
                <w:rFonts w:ascii="方正书宋_GBK" w:eastAsia="方正书宋_GBK" w:cs="Times New Roman"/>
                <w:b/>
                <w:bCs/>
              </w:rPr>
            </w:pPr>
            <w:r>
              <w:rPr>
                <w:rFonts w:ascii="方正书宋_GBK" w:eastAsia="方正书宋_GBK" w:cs="方正书宋_GBK"/>
                <w:b/>
                <w:bCs/>
              </w:rPr>
              <w:t>213.3</w:t>
            </w:r>
          </w:p>
        </w:tc>
        <w:tc>
          <w:tcPr>
            <w:tcW w:w="315" w:type="dxa"/>
            <w:vAlign w:val="center"/>
          </w:tcPr>
          <w:p>
            <w:pPr>
              <w:spacing w:line="300" w:lineRule="exact"/>
              <w:jc w:val="right"/>
              <w:rPr>
                <w:rFonts w:ascii="方正书宋_GBK" w:eastAsia="方正书宋_GBK" w:cs="Times New Roman"/>
                <w:b/>
                <w:bCs/>
              </w:rPr>
            </w:pPr>
          </w:p>
        </w:tc>
        <w:tc>
          <w:tcPr>
            <w:tcW w:w="315" w:type="dxa"/>
            <w:vAlign w:val="center"/>
          </w:tcPr>
          <w:p>
            <w:pPr>
              <w:spacing w:line="300" w:lineRule="exact"/>
              <w:jc w:val="right"/>
              <w:rPr>
                <w:rFonts w:ascii="方正书宋_GBK" w:eastAsia="方正书宋_GBK" w:cs="Times New Roman"/>
                <w:b/>
                <w:bCs/>
              </w:rPr>
            </w:pPr>
          </w:p>
        </w:tc>
        <w:tc>
          <w:tcPr>
            <w:tcW w:w="333" w:type="dxa"/>
            <w:vAlign w:val="center"/>
          </w:tcPr>
          <w:p>
            <w:pPr>
              <w:spacing w:line="300" w:lineRule="exact"/>
              <w:jc w:val="right"/>
              <w:rPr>
                <w:rFonts w:ascii="方正书宋_GBK" w:eastAsia="方正书宋_GBK" w:cs="Times New Roman"/>
                <w:b/>
                <w:bCs/>
              </w:rPr>
            </w:pPr>
          </w:p>
        </w:tc>
        <w:tc>
          <w:tcPr>
            <w:tcW w:w="236"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333" w:type="dxa"/>
            <w:vAlign w:val="center"/>
          </w:tcPr>
          <w:p>
            <w:pPr>
              <w:spacing w:line="300" w:lineRule="exact"/>
              <w:rPr>
                <w:rFonts w:ascii="方正书宋_GBK" w:eastAsia="方正书宋_GBK" w:cs="Times New Roman"/>
                <w:b/>
                <w:bCs/>
              </w:rPr>
            </w:pPr>
            <w:r>
              <w:rPr>
                <w:rFonts w:hint="eastAsia" w:ascii="方正书宋_GBK" w:eastAsia="方正书宋_GBK" w:cs="方正书宋_GBK"/>
                <w:b/>
                <w:bCs/>
              </w:rPr>
              <w:t>馆陶县退役军人事务局本级小计</w:t>
            </w:r>
          </w:p>
        </w:tc>
        <w:tc>
          <w:tcPr>
            <w:tcW w:w="630" w:type="dxa"/>
            <w:vAlign w:val="center"/>
          </w:tcPr>
          <w:p>
            <w:pPr>
              <w:spacing w:line="300" w:lineRule="exact"/>
              <w:jc w:val="right"/>
              <w:rPr>
                <w:rFonts w:ascii="方正书宋_GBK" w:eastAsia="方正书宋_GBK" w:cs="Times New Roman"/>
                <w:b/>
                <w:bCs/>
              </w:rPr>
            </w:pPr>
          </w:p>
        </w:tc>
        <w:tc>
          <w:tcPr>
            <w:tcW w:w="593" w:type="dxa"/>
            <w:vAlign w:val="center"/>
          </w:tcPr>
          <w:p>
            <w:pPr>
              <w:spacing w:line="300" w:lineRule="exact"/>
              <w:jc w:val="left"/>
              <w:rPr>
                <w:rFonts w:ascii="方正书宋_GBK" w:eastAsia="方正书宋_GBK" w:cs="Times New Roman"/>
                <w:b/>
                <w:bCs/>
              </w:rPr>
            </w:pPr>
          </w:p>
        </w:tc>
        <w:tc>
          <w:tcPr>
            <w:tcW w:w="1087" w:type="dxa"/>
            <w:vAlign w:val="center"/>
          </w:tcPr>
          <w:p>
            <w:pPr>
              <w:spacing w:line="300" w:lineRule="exact"/>
              <w:jc w:val="left"/>
              <w:rPr>
                <w:rFonts w:ascii="方正书宋_GBK" w:eastAsia="方正书宋_GBK" w:cs="Times New Roman"/>
                <w:b/>
                <w:bCs/>
              </w:rPr>
            </w:pPr>
          </w:p>
        </w:tc>
        <w:tc>
          <w:tcPr>
            <w:tcW w:w="630" w:type="dxa"/>
            <w:vAlign w:val="center"/>
          </w:tcPr>
          <w:p>
            <w:pPr>
              <w:spacing w:line="300" w:lineRule="exact"/>
              <w:jc w:val="left"/>
              <w:rPr>
                <w:rFonts w:ascii="方正书宋_GBK" w:eastAsia="方正书宋_GBK" w:cs="Times New Roman"/>
                <w:b/>
                <w:bCs/>
              </w:rPr>
            </w:pPr>
          </w:p>
        </w:tc>
        <w:tc>
          <w:tcPr>
            <w:tcW w:w="735" w:type="dxa"/>
            <w:vAlign w:val="center"/>
          </w:tcPr>
          <w:p>
            <w:pPr>
              <w:spacing w:line="300" w:lineRule="exact"/>
              <w:jc w:val="right"/>
              <w:rPr>
                <w:rFonts w:ascii="方正书宋_GBK" w:eastAsia="方正书宋_GBK" w:cs="Times New Roman"/>
                <w:b/>
                <w:bCs/>
              </w:rPr>
            </w:pPr>
          </w:p>
        </w:tc>
        <w:tc>
          <w:tcPr>
            <w:tcW w:w="735" w:type="dxa"/>
            <w:vAlign w:val="center"/>
          </w:tcPr>
          <w:p>
            <w:pPr>
              <w:spacing w:line="300" w:lineRule="exact"/>
              <w:jc w:val="right"/>
              <w:rPr>
                <w:rFonts w:ascii="方正书宋_GBK" w:eastAsia="方正书宋_GBK" w:cs="Times New Roman"/>
                <w:b/>
                <w:bCs/>
              </w:rPr>
            </w:pPr>
          </w:p>
        </w:tc>
        <w:tc>
          <w:tcPr>
            <w:tcW w:w="63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213.3</w:t>
            </w:r>
          </w:p>
        </w:tc>
        <w:tc>
          <w:tcPr>
            <w:tcW w:w="630"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213.3</w:t>
            </w:r>
          </w:p>
        </w:tc>
        <w:tc>
          <w:tcPr>
            <w:tcW w:w="709" w:type="dxa"/>
            <w:vAlign w:val="center"/>
          </w:tcPr>
          <w:p>
            <w:pPr>
              <w:spacing w:line="300" w:lineRule="exact"/>
              <w:ind w:right="105"/>
              <w:jc w:val="right"/>
              <w:rPr>
                <w:rFonts w:ascii="方正书宋_GBK" w:eastAsia="方正书宋_GBK" w:cs="Times New Roman"/>
                <w:b/>
                <w:bCs/>
              </w:rPr>
            </w:pPr>
            <w:r>
              <w:rPr>
                <w:rFonts w:ascii="方正书宋_GBK" w:eastAsia="方正书宋_GBK" w:cs="方正书宋_GBK"/>
                <w:b/>
                <w:bCs/>
              </w:rPr>
              <w:t>213.3</w:t>
            </w:r>
          </w:p>
        </w:tc>
        <w:tc>
          <w:tcPr>
            <w:tcW w:w="315" w:type="dxa"/>
            <w:vAlign w:val="center"/>
          </w:tcPr>
          <w:p>
            <w:pPr>
              <w:spacing w:line="300" w:lineRule="exact"/>
              <w:jc w:val="right"/>
              <w:rPr>
                <w:rFonts w:ascii="方正书宋_GBK" w:eastAsia="方正书宋_GBK" w:cs="Times New Roman"/>
                <w:b/>
                <w:bCs/>
              </w:rPr>
            </w:pPr>
          </w:p>
        </w:tc>
        <w:tc>
          <w:tcPr>
            <w:tcW w:w="315" w:type="dxa"/>
            <w:vAlign w:val="center"/>
          </w:tcPr>
          <w:p>
            <w:pPr>
              <w:spacing w:line="300" w:lineRule="exact"/>
              <w:jc w:val="right"/>
              <w:rPr>
                <w:rFonts w:ascii="方正书宋_GBK" w:eastAsia="方正书宋_GBK" w:cs="Times New Roman"/>
                <w:b/>
                <w:bCs/>
              </w:rPr>
            </w:pPr>
          </w:p>
        </w:tc>
        <w:tc>
          <w:tcPr>
            <w:tcW w:w="333" w:type="dxa"/>
            <w:vAlign w:val="center"/>
          </w:tcPr>
          <w:p>
            <w:pPr>
              <w:spacing w:line="300" w:lineRule="exact"/>
              <w:jc w:val="right"/>
              <w:rPr>
                <w:rFonts w:ascii="方正书宋_GBK" w:eastAsia="方正书宋_GBK" w:cs="Times New Roman"/>
                <w:b/>
                <w:bCs/>
              </w:rPr>
            </w:pPr>
          </w:p>
        </w:tc>
        <w:tc>
          <w:tcPr>
            <w:tcW w:w="236"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5" w:hRule="atLeast"/>
          <w:jc w:val="center"/>
        </w:trPr>
        <w:tc>
          <w:tcPr>
            <w:tcW w:w="133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[2020]177</w:t>
            </w:r>
            <w:r>
              <w:rPr>
                <w:rFonts w:hint="eastAsia" w:ascii="方正书宋_GBK" w:eastAsia="方正书宋_GBK" w:cs="方正书宋_GBK"/>
              </w:rPr>
              <w:t>号</w:t>
            </w:r>
            <w:r>
              <w:rPr>
                <w:rFonts w:ascii="方正书宋_GBK" w:eastAsia="方正书宋_GBK" w:cs="方正书宋_GBK"/>
              </w:rPr>
              <w:t xml:space="preserve"> </w:t>
            </w:r>
            <w:r>
              <w:rPr>
                <w:rFonts w:hint="eastAsia" w:ascii="方正书宋_GBK" w:eastAsia="方正书宋_GBK" w:cs="方正书宋_GBK"/>
              </w:rPr>
              <w:t>河北省财政厅关于提前下达</w:t>
            </w:r>
            <w:r>
              <w:rPr>
                <w:rFonts w:ascii="方正书宋_GBK" w:eastAsia="方正书宋_GBK" w:cs="方正书宋_GBK"/>
              </w:rPr>
              <w:t>2021</w:t>
            </w:r>
            <w:r>
              <w:rPr>
                <w:rFonts w:hint="eastAsia" w:ascii="方正书宋_GBK" w:eastAsia="方正书宋_GBK" w:cs="方正书宋_GBK"/>
              </w:rPr>
              <w:t>年中央财政优抚事业单位补助资金预算的通知（馆陶县英烈馆维修改造资金）</w:t>
            </w:r>
          </w:p>
        </w:tc>
        <w:tc>
          <w:tcPr>
            <w:tcW w:w="630" w:type="dxa"/>
            <w:vAlign w:val="center"/>
          </w:tcPr>
          <w:p>
            <w:pPr>
              <w:spacing w:line="300" w:lineRule="exact"/>
              <w:jc w:val="right"/>
              <w:rPr>
                <w:rFonts w:ascii="方正书宋_GBK" w:eastAsia="方正书宋_GBK" w:cs="方正书宋_GBK"/>
              </w:rPr>
            </w:pPr>
            <w:r>
              <w:rPr>
                <w:rFonts w:ascii="方正书宋_GBK" w:eastAsia="方正书宋_GBK" w:cs="方正书宋_GBK"/>
              </w:rPr>
              <w:t>210</w:t>
            </w:r>
          </w:p>
        </w:tc>
        <w:tc>
          <w:tcPr>
            <w:tcW w:w="5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装修工程</w:t>
            </w:r>
          </w:p>
        </w:tc>
        <w:tc>
          <w:tcPr>
            <w:tcW w:w="1087" w:type="dxa"/>
            <w:vAlign w:val="center"/>
          </w:tcPr>
          <w:p>
            <w:pPr>
              <w:spacing w:line="300" w:lineRule="exact"/>
              <w:jc w:val="left"/>
              <w:rPr>
                <w:rFonts w:ascii="方正书宋_GBK" w:eastAsia="方正书宋_GBK" w:cs="Times New Roman"/>
              </w:rPr>
            </w:pPr>
            <w:r>
              <w:rPr>
                <w:rFonts w:ascii="方正书宋_GBK" w:eastAsia="方正书宋_GBK" w:cs="方正书宋_GBK"/>
              </w:rPr>
              <w:t>B07</w:t>
            </w:r>
          </w:p>
        </w:tc>
        <w:tc>
          <w:tcPr>
            <w:tcW w:w="63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平方米</w:t>
            </w:r>
          </w:p>
        </w:tc>
        <w:tc>
          <w:tcPr>
            <w:tcW w:w="735"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735" w:type="dxa"/>
            <w:vAlign w:val="center"/>
          </w:tcPr>
          <w:p>
            <w:pPr>
              <w:spacing w:line="300" w:lineRule="exact"/>
              <w:ind w:right="105"/>
              <w:jc w:val="right"/>
              <w:rPr>
                <w:rFonts w:ascii="方正书宋_GBK" w:eastAsia="方正书宋_GBK" w:cs="Times New Roman"/>
              </w:rPr>
            </w:pPr>
            <w:r>
              <w:rPr>
                <w:rFonts w:ascii="方正书宋_GBK" w:eastAsia="方正书宋_GBK" w:cs="方正书宋_GBK"/>
              </w:rPr>
              <w:t>0.21</w:t>
            </w:r>
          </w:p>
        </w:tc>
        <w:tc>
          <w:tcPr>
            <w:tcW w:w="630" w:type="dxa"/>
            <w:vAlign w:val="center"/>
          </w:tcPr>
          <w:p>
            <w:pPr>
              <w:spacing w:line="300" w:lineRule="exact"/>
              <w:jc w:val="right"/>
              <w:rPr>
                <w:rFonts w:ascii="方正书宋_GBK" w:eastAsia="方正书宋_GBK" w:cs="方正书宋_GBK"/>
              </w:rPr>
            </w:pPr>
            <w:r>
              <w:rPr>
                <w:rFonts w:ascii="方正书宋_GBK" w:eastAsia="方正书宋_GBK" w:cs="方正书宋_GBK"/>
              </w:rPr>
              <w:t>210</w:t>
            </w:r>
          </w:p>
        </w:tc>
        <w:tc>
          <w:tcPr>
            <w:tcW w:w="630" w:type="dxa"/>
            <w:vAlign w:val="center"/>
          </w:tcPr>
          <w:p>
            <w:pPr>
              <w:spacing w:line="300" w:lineRule="exact"/>
              <w:jc w:val="center"/>
              <w:rPr>
                <w:rFonts w:ascii="方正书宋_GBK" w:eastAsia="方正书宋_GBK" w:cs="方正书宋_GBK"/>
              </w:rPr>
            </w:pPr>
            <w:r>
              <w:rPr>
                <w:rFonts w:ascii="方正书宋_GBK" w:eastAsia="方正书宋_GBK" w:cs="方正书宋_GBK"/>
              </w:rPr>
              <w:t>210</w:t>
            </w:r>
          </w:p>
        </w:tc>
        <w:tc>
          <w:tcPr>
            <w:tcW w:w="709" w:type="dxa"/>
            <w:vAlign w:val="center"/>
          </w:tcPr>
          <w:p>
            <w:pPr>
              <w:spacing w:line="300" w:lineRule="exact"/>
              <w:jc w:val="center"/>
              <w:rPr>
                <w:rFonts w:ascii="方正书宋_GBK" w:eastAsia="方正书宋_GBK" w:cs="Times New Roman"/>
              </w:rPr>
            </w:pPr>
            <w:r>
              <w:rPr>
                <w:rFonts w:ascii="方正书宋_GBK" w:eastAsia="方正书宋_GBK" w:cs="方正书宋_GBK"/>
              </w:rPr>
              <w:t>210</w:t>
            </w:r>
          </w:p>
        </w:tc>
        <w:tc>
          <w:tcPr>
            <w:tcW w:w="315" w:type="dxa"/>
            <w:vAlign w:val="center"/>
          </w:tcPr>
          <w:p>
            <w:pPr>
              <w:spacing w:line="300" w:lineRule="exact"/>
              <w:jc w:val="right"/>
              <w:rPr>
                <w:rFonts w:ascii="方正书宋_GBK" w:eastAsia="方正书宋_GBK" w:cs="Times New Roman"/>
              </w:rPr>
            </w:pPr>
          </w:p>
        </w:tc>
        <w:tc>
          <w:tcPr>
            <w:tcW w:w="315" w:type="dxa"/>
            <w:vAlign w:val="center"/>
          </w:tcPr>
          <w:p>
            <w:pPr>
              <w:spacing w:line="300" w:lineRule="exact"/>
              <w:jc w:val="right"/>
              <w:rPr>
                <w:rFonts w:ascii="方正书宋_GBK" w:eastAsia="方正书宋_GBK" w:cs="Times New Roman"/>
              </w:rPr>
            </w:pPr>
          </w:p>
        </w:tc>
        <w:tc>
          <w:tcPr>
            <w:tcW w:w="333" w:type="dxa"/>
            <w:vAlign w:val="center"/>
          </w:tcPr>
          <w:p>
            <w:pPr>
              <w:spacing w:line="300" w:lineRule="exact"/>
              <w:jc w:val="right"/>
              <w:rPr>
                <w:rFonts w:ascii="方正书宋_GBK" w:eastAsia="方正书宋_GBK" w:cs="Times New Roman"/>
              </w:rPr>
            </w:pPr>
          </w:p>
        </w:tc>
        <w:tc>
          <w:tcPr>
            <w:tcW w:w="23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33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16.24</w:t>
            </w:r>
          </w:p>
        </w:tc>
        <w:tc>
          <w:tcPr>
            <w:tcW w:w="5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台式计算机</w:t>
            </w:r>
          </w:p>
        </w:tc>
        <w:tc>
          <w:tcPr>
            <w:tcW w:w="1087" w:type="dxa"/>
            <w:vAlign w:val="center"/>
          </w:tcPr>
          <w:p>
            <w:pPr>
              <w:spacing w:line="300" w:lineRule="exact"/>
              <w:jc w:val="left"/>
              <w:rPr>
                <w:rFonts w:ascii="方正书宋_GBK" w:eastAsia="方正书宋_GBK" w:cs="方正书宋_GBK"/>
              </w:rPr>
            </w:pPr>
            <w:r>
              <w:rPr>
                <w:rFonts w:ascii="方正书宋_GBK" w:eastAsia="方正书宋_GBK" w:cs="方正书宋_GBK"/>
              </w:rPr>
              <w:t>A02010104</w:t>
            </w:r>
          </w:p>
        </w:tc>
        <w:tc>
          <w:tcPr>
            <w:tcW w:w="63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台</w:t>
            </w:r>
          </w:p>
        </w:tc>
        <w:tc>
          <w:tcPr>
            <w:tcW w:w="735" w:type="dxa"/>
            <w:vAlign w:val="center"/>
          </w:tcPr>
          <w:p>
            <w:pPr>
              <w:spacing w:line="300" w:lineRule="exact"/>
              <w:jc w:val="right"/>
              <w:rPr>
                <w:rFonts w:ascii="方正书宋_GBK" w:eastAsia="方正书宋_GBK" w:cs="Times New Roman"/>
              </w:rPr>
            </w:pPr>
            <w:r>
              <w:rPr>
                <w:rFonts w:ascii="方正书宋_GBK" w:eastAsia="方正书宋_GBK" w:cs="方正书宋_GBK"/>
              </w:rPr>
              <w:t>2</w:t>
            </w:r>
          </w:p>
        </w:tc>
        <w:tc>
          <w:tcPr>
            <w:tcW w:w="735" w:type="dxa"/>
            <w:vAlign w:val="center"/>
          </w:tcPr>
          <w:p>
            <w:pPr>
              <w:spacing w:line="300" w:lineRule="exact"/>
              <w:jc w:val="right"/>
              <w:rPr>
                <w:rFonts w:ascii="方正书宋_GBK" w:eastAsia="方正书宋_GBK" w:cs="方正书宋_GBK"/>
              </w:rPr>
            </w:pPr>
            <w:r>
              <w:rPr>
                <w:rFonts w:ascii="方正书宋_GBK" w:eastAsia="方正书宋_GBK" w:cs="方正书宋_GBK"/>
              </w:rPr>
              <w:t>0.5</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1</w:t>
            </w:r>
          </w:p>
        </w:tc>
        <w:tc>
          <w:tcPr>
            <w:tcW w:w="630" w:type="dxa"/>
            <w:vAlign w:val="center"/>
          </w:tcPr>
          <w:p>
            <w:pPr>
              <w:spacing w:line="300" w:lineRule="exact"/>
              <w:jc w:val="center"/>
              <w:rPr>
                <w:rFonts w:ascii="方正书宋_GBK" w:eastAsia="方正书宋_GBK" w:cs="Times New Roman"/>
              </w:rPr>
            </w:pPr>
            <w:r>
              <w:rPr>
                <w:rFonts w:ascii="方正书宋_GBK" w:eastAsia="方正书宋_GBK" w:cs="方正书宋_GBK"/>
              </w:rPr>
              <w:t>1</w:t>
            </w:r>
          </w:p>
        </w:tc>
        <w:tc>
          <w:tcPr>
            <w:tcW w:w="709" w:type="dxa"/>
            <w:vAlign w:val="center"/>
          </w:tcPr>
          <w:p>
            <w:pPr>
              <w:spacing w:line="300" w:lineRule="exact"/>
              <w:jc w:val="center"/>
              <w:rPr>
                <w:rFonts w:ascii="方正书宋_GBK" w:eastAsia="方正书宋_GBK" w:cs="Times New Roman"/>
              </w:rPr>
            </w:pPr>
            <w:r>
              <w:rPr>
                <w:rFonts w:ascii="方正书宋_GBK" w:eastAsia="方正书宋_GBK" w:cs="方正书宋_GBK"/>
              </w:rPr>
              <w:t>1</w:t>
            </w:r>
          </w:p>
        </w:tc>
        <w:tc>
          <w:tcPr>
            <w:tcW w:w="315" w:type="dxa"/>
            <w:vAlign w:val="center"/>
          </w:tcPr>
          <w:p>
            <w:pPr>
              <w:spacing w:line="300" w:lineRule="exact"/>
              <w:jc w:val="right"/>
              <w:rPr>
                <w:rFonts w:ascii="方正书宋_GBK" w:eastAsia="方正书宋_GBK" w:cs="Times New Roman"/>
              </w:rPr>
            </w:pPr>
          </w:p>
        </w:tc>
        <w:tc>
          <w:tcPr>
            <w:tcW w:w="315" w:type="dxa"/>
            <w:vAlign w:val="center"/>
          </w:tcPr>
          <w:p>
            <w:pPr>
              <w:spacing w:line="300" w:lineRule="exact"/>
              <w:jc w:val="right"/>
              <w:rPr>
                <w:rFonts w:ascii="方正书宋_GBK" w:eastAsia="方正书宋_GBK" w:cs="Times New Roman"/>
              </w:rPr>
            </w:pPr>
          </w:p>
        </w:tc>
        <w:tc>
          <w:tcPr>
            <w:tcW w:w="333" w:type="dxa"/>
            <w:vAlign w:val="center"/>
          </w:tcPr>
          <w:p>
            <w:pPr>
              <w:spacing w:line="300" w:lineRule="exact"/>
              <w:jc w:val="right"/>
              <w:rPr>
                <w:rFonts w:ascii="方正书宋_GBK" w:eastAsia="方正书宋_GBK" w:cs="Times New Roman"/>
              </w:rPr>
            </w:pPr>
          </w:p>
        </w:tc>
        <w:tc>
          <w:tcPr>
            <w:tcW w:w="23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33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16.24</w:t>
            </w:r>
          </w:p>
        </w:tc>
        <w:tc>
          <w:tcPr>
            <w:tcW w:w="5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打印机</w:t>
            </w:r>
          </w:p>
        </w:tc>
        <w:tc>
          <w:tcPr>
            <w:tcW w:w="1087" w:type="dxa"/>
            <w:vAlign w:val="center"/>
          </w:tcPr>
          <w:p>
            <w:pPr>
              <w:spacing w:line="300" w:lineRule="exact"/>
              <w:jc w:val="left"/>
              <w:rPr>
                <w:rFonts w:ascii="方正书宋_GBK" w:eastAsia="方正书宋_GBK" w:cs="方正书宋_GBK"/>
              </w:rPr>
            </w:pPr>
            <w:r>
              <w:rPr>
                <w:rFonts w:ascii="方正书宋_GBK" w:eastAsia="方正书宋_GBK" w:cs="方正书宋_GBK"/>
              </w:rPr>
              <w:t>A0201060101</w:t>
            </w:r>
          </w:p>
        </w:tc>
        <w:tc>
          <w:tcPr>
            <w:tcW w:w="63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台</w:t>
            </w:r>
          </w:p>
        </w:tc>
        <w:tc>
          <w:tcPr>
            <w:tcW w:w="735" w:type="dxa"/>
            <w:vAlign w:val="center"/>
          </w:tcPr>
          <w:p>
            <w:pPr>
              <w:spacing w:line="300" w:lineRule="exact"/>
              <w:jc w:val="right"/>
              <w:rPr>
                <w:rFonts w:ascii="方正书宋_GBK" w:eastAsia="方正书宋_GBK" w:cs="Times New Roman"/>
              </w:rPr>
            </w:pPr>
            <w:r>
              <w:rPr>
                <w:rFonts w:ascii="方正书宋_GBK" w:eastAsia="方正书宋_GBK" w:cs="方正书宋_GBK"/>
              </w:rPr>
              <w:t>2</w:t>
            </w:r>
          </w:p>
        </w:tc>
        <w:tc>
          <w:tcPr>
            <w:tcW w:w="735" w:type="dxa"/>
            <w:vAlign w:val="center"/>
          </w:tcPr>
          <w:p>
            <w:pPr>
              <w:spacing w:line="300" w:lineRule="exact"/>
              <w:jc w:val="right"/>
              <w:rPr>
                <w:rFonts w:ascii="方正书宋_GBK" w:eastAsia="方正书宋_GBK" w:cs="方正书宋_GBK"/>
              </w:rPr>
            </w:pPr>
            <w:r>
              <w:rPr>
                <w:rFonts w:ascii="方正书宋_GBK" w:eastAsia="方正书宋_GBK" w:cs="方正书宋_GBK"/>
              </w:rPr>
              <w:t>0.2</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0.4</w:t>
            </w:r>
          </w:p>
        </w:tc>
        <w:tc>
          <w:tcPr>
            <w:tcW w:w="630" w:type="dxa"/>
            <w:vAlign w:val="center"/>
          </w:tcPr>
          <w:p>
            <w:pPr>
              <w:spacing w:line="300" w:lineRule="exact"/>
              <w:jc w:val="center"/>
              <w:rPr>
                <w:rFonts w:ascii="方正书宋_GBK" w:eastAsia="方正书宋_GBK" w:cs="Times New Roman"/>
              </w:rPr>
            </w:pPr>
            <w:r>
              <w:rPr>
                <w:rFonts w:ascii="方正书宋_GBK" w:eastAsia="方正书宋_GBK" w:cs="方正书宋_GBK"/>
              </w:rPr>
              <w:t>0.4</w:t>
            </w:r>
          </w:p>
        </w:tc>
        <w:tc>
          <w:tcPr>
            <w:tcW w:w="709" w:type="dxa"/>
            <w:vAlign w:val="center"/>
          </w:tcPr>
          <w:p>
            <w:pPr>
              <w:spacing w:line="300" w:lineRule="exact"/>
              <w:jc w:val="center"/>
              <w:rPr>
                <w:rFonts w:ascii="方正书宋_GBK" w:eastAsia="方正书宋_GBK" w:cs="Times New Roman"/>
              </w:rPr>
            </w:pPr>
            <w:r>
              <w:rPr>
                <w:rFonts w:ascii="方正书宋_GBK" w:eastAsia="方正书宋_GBK" w:cs="方正书宋_GBK"/>
              </w:rPr>
              <w:t>0.4</w:t>
            </w:r>
          </w:p>
        </w:tc>
        <w:tc>
          <w:tcPr>
            <w:tcW w:w="315" w:type="dxa"/>
            <w:vAlign w:val="center"/>
          </w:tcPr>
          <w:p>
            <w:pPr>
              <w:spacing w:line="300" w:lineRule="exact"/>
              <w:jc w:val="right"/>
              <w:rPr>
                <w:rFonts w:ascii="方正书宋_GBK" w:eastAsia="方正书宋_GBK" w:cs="Times New Roman"/>
              </w:rPr>
            </w:pPr>
          </w:p>
        </w:tc>
        <w:tc>
          <w:tcPr>
            <w:tcW w:w="315" w:type="dxa"/>
            <w:vAlign w:val="center"/>
          </w:tcPr>
          <w:p>
            <w:pPr>
              <w:spacing w:line="300" w:lineRule="exact"/>
              <w:jc w:val="right"/>
              <w:rPr>
                <w:rFonts w:ascii="方正书宋_GBK" w:eastAsia="方正书宋_GBK" w:cs="Times New Roman"/>
              </w:rPr>
            </w:pPr>
          </w:p>
        </w:tc>
        <w:tc>
          <w:tcPr>
            <w:tcW w:w="333" w:type="dxa"/>
            <w:vAlign w:val="center"/>
          </w:tcPr>
          <w:p>
            <w:pPr>
              <w:spacing w:line="300" w:lineRule="exact"/>
              <w:jc w:val="right"/>
              <w:rPr>
                <w:rFonts w:ascii="方正书宋_GBK" w:eastAsia="方正书宋_GBK" w:cs="Times New Roman"/>
              </w:rPr>
            </w:pPr>
          </w:p>
        </w:tc>
        <w:tc>
          <w:tcPr>
            <w:tcW w:w="23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33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16.24</w:t>
            </w:r>
          </w:p>
        </w:tc>
        <w:tc>
          <w:tcPr>
            <w:tcW w:w="5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复印纸</w:t>
            </w:r>
          </w:p>
        </w:tc>
        <w:tc>
          <w:tcPr>
            <w:tcW w:w="1087" w:type="dxa"/>
            <w:vAlign w:val="center"/>
          </w:tcPr>
          <w:p>
            <w:pPr>
              <w:spacing w:line="300" w:lineRule="exact"/>
              <w:jc w:val="left"/>
              <w:rPr>
                <w:rFonts w:ascii="方正书宋_GBK" w:eastAsia="方正书宋_GBK" w:cs="方正书宋_GBK"/>
              </w:rPr>
            </w:pPr>
            <w:r>
              <w:rPr>
                <w:rFonts w:ascii="方正书宋_GBK" w:eastAsia="方正书宋_GBK" w:cs="方正书宋_GBK"/>
              </w:rPr>
              <w:t>A090101</w:t>
            </w:r>
          </w:p>
        </w:tc>
        <w:tc>
          <w:tcPr>
            <w:tcW w:w="63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箱</w:t>
            </w:r>
          </w:p>
        </w:tc>
        <w:tc>
          <w:tcPr>
            <w:tcW w:w="735" w:type="dxa"/>
            <w:vAlign w:val="center"/>
          </w:tcPr>
          <w:p>
            <w:pPr>
              <w:spacing w:line="300" w:lineRule="exact"/>
              <w:jc w:val="right"/>
              <w:rPr>
                <w:rFonts w:ascii="方正书宋_GBK" w:eastAsia="方正书宋_GBK" w:cs="Times New Roman"/>
              </w:rPr>
            </w:pPr>
            <w:r>
              <w:rPr>
                <w:rFonts w:ascii="方正书宋_GBK" w:eastAsia="方正书宋_GBK" w:cs="方正书宋_GBK"/>
              </w:rPr>
              <w:t>30</w:t>
            </w:r>
          </w:p>
        </w:tc>
        <w:tc>
          <w:tcPr>
            <w:tcW w:w="735" w:type="dxa"/>
            <w:vAlign w:val="center"/>
          </w:tcPr>
          <w:p>
            <w:pPr>
              <w:spacing w:line="300" w:lineRule="exact"/>
              <w:jc w:val="right"/>
              <w:rPr>
                <w:rFonts w:ascii="方正书宋_GBK" w:eastAsia="方正书宋_GBK" w:cs="Times New Roman"/>
              </w:rPr>
            </w:pPr>
            <w:r>
              <w:rPr>
                <w:rFonts w:ascii="方正书宋_GBK" w:eastAsia="方正书宋_GBK" w:cs="方正书宋_GBK"/>
              </w:rPr>
              <w:t>0.018</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0.54</w:t>
            </w:r>
          </w:p>
        </w:tc>
        <w:tc>
          <w:tcPr>
            <w:tcW w:w="630" w:type="dxa"/>
            <w:vAlign w:val="center"/>
          </w:tcPr>
          <w:p>
            <w:pPr>
              <w:spacing w:line="300" w:lineRule="exact"/>
              <w:jc w:val="center"/>
              <w:rPr>
                <w:rFonts w:ascii="方正书宋_GBK" w:eastAsia="方正书宋_GBK" w:cs="Times New Roman"/>
              </w:rPr>
            </w:pPr>
            <w:r>
              <w:rPr>
                <w:rFonts w:ascii="方正书宋_GBK" w:eastAsia="方正书宋_GBK" w:cs="方正书宋_GBK"/>
              </w:rPr>
              <w:t>0.54</w:t>
            </w:r>
          </w:p>
        </w:tc>
        <w:tc>
          <w:tcPr>
            <w:tcW w:w="709" w:type="dxa"/>
            <w:vAlign w:val="center"/>
          </w:tcPr>
          <w:p>
            <w:pPr>
              <w:spacing w:line="300" w:lineRule="exact"/>
              <w:ind w:right="105"/>
              <w:jc w:val="center"/>
              <w:rPr>
                <w:rFonts w:ascii="方正书宋_GBK" w:eastAsia="方正书宋_GBK" w:cs="方正书宋_GBK"/>
              </w:rPr>
            </w:pPr>
            <w:r>
              <w:rPr>
                <w:rFonts w:ascii="方正书宋_GBK" w:eastAsia="方正书宋_GBK" w:cs="方正书宋_GBK"/>
              </w:rPr>
              <w:t>0.54</w:t>
            </w:r>
          </w:p>
        </w:tc>
        <w:tc>
          <w:tcPr>
            <w:tcW w:w="315" w:type="dxa"/>
            <w:vAlign w:val="center"/>
          </w:tcPr>
          <w:p>
            <w:pPr>
              <w:spacing w:line="300" w:lineRule="exact"/>
              <w:jc w:val="right"/>
              <w:rPr>
                <w:rFonts w:ascii="方正书宋_GBK" w:eastAsia="方正书宋_GBK" w:cs="Times New Roman"/>
              </w:rPr>
            </w:pPr>
          </w:p>
        </w:tc>
        <w:tc>
          <w:tcPr>
            <w:tcW w:w="315" w:type="dxa"/>
            <w:vAlign w:val="center"/>
          </w:tcPr>
          <w:p>
            <w:pPr>
              <w:spacing w:line="300" w:lineRule="exact"/>
              <w:jc w:val="right"/>
              <w:rPr>
                <w:rFonts w:ascii="方正书宋_GBK" w:eastAsia="方正书宋_GBK" w:cs="Times New Roman"/>
              </w:rPr>
            </w:pPr>
          </w:p>
        </w:tc>
        <w:tc>
          <w:tcPr>
            <w:tcW w:w="333" w:type="dxa"/>
            <w:vAlign w:val="center"/>
          </w:tcPr>
          <w:p>
            <w:pPr>
              <w:spacing w:line="300" w:lineRule="exact"/>
              <w:jc w:val="right"/>
              <w:rPr>
                <w:rFonts w:ascii="方正书宋_GBK" w:eastAsia="方正书宋_GBK" w:cs="Times New Roman"/>
              </w:rPr>
            </w:pPr>
          </w:p>
        </w:tc>
        <w:tc>
          <w:tcPr>
            <w:tcW w:w="23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33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16.24</w:t>
            </w:r>
          </w:p>
        </w:tc>
        <w:tc>
          <w:tcPr>
            <w:tcW w:w="5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硒鼓</w:t>
            </w:r>
          </w:p>
        </w:tc>
        <w:tc>
          <w:tcPr>
            <w:tcW w:w="1087" w:type="dxa"/>
            <w:vAlign w:val="center"/>
          </w:tcPr>
          <w:p>
            <w:pPr>
              <w:spacing w:line="300" w:lineRule="exact"/>
              <w:jc w:val="left"/>
              <w:rPr>
                <w:rFonts w:ascii="方正书宋_GBK" w:eastAsia="方正书宋_GBK" w:cs="方正书宋_GBK"/>
              </w:rPr>
            </w:pPr>
            <w:r>
              <w:rPr>
                <w:rFonts w:ascii="方正书宋_GBK" w:eastAsia="方正书宋_GBK" w:cs="方正书宋_GBK"/>
              </w:rPr>
              <w:t>A090201</w:t>
            </w:r>
          </w:p>
        </w:tc>
        <w:tc>
          <w:tcPr>
            <w:tcW w:w="63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个</w:t>
            </w:r>
          </w:p>
        </w:tc>
        <w:tc>
          <w:tcPr>
            <w:tcW w:w="735" w:type="dxa"/>
            <w:vAlign w:val="center"/>
          </w:tcPr>
          <w:p>
            <w:pPr>
              <w:spacing w:line="300" w:lineRule="exact"/>
              <w:jc w:val="right"/>
              <w:rPr>
                <w:rFonts w:ascii="方正书宋_GBK" w:eastAsia="方正书宋_GBK" w:cs="Times New Roman"/>
              </w:rPr>
            </w:pPr>
            <w:r>
              <w:rPr>
                <w:rFonts w:ascii="方正书宋_GBK" w:eastAsia="方正书宋_GBK" w:cs="方正书宋_GBK"/>
              </w:rPr>
              <w:t>8</w:t>
            </w:r>
          </w:p>
        </w:tc>
        <w:tc>
          <w:tcPr>
            <w:tcW w:w="735" w:type="dxa"/>
            <w:vAlign w:val="center"/>
          </w:tcPr>
          <w:p>
            <w:pPr>
              <w:spacing w:line="300" w:lineRule="exact"/>
              <w:jc w:val="right"/>
              <w:rPr>
                <w:rFonts w:ascii="方正书宋_GBK" w:eastAsia="方正书宋_GBK" w:cs="Times New Roman"/>
              </w:rPr>
            </w:pPr>
            <w:r>
              <w:rPr>
                <w:rFonts w:ascii="方正书宋_GBK" w:eastAsia="方正书宋_GBK" w:cs="方正书宋_GBK"/>
              </w:rPr>
              <w:t>0.02</w:t>
            </w:r>
          </w:p>
        </w:tc>
        <w:tc>
          <w:tcPr>
            <w:tcW w:w="630" w:type="dxa"/>
            <w:vAlign w:val="center"/>
          </w:tcPr>
          <w:p>
            <w:pPr>
              <w:spacing w:line="300" w:lineRule="exact"/>
              <w:jc w:val="right"/>
              <w:rPr>
                <w:rFonts w:ascii="方正书宋_GBK" w:eastAsia="方正书宋_GBK" w:cs="Times New Roman"/>
              </w:rPr>
            </w:pPr>
            <w:r>
              <w:rPr>
                <w:rFonts w:ascii="方正书宋_GBK" w:eastAsia="方正书宋_GBK" w:cs="方正书宋_GBK"/>
              </w:rPr>
              <w:t>0.16</w:t>
            </w:r>
          </w:p>
        </w:tc>
        <w:tc>
          <w:tcPr>
            <w:tcW w:w="630" w:type="dxa"/>
            <w:vAlign w:val="center"/>
          </w:tcPr>
          <w:p>
            <w:pPr>
              <w:spacing w:line="300" w:lineRule="exact"/>
              <w:jc w:val="center"/>
              <w:rPr>
                <w:rFonts w:ascii="方正书宋_GBK" w:eastAsia="方正书宋_GBK" w:cs="Times New Roman"/>
              </w:rPr>
            </w:pPr>
            <w:r>
              <w:rPr>
                <w:rFonts w:ascii="方正书宋_GBK" w:eastAsia="方正书宋_GBK" w:cs="方正书宋_GBK"/>
              </w:rPr>
              <w:t>0.16</w:t>
            </w:r>
          </w:p>
        </w:tc>
        <w:tc>
          <w:tcPr>
            <w:tcW w:w="709" w:type="dxa"/>
            <w:vAlign w:val="center"/>
          </w:tcPr>
          <w:p>
            <w:pPr>
              <w:spacing w:line="300" w:lineRule="exact"/>
              <w:ind w:right="105"/>
              <w:jc w:val="center"/>
              <w:rPr>
                <w:rFonts w:ascii="方正书宋_GBK" w:eastAsia="方正书宋_GBK" w:cs="Times New Roman"/>
              </w:rPr>
            </w:pPr>
            <w:r>
              <w:rPr>
                <w:rFonts w:ascii="方正书宋_GBK" w:eastAsia="方正书宋_GBK" w:cs="方正书宋_GBK"/>
              </w:rPr>
              <w:t>0.16</w:t>
            </w:r>
          </w:p>
        </w:tc>
        <w:tc>
          <w:tcPr>
            <w:tcW w:w="315" w:type="dxa"/>
            <w:vAlign w:val="center"/>
          </w:tcPr>
          <w:p>
            <w:pPr>
              <w:spacing w:line="300" w:lineRule="exact"/>
              <w:jc w:val="right"/>
              <w:rPr>
                <w:rFonts w:ascii="方正书宋_GBK" w:eastAsia="方正书宋_GBK" w:cs="Times New Roman"/>
              </w:rPr>
            </w:pPr>
          </w:p>
        </w:tc>
        <w:tc>
          <w:tcPr>
            <w:tcW w:w="315" w:type="dxa"/>
            <w:vAlign w:val="center"/>
          </w:tcPr>
          <w:p>
            <w:pPr>
              <w:spacing w:line="300" w:lineRule="exact"/>
              <w:jc w:val="right"/>
              <w:rPr>
                <w:rFonts w:ascii="方正书宋_GBK" w:eastAsia="方正书宋_GBK" w:cs="Times New Roman"/>
              </w:rPr>
            </w:pPr>
          </w:p>
        </w:tc>
        <w:tc>
          <w:tcPr>
            <w:tcW w:w="333" w:type="dxa"/>
            <w:vAlign w:val="center"/>
          </w:tcPr>
          <w:p>
            <w:pPr>
              <w:spacing w:line="300" w:lineRule="exact"/>
              <w:jc w:val="right"/>
              <w:rPr>
                <w:rFonts w:ascii="方正书宋_GBK" w:eastAsia="方正书宋_GBK" w:cs="Times New Roman"/>
              </w:rPr>
            </w:pPr>
          </w:p>
        </w:tc>
        <w:tc>
          <w:tcPr>
            <w:tcW w:w="236"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133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630" w:type="dxa"/>
            <w:vAlign w:val="center"/>
          </w:tcPr>
          <w:p>
            <w:pPr>
              <w:spacing w:line="300" w:lineRule="exact"/>
              <w:jc w:val="right"/>
              <w:rPr>
                <w:rFonts w:ascii="方正书宋_GBK" w:eastAsia="方正书宋_GBK" w:cs="方正书宋_GBK"/>
              </w:rPr>
            </w:pPr>
            <w:r>
              <w:rPr>
                <w:rFonts w:ascii="方正书宋_GBK" w:eastAsia="方正书宋_GBK" w:cs="方正书宋_GBK"/>
              </w:rPr>
              <w:t>16.24</w:t>
            </w:r>
          </w:p>
        </w:tc>
        <w:tc>
          <w:tcPr>
            <w:tcW w:w="593"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空调机</w:t>
            </w:r>
          </w:p>
        </w:tc>
        <w:tc>
          <w:tcPr>
            <w:tcW w:w="1087" w:type="dxa"/>
            <w:vAlign w:val="center"/>
          </w:tcPr>
          <w:p>
            <w:pPr>
              <w:spacing w:line="300" w:lineRule="exact"/>
              <w:jc w:val="left"/>
              <w:rPr>
                <w:rFonts w:ascii="方正书宋_GBK" w:eastAsia="方正书宋_GBK" w:cs="Times New Roman"/>
              </w:rPr>
            </w:pPr>
            <w:r>
              <w:rPr>
                <w:rFonts w:ascii="方正书宋_GBK" w:eastAsia="方正书宋_GBK" w:cs="方正书宋_GBK"/>
              </w:rPr>
              <w:t>A0206180203</w:t>
            </w:r>
          </w:p>
        </w:tc>
        <w:tc>
          <w:tcPr>
            <w:tcW w:w="630"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台</w:t>
            </w:r>
          </w:p>
        </w:tc>
        <w:tc>
          <w:tcPr>
            <w:tcW w:w="735" w:type="dxa"/>
            <w:vAlign w:val="center"/>
          </w:tcPr>
          <w:p>
            <w:pPr>
              <w:spacing w:line="300" w:lineRule="exact"/>
              <w:jc w:val="right"/>
              <w:rPr>
                <w:rFonts w:ascii="方正书宋_GBK" w:eastAsia="方正书宋_GBK" w:cs="方正书宋_GBK"/>
              </w:rPr>
            </w:pPr>
            <w:r>
              <w:rPr>
                <w:rFonts w:ascii="方正书宋_GBK" w:eastAsia="方正书宋_GBK" w:cs="方正书宋_GBK"/>
              </w:rPr>
              <w:t>4</w:t>
            </w:r>
          </w:p>
        </w:tc>
        <w:tc>
          <w:tcPr>
            <w:tcW w:w="735" w:type="dxa"/>
            <w:vAlign w:val="center"/>
          </w:tcPr>
          <w:p>
            <w:pPr>
              <w:spacing w:line="300" w:lineRule="exact"/>
              <w:jc w:val="right"/>
              <w:rPr>
                <w:rFonts w:ascii="方正书宋_GBK" w:eastAsia="方正书宋_GBK" w:cs="方正书宋_GBK"/>
              </w:rPr>
            </w:pPr>
            <w:r>
              <w:rPr>
                <w:rFonts w:ascii="方正书宋_GBK" w:eastAsia="方正书宋_GBK" w:cs="方正书宋_GBK"/>
              </w:rPr>
              <w:t>0.3</w:t>
            </w:r>
          </w:p>
        </w:tc>
        <w:tc>
          <w:tcPr>
            <w:tcW w:w="630" w:type="dxa"/>
            <w:vAlign w:val="center"/>
          </w:tcPr>
          <w:p>
            <w:pPr>
              <w:spacing w:line="300" w:lineRule="exact"/>
              <w:jc w:val="right"/>
              <w:rPr>
                <w:rFonts w:ascii="方正书宋_GBK" w:eastAsia="方正书宋_GBK" w:cs="方正书宋_GBK"/>
              </w:rPr>
            </w:pPr>
            <w:r>
              <w:rPr>
                <w:rFonts w:ascii="方正书宋_GBK" w:eastAsia="方正书宋_GBK" w:cs="方正书宋_GBK"/>
              </w:rPr>
              <w:t>1.2</w:t>
            </w:r>
          </w:p>
        </w:tc>
        <w:tc>
          <w:tcPr>
            <w:tcW w:w="630" w:type="dxa"/>
            <w:vAlign w:val="center"/>
          </w:tcPr>
          <w:p>
            <w:pPr>
              <w:spacing w:line="300" w:lineRule="exact"/>
              <w:jc w:val="right"/>
              <w:rPr>
                <w:rFonts w:ascii="方正书宋_GBK" w:eastAsia="方正书宋_GBK" w:cs="方正书宋_GBK"/>
              </w:rPr>
            </w:pPr>
            <w:r>
              <w:rPr>
                <w:rFonts w:ascii="方正书宋_GBK" w:eastAsia="方正书宋_GBK" w:cs="方正书宋_GBK"/>
              </w:rPr>
              <w:t>1.2</w:t>
            </w:r>
          </w:p>
        </w:tc>
        <w:tc>
          <w:tcPr>
            <w:tcW w:w="709" w:type="dxa"/>
            <w:vAlign w:val="center"/>
          </w:tcPr>
          <w:p>
            <w:pPr>
              <w:spacing w:line="300" w:lineRule="exact"/>
              <w:ind w:right="105"/>
              <w:jc w:val="right"/>
              <w:rPr>
                <w:rFonts w:ascii="方正书宋_GBK" w:eastAsia="方正书宋_GBK" w:cs="方正书宋_GBK"/>
              </w:rPr>
            </w:pPr>
            <w:r>
              <w:rPr>
                <w:rFonts w:ascii="方正书宋_GBK" w:eastAsia="方正书宋_GBK" w:cs="方正书宋_GBK"/>
              </w:rPr>
              <w:t>1.2</w:t>
            </w:r>
          </w:p>
        </w:tc>
        <w:tc>
          <w:tcPr>
            <w:tcW w:w="315" w:type="dxa"/>
            <w:vAlign w:val="center"/>
          </w:tcPr>
          <w:p>
            <w:pPr>
              <w:spacing w:line="300" w:lineRule="exact"/>
              <w:jc w:val="right"/>
              <w:rPr>
                <w:rFonts w:ascii="方正书宋_GBK" w:eastAsia="方正书宋_GBK" w:cs="Times New Roman"/>
              </w:rPr>
            </w:pPr>
          </w:p>
        </w:tc>
        <w:tc>
          <w:tcPr>
            <w:tcW w:w="315" w:type="dxa"/>
            <w:vAlign w:val="center"/>
          </w:tcPr>
          <w:p>
            <w:pPr>
              <w:spacing w:line="300" w:lineRule="exact"/>
              <w:jc w:val="right"/>
              <w:rPr>
                <w:rFonts w:ascii="方正书宋_GBK" w:eastAsia="方正书宋_GBK" w:cs="Times New Roman"/>
              </w:rPr>
            </w:pPr>
          </w:p>
        </w:tc>
        <w:tc>
          <w:tcPr>
            <w:tcW w:w="333" w:type="dxa"/>
            <w:vAlign w:val="center"/>
          </w:tcPr>
          <w:p>
            <w:pPr>
              <w:spacing w:line="300" w:lineRule="exact"/>
              <w:jc w:val="right"/>
              <w:rPr>
                <w:rFonts w:ascii="方正书宋_GBK" w:eastAsia="方正书宋_GBK" w:cs="Times New Roman"/>
              </w:rPr>
            </w:pPr>
          </w:p>
        </w:tc>
        <w:tc>
          <w:tcPr>
            <w:tcW w:w="236" w:type="dxa"/>
            <w:vAlign w:val="center"/>
          </w:tcPr>
          <w:p>
            <w:pPr>
              <w:spacing w:line="300" w:lineRule="exact"/>
              <w:jc w:val="right"/>
              <w:rPr>
                <w:rFonts w:ascii="方正书宋_GBK" w:eastAsia="方正书宋_GBK" w:cs="Times New Roman"/>
              </w:rPr>
            </w:pPr>
          </w:p>
        </w:tc>
      </w:tr>
    </w:tbl>
    <w:p>
      <w:pPr>
        <w:rPr>
          <w:rFonts w:cs="Times New Roman"/>
        </w:rPr>
        <w:sectPr>
          <w:headerReference r:id="rId3"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仿宋"/>
          <w:color w:val="000000"/>
          <w:sz w:val="32"/>
          <w:szCs w:val="32"/>
        </w:rPr>
        <w:t>馆陶县</w:t>
      </w: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年末固定资产金额为</w:t>
      </w:r>
      <w:r>
        <w:rPr>
          <w:rFonts w:ascii="Times New Roman" w:hAnsi="Times New Roman" w:eastAsia="仿宋" w:cs="Times New Roman"/>
          <w:color w:val="000000"/>
          <w:sz w:val="32"/>
          <w:szCs w:val="32"/>
        </w:rPr>
        <w:t>570.38</w:t>
      </w:r>
      <w:r>
        <w:rPr>
          <w:rFonts w:hint="eastAsia" w:ascii="Times New Roman" w:hAnsi="Times New Roman" w:eastAsia="仿宋" w:cs="仿宋"/>
          <w:color w:val="000000"/>
          <w:sz w:val="32"/>
          <w:szCs w:val="32"/>
        </w:rPr>
        <w:t>万元（详见下表），本年度各单位（处室）拟购置固定资产总额为</w:t>
      </w:r>
      <w:r>
        <w:rPr>
          <w:rFonts w:ascii="Times New Roman" w:hAnsi="Times New Roman" w:eastAsia="仿宋" w:cs="Times New Roman"/>
          <w:color w:val="000000"/>
          <w:sz w:val="32"/>
          <w:szCs w:val="32"/>
        </w:rPr>
        <w:t>2.6</w:t>
      </w:r>
      <w:r>
        <w:rPr>
          <w:rFonts w:hint="eastAsia" w:ascii="Times New Roman" w:hAnsi="Times New Roman" w:eastAsia="仿宋" w:cs="仿宋"/>
          <w:color w:val="000000"/>
          <w:sz w:val="32"/>
          <w:szCs w:val="32"/>
        </w:rPr>
        <w:t>万元，主要为台式计算机等，已列入政府采购预算表，详见政府采购预算表。</w:t>
      </w:r>
    </w:p>
    <w:tbl>
      <w:tblPr>
        <w:tblStyle w:val="8"/>
        <w:tblW w:w="7980" w:type="dxa"/>
        <w:tblInd w:w="2"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馆陶县退役军人事务局固定资产占用情况表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编制部门：馆陶县退役军人事务局</w:t>
            </w:r>
          </w:p>
        </w:tc>
        <w:tc>
          <w:tcPr>
            <w:tcW w:w="4095" w:type="dxa"/>
            <w:tcBorders>
              <w:top w:val="nil"/>
              <w:left w:val="nil"/>
              <w:bottom w:val="nil"/>
              <w:right w:val="nil"/>
            </w:tcBorders>
            <w:vAlign w:val="center"/>
          </w:tcPr>
          <w:p>
            <w:pPr>
              <w:widowControl/>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570.38</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2242</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507.12</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110</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22</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63.26</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ind w:firstLine="630" w:firstLineChars="196"/>
        <w:rPr>
          <w:rFonts w:ascii="仿宋" w:hAnsi="仿宋" w:eastAsia="仿宋" w:cs="Times New Roman"/>
          <w:sz w:val="32"/>
          <w:szCs w:val="32"/>
        </w:rPr>
      </w:pPr>
      <w:r>
        <w:rPr>
          <w:rFonts w:ascii="仿宋" w:hAnsi="仿宋" w:eastAsia="仿宋" w:cs="仿宋"/>
          <w:b/>
          <w:bCs/>
          <w:sz w:val="32"/>
          <w:szCs w:val="32"/>
        </w:rPr>
        <w:t>1</w:t>
      </w:r>
      <w:r>
        <w:rPr>
          <w:rFonts w:hint="eastAsia" w:ascii="仿宋" w:hAnsi="仿宋" w:eastAsia="仿宋" w:cs="仿宋"/>
          <w:b/>
          <w:bCs/>
          <w:sz w:val="32"/>
          <w:szCs w:val="32"/>
        </w:rPr>
        <w:t>、一般公共预算财政拨款收入：</w:t>
      </w:r>
      <w:r>
        <w:rPr>
          <w:rFonts w:hint="eastAsia" w:ascii="仿宋" w:hAnsi="仿宋" w:eastAsia="仿宋" w:cs="仿宋"/>
          <w:sz w:val="32"/>
          <w:szCs w:val="32"/>
        </w:rPr>
        <w:t>县级财政当年拨付的资金。</w:t>
      </w:r>
    </w:p>
    <w:p>
      <w:pPr>
        <w:pStyle w:val="7"/>
        <w:ind w:firstLine="578" w:firstLineChars="180"/>
        <w:rPr>
          <w:rFonts w:ascii="仿宋" w:hAnsi="仿宋" w:eastAsia="仿宋" w:cs="Times New Roman"/>
          <w:sz w:val="32"/>
          <w:szCs w:val="32"/>
        </w:rPr>
      </w:pPr>
      <w:r>
        <w:rPr>
          <w:rStyle w:val="10"/>
          <w:rFonts w:ascii="仿宋" w:hAnsi="仿宋" w:eastAsia="仿宋" w:cs="仿宋"/>
          <w:sz w:val="32"/>
          <w:szCs w:val="32"/>
          <w:shd w:val="clear" w:color="auto" w:fill="FFFFFF"/>
        </w:rPr>
        <w:t>2</w:t>
      </w:r>
      <w:r>
        <w:rPr>
          <w:rStyle w:val="10"/>
          <w:rFonts w:hint="eastAsia" w:ascii="仿宋" w:hAnsi="仿宋" w:eastAsia="仿宋" w:cs="仿宋"/>
          <w:sz w:val="32"/>
          <w:szCs w:val="32"/>
          <w:shd w:val="clear" w:color="auto" w:fill="FFFFFF"/>
        </w:rPr>
        <w:t>、其他收入：</w:t>
      </w:r>
      <w:r>
        <w:rPr>
          <w:rFonts w:hint="eastAsia" w:ascii="仿宋" w:hAnsi="仿宋" w:eastAsia="仿宋" w:cs="仿宋"/>
          <w:sz w:val="32"/>
          <w:szCs w:val="32"/>
          <w:shd w:val="clear" w:color="auto" w:fill="FFFFFF"/>
        </w:rPr>
        <w:t>指除上述财政拨款收入以外的收入。主要是存款利息收入。</w:t>
      </w:r>
    </w:p>
    <w:p>
      <w:pPr>
        <w:pStyle w:val="7"/>
        <w:ind w:firstLine="578" w:firstLineChars="180"/>
        <w:rPr>
          <w:rFonts w:ascii="仿宋" w:hAnsi="仿宋" w:eastAsia="仿宋" w:cs="Times New Roman"/>
          <w:sz w:val="32"/>
          <w:szCs w:val="32"/>
        </w:rPr>
      </w:pPr>
      <w:r>
        <w:rPr>
          <w:rStyle w:val="10"/>
          <w:rFonts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pStyle w:val="7"/>
        <w:rPr>
          <w:rFonts w:ascii="仿宋" w:hAnsi="仿宋" w:eastAsia="仿宋" w:cs="Times New Roman"/>
          <w:sz w:val="32"/>
          <w:szCs w:val="32"/>
        </w:rPr>
      </w:pPr>
      <w:r>
        <w:rPr>
          <w:rFonts w:ascii="仿宋" w:hAnsi="仿宋" w:eastAsia="仿宋" w:cs="仿宋"/>
          <w:b/>
          <w:bCs/>
          <w:sz w:val="32"/>
          <w:szCs w:val="32"/>
        </w:rPr>
        <w:t xml:space="preserve">    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pStyle w:val="7"/>
        <w:ind w:firstLine="643" w:firstLineChars="200"/>
        <w:rPr>
          <w:rFonts w:ascii="仿宋" w:hAnsi="仿宋" w:eastAsia="仿宋" w:cs="Times New Roman"/>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ind w:firstLine="643" w:firstLineChars="200"/>
        <w:rPr>
          <w:rFonts w:ascii="仿宋" w:hAnsi="仿宋" w:eastAsia="仿宋" w:cs="Times New Roman"/>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Times New Roman" w:hAnsi="Times New Roman" w:eastAsia="仿宋" w:cs="Times New Roman"/>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FCF2A"/>
    <w:multiLevelType w:val="singleLevel"/>
    <w:tmpl w:val="CE9FCF2A"/>
    <w:lvl w:ilvl="0" w:tentative="0">
      <w:start w:val="2"/>
      <w:numFmt w:val="chineseCounting"/>
      <w:suff w:val="space"/>
      <w:lvlText w:val="第%1部分"/>
      <w:lvlJc w:val="left"/>
      <w:rPr>
        <w:rFonts w:hint="eastAsia"/>
      </w:rPr>
    </w:lvl>
  </w:abstractNum>
  <w:abstractNum w:abstractNumId="1">
    <w:nsid w:val="3C2B6FA3"/>
    <w:multiLevelType w:val="singleLevel"/>
    <w:tmpl w:val="3C2B6FA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052FF"/>
    <w:rsid w:val="00013108"/>
    <w:rsid w:val="00014594"/>
    <w:rsid w:val="00017B95"/>
    <w:rsid w:val="00021DB8"/>
    <w:rsid w:val="000235A8"/>
    <w:rsid w:val="0003098B"/>
    <w:rsid w:val="000338A6"/>
    <w:rsid w:val="00043DE9"/>
    <w:rsid w:val="000731AC"/>
    <w:rsid w:val="00082819"/>
    <w:rsid w:val="00084ED2"/>
    <w:rsid w:val="00086C84"/>
    <w:rsid w:val="0009251C"/>
    <w:rsid w:val="00095EE9"/>
    <w:rsid w:val="000C01E2"/>
    <w:rsid w:val="000C0B5E"/>
    <w:rsid w:val="000C3E9D"/>
    <w:rsid w:val="000C482D"/>
    <w:rsid w:val="000C746E"/>
    <w:rsid w:val="000E5AE1"/>
    <w:rsid w:val="000F5D72"/>
    <w:rsid w:val="0011525F"/>
    <w:rsid w:val="00130696"/>
    <w:rsid w:val="0015306D"/>
    <w:rsid w:val="00181503"/>
    <w:rsid w:val="0019157B"/>
    <w:rsid w:val="0019235A"/>
    <w:rsid w:val="001A1228"/>
    <w:rsid w:val="001B3F7A"/>
    <w:rsid w:val="001B5828"/>
    <w:rsid w:val="001C388F"/>
    <w:rsid w:val="001C4915"/>
    <w:rsid w:val="001E422E"/>
    <w:rsid w:val="001E4CD0"/>
    <w:rsid w:val="001E4D9F"/>
    <w:rsid w:val="001F15F1"/>
    <w:rsid w:val="001F1FFD"/>
    <w:rsid w:val="001F72D5"/>
    <w:rsid w:val="00200027"/>
    <w:rsid w:val="00200C80"/>
    <w:rsid w:val="00214401"/>
    <w:rsid w:val="00235D94"/>
    <w:rsid w:val="0026028C"/>
    <w:rsid w:val="00262328"/>
    <w:rsid w:val="00271EB2"/>
    <w:rsid w:val="00273E7D"/>
    <w:rsid w:val="0029077D"/>
    <w:rsid w:val="00291689"/>
    <w:rsid w:val="002943A2"/>
    <w:rsid w:val="002A49CD"/>
    <w:rsid w:val="002A5B24"/>
    <w:rsid w:val="002B069D"/>
    <w:rsid w:val="002B4EAB"/>
    <w:rsid w:val="002B7066"/>
    <w:rsid w:val="002B74E9"/>
    <w:rsid w:val="002C2891"/>
    <w:rsid w:val="002D4AD6"/>
    <w:rsid w:val="002F2A64"/>
    <w:rsid w:val="002F4D1E"/>
    <w:rsid w:val="00303C16"/>
    <w:rsid w:val="00315EB1"/>
    <w:rsid w:val="00323501"/>
    <w:rsid w:val="00327CE7"/>
    <w:rsid w:val="00331F08"/>
    <w:rsid w:val="003431B8"/>
    <w:rsid w:val="003539EC"/>
    <w:rsid w:val="00355582"/>
    <w:rsid w:val="00373F4E"/>
    <w:rsid w:val="00380DEC"/>
    <w:rsid w:val="00383414"/>
    <w:rsid w:val="0038672E"/>
    <w:rsid w:val="003914C0"/>
    <w:rsid w:val="003962A8"/>
    <w:rsid w:val="003D5424"/>
    <w:rsid w:val="003D7EE4"/>
    <w:rsid w:val="003E09D8"/>
    <w:rsid w:val="003E27D9"/>
    <w:rsid w:val="003E491B"/>
    <w:rsid w:val="003F0952"/>
    <w:rsid w:val="004068DD"/>
    <w:rsid w:val="00413931"/>
    <w:rsid w:val="00421E3D"/>
    <w:rsid w:val="0043377B"/>
    <w:rsid w:val="00441326"/>
    <w:rsid w:val="0045029D"/>
    <w:rsid w:val="00460E88"/>
    <w:rsid w:val="0046728A"/>
    <w:rsid w:val="004740B0"/>
    <w:rsid w:val="0048409E"/>
    <w:rsid w:val="00485341"/>
    <w:rsid w:val="004B4A57"/>
    <w:rsid w:val="004B6802"/>
    <w:rsid w:val="004E1C68"/>
    <w:rsid w:val="004F0394"/>
    <w:rsid w:val="004F42BD"/>
    <w:rsid w:val="00501DA7"/>
    <w:rsid w:val="00503679"/>
    <w:rsid w:val="005058B5"/>
    <w:rsid w:val="0051143F"/>
    <w:rsid w:val="0051597D"/>
    <w:rsid w:val="00543779"/>
    <w:rsid w:val="00556C00"/>
    <w:rsid w:val="00560254"/>
    <w:rsid w:val="005948CC"/>
    <w:rsid w:val="005A5B03"/>
    <w:rsid w:val="005C6B39"/>
    <w:rsid w:val="005D22A8"/>
    <w:rsid w:val="005D69FB"/>
    <w:rsid w:val="005D7262"/>
    <w:rsid w:val="005E015D"/>
    <w:rsid w:val="005F63A0"/>
    <w:rsid w:val="006006D2"/>
    <w:rsid w:val="00602EF0"/>
    <w:rsid w:val="00606439"/>
    <w:rsid w:val="00622043"/>
    <w:rsid w:val="00623855"/>
    <w:rsid w:val="00623869"/>
    <w:rsid w:val="00630F7B"/>
    <w:rsid w:val="00641BF0"/>
    <w:rsid w:val="00650196"/>
    <w:rsid w:val="006603DD"/>
    <w:rsid w:val="00667C43"/>
    <w:rsid w:val="00692AD1"/>
    <w:rsid w:val="006A20A6"/>
    <w:rsid w:val="006A410A"/>
    <w:rsid w:val="006B22B1"/>
    <w:rsid w:val="006D0C4D"/>
    <w:rsid w:val="006D2D79"/>
    <w:rsid w:val="006D2E00"/>
    <w:rsid w:val="006D573F"/>
    <w:rsid w:val="006E073A"/>
    <w:rsid w:val="006F5A11"/>
    <w:rsid w:val="006F5E90"/>
    <w:rsid w:val="006F68A6"/>
    <w:rsid w:val="00703847"/>
    <w:rsid w:val="00715C7E"/>
    <w:rsid w:val="00720FCB"/>
    <w:rsid w:val="007218AE"/>
    <w:rsid w:val="00724DAB"/>
    <w:rsid w:val="007317F1"/>
    <w:rsid w:val="00734192"/>
    <w:rsid w:val="007365B7"/>
    <w:rsid w:val="0074453E"/>
    <w:rsid w:val="00744DCB"/>
    <w:rsid w:val="007530F2"/>
    <w:rsid w:val="007568C2"/>
    <w:rsid w:val="007602E7"/>
    <w:rsid w:val="00764EA1"/>
    <w:rsid w:val="00770EF1"/>
    <w:rsid w:val="00775F86"/>
    <w:rsid w:val="0078063E"/>
    <w:rsid w:val="00782811"/>
    <w:rsid w:val="007870D4"/>
    <w:rsid w:val="00790571"/>
    <w:rsid w:val="00797E41"/>
    <w:rsid w:val="007A5FE1"/>
    <w:rsid w:val="007A7C3E"/>
    <w:rsid w:val="007B3EC5"/>
    <w:rsid w:val="007B4E99"/>
    <w:rsid w:val="007C2BED"/>
    <w:rsid w:val="007C79E3"/>
    <w:rsid w:val="007D0F19"/>
    <w:rsid w:val="007D421F"/>
    <w:rsid w:val="007D6314"/>
    <w:rsid w:val="007E57D1"/>
    <w:rsid w:val="008020D3"/>
    <w:rsid w:val="008241FD"/>
    <w:rsid w:val="00827241"/>
    <w:rsid w:val="00834F20"/>
    <w:rsid w:val="00836ABF"/>
    <w:rsid w:val="00837AC2"/>
    <w:rsid w:val="008479F0"/>
    <w:rsid w:val="00852A86"/>
    <w:rsid w:val="00872978"/>
    <w:rsid w:val="008818BE"/>
    <w:rsid w:val="00881E56"/>
    <w:rsid w:val="0088640D"/>
    <w:rsid w:val="00892D2A"/>
    <w:rsid w:val="00894C41"/>
    <w:rsid w:val="0089775D"/>
    <w:rsid w:val="008A4764"/>
    <w:rsid w:val="008B0AD8"/>
    <w:rsid w:val="008C582C"/>
    <w:rsid w:val="008F75A7"/>
    <w:rsid w:val="009002BA"/>
    <w:rsid w:val="009016FA"/>
    <w:rsid w:val="00901E40"/>
    <w:rsid w:val="009107A0"/>
    <w:rsid w:val="0091172F"/>
    <w:rsid w:val="00912302"/>
    <w:rsid w:val="00912B88"/>
    <w:rsid w:val="00924FD2"/>
    <w:rsid w:val="009417F6"/>
    <w:rsid w:val="009454FA"/>
    <w:rsid w:val="00957572"/>
    <w:rsid w:val="00962CFA"/>
    <w:rsid w:val="00964778"/>
    <w:rsid w:val="00975367"/>
    <w:rsid w:val="00981B57"/>
    <w:rsid w:val="009864BC"/>
    <w:rsid w:val="009A13BC"/>
    <w:rsid w:val="009A1592"/>
    <w:rsid w:val="009A4E50"/>
    <w:rsid w:val="009C2EF1"/>
    <w:rsid w:val="009E7472"/>
    <w:rsid w:val="009F5FF5"/>
    <w:rsid w:val="00A03C5A"/>
    <w:rsid w:val="00A11D46"/>
    <w:rsid w:val="00A279D7"/>
    <w:rsid w:val="00A5157D"/>
    <w:rsid w:val="00A564F6"/>
    <w:rsid w:val="00A6266C"/>
    <w:rsid w:val="00A6747F"/>
    <w:rsid w:val="00A67E65"/>
    <w:rsid w:val="00A80DC1"/>
    <w:rsid w:val="00A81AB5"/>
    <w:rsid w:val="00A87FAA"/>
    <w:rsid w:val="00AA743E"/>
    <w:rsid w:val="00AC0A72"/>
    <w:rsid w:val="00AC7BD6"/>
    <w:rsid w:val="00AD1D1C"/>
    <w:rsid w:val="00AD227F"/>
    <w:rsid w:val="00AF08CB"/>
    <w:rsid w:val="00AF12BB"/>
    <w:rsid w:val="00B07DAE"/>
    <w:rsid w:val="00B16A68"/>
    <w:rsid w:val="00B217A0"/>
    <w:rsid w:val="00B24B6B"/>
    <w:rsid w:val="00B24CF2"/>
    <w:rsid w:val="00B33B66"/>
    <w:rsid w:val="00B41659"/>
    <w:rsid w:val="00B456C3"/>
    <w:rsid w:val="00B52DEA"/>
    <w:rsid w:val="00B54CF5"/>
    <w:rsid w:val="00B7697B"/>
    <w:rsid w:val="00B94342"/>
    <w:rsid w:val="00B97A2D"/>
    <w:rsid w:val="00BA1ABE"/>
    <w:rsid w:val="00BB3216"/>
    <w:rsid w:val="00BB37FC"/>
    <w:rsid w:val="00BC77B2"/>
    <w:rsid w:val="00BD076A"/>
    <w:rsid w:val="00BD1B21"/>
    <w:rsid w:val="00BE508F"/>
    <w:rsid w:val="00C046BD"/>
    <w:rsid w:val="00C17250"/>
    <w:rsid w:val="00C22B93"/>
    <w:rsid w:val="00C254EA"/>
    <w:rsid w:val="00C30288"/>
    <w:rsid w:val="00C30770"/>
    <w:rsid w:val="00C31069"/>
    <w:rsid w:val="00C31A70"/>
    <w:rsid w:val="00C33341"/>
    <w:rsid w:val="00C4380F"/>
    <w:rsid w:val="00C44047"/>
    <w:rsid w:val="00C445F7"/>
    <w:rsid w:val="00C47254"/>
    <w:rsid w:val="00C475EF"/>
    <w:rsid w:val="00C5252F"/>
    <w:rsid w:val="00C62340"/>
    <w:rsid w:val="00C62C69"/>
    <w:rsid w:val="00C63CB5"/>
    <w:rsid w:val="00C67CC4"/>
    <w:rsid w:val="00C77B3C"/>
    <w:rsid w:val="00C82379"/>
    <w:rsid w:val="00C82A78"/>
    <w:rsid w:val="00C91BA9"/>
    <w:rsid w:val="00C92F62"/>
    <w:rsid w:val="00C96FAB"/>
    <w:rsid w:val="00CA0D06"/>
    <w:rsid w:val="00CB1705"/>
    <w:rsid w:val="00CC58F3"/>
    <w:rsid w:val="00CD0C7D"/>
    <w:rsid w:val="00CE6CF0"/>
    <w:rsid w:val="00CF11C7"/>
    <w:rsid w:val="00CF40B5"/>
    <w:rsid w:val="00D001A9"/>
    <w:rsid w:val="00D03BA6"/>
    <w:rsid w:val="00D108D9"/>
    <w:rsid w:val="00D2313A"/>
    <w:rsid w:val="00D41B7D"/>
    <w:rsid w:val="00D51B1D"/>
    <w:rsid w:val="00D5411C"/>
    <w:rsid w:val="00D57139"/>
    <w:rsid w:val="00D604A8"/>
    <w:rsid w:val="00D679EB"/>
    <w:rsid w:val="00D764B8"/>
    <w:rsid w:val="00D84903"/>
    <w:rsid w:val="00D8542A"/>
    <w:rsid w:val="00D86A11"/>
    <w:rsid w:val="00D95406"/>
    <w:rsid w:val="00DA3BBD"/>
    <w:rsid w:val="00DB1B07"/>
    <w:rsid w:val="00DD2713"/>
    <w:rsid w:val="00DE2BDE"/>
    <w:rsid w:val="00DE61AC"/>
    <w:rsid w:val="00DF1762"/>
    <w:rsid w:val="00DF2D70"/>
    <w:rsid w:val="00DF5B51"/>
    <w:rsid w:val="00E0632F"/>
    <w:rsid w:val="00E07313"/>
    <w:rsid w:val="00E32C7F"/>
    <w:rsid w:val="00E348C2"/>
    <w:rsid w:val="00E362FA"/>
    <w:rsid w:val="00E53605"/>
    <w:rsid w:val="00E65AA9"/>
    <w:rsid w:val="00E82BF8"/>
    <w:rsid w:val="00E82CB4"/>
    <w:rsid w:val="00EC04B7"/>
    <w:rsid w:val="00EC3709"/>
    <w:rsid w:val="00ED26AD"/>
    <w:rsid w:val="00ED6FC7"/>
    <w:rsid w:val="00EE442D"/>
    <w:rsid w:val="00EF469D"/>
    <w:rsid w:val="00F042C1"/>
    <w:rsid w:val="00F04E30"/>
    <w:rsid w:val="00F05614"/>
    <w:rsid w:val="00F270A3"/>
    <w:rsid w:val="00F27B9D"/>
    <w:rsid w:val="00F33A87"/>
    <w:rsid w:val="00F61628"/>
    <w:rsid w:val="00F7075C"/>
    <w:rsid w:val="00F95BF9"/>
    <w:rsid w:val="00FA089E"/>
    <w:rsid w:val="00FA2238"/>
    <w:rsid w:val="00FA5AAA"/>
    <w:rsid w:val="00FB4D47"/>
    <w:rsid w:val="00FB7758"/>
    <w:rsid w:val="00FD033F"/>
    <w:rsid w:val="02877D24"/>
    <w:rsid w:val="069C1BE8"/>
    <w:rsid w:val="081C33AE"/>
    <w:rsid w:val="0B8E4084"/>
    <w:rsid w:val="0C9346E6"/>
    <w:rsid w:val="12FC4B51"/>
    <w:rsid w:val="18437F9A"/>
    <w:rsid w:val="1BEE6C88"/>
    <w:rsid w:val="1FA2058F"/>
    <w:rsid w:val="21A66F92"/>
    <w:rsid w:val="21ED0696"/>
    <w:rsid w:val="23102DB4"/>
    <w:rsid w:val="2477213C"/>
    <w:rsid w:val="25691E70"/>
    <w:rsid w:val="28604080"/>
    <w:rsid w:val="2C1E11D1"/>
    <w:rsid w:val="2C300BF6"/>
    <w:rsid w:val="2CFF77E5"/>
    <w:rsid w:val="2D043447"/>
    <w:rsid w:val="2DEE691E"/>
    <w:rsid w:val="3097268A"/>
    <w:rsid w:val="310B7D2E"/>
    <w:rsid w:val="33674CCF"/>
    <w:rsid w:val="38B31DA2"/>
    <w:rsid w:val="39796C0A"/>
    <w:rsid w:val="3B863410"/>
    <w:rsid w:val="3BD15599"/>
    <w:rsid w:val="3DA42A48"/>
    <w:rsid w:val="3E00146D"/>
    <w:rsid w:val="43904DEF"/>
    <w:rsid w:val="444711FB"/>
    <w:rsid w:val="48CE43CE"/>
    <w:rsid w:val="4A832201"/>
    <w:rsid w:val="5980208D"/>
    <w:rsid w:val="5B386323"/>
    <w:rsid w:val="636115A5"/>
    <w:rsid w:val="63BA6376"/>
    <w:rsid w:val="67BF6452"/>
    <w:rsid w:val="682E1045"/>
    <w:rsid w:val="6AD93656"/>
    <w:rsid w:val="6CD618C6"/>
    <w:rsid w:val="6CDD75F6"/>
    <w:rsid w:val="6D0A5702"/>
    <w:rsid w:val="6E324F2D"/>
    <w:rsid w:val="6EC2011F"/>
    <w:rsid w:val="6F6150E3"/>
    <w:rsid w:val="718704EB"/>
    <w:rsid w:val="71E159F7"/>
    <w:rsid w:val="72302DA5"/>
    <w:rsid w:val="72C74C02"/>
    <w:rsid w:val="7349002C"/>
    <w:rsid w:val="742663E9"/>
    <w:rsid w:val="744D67F7"/>
    <w:rsid w:val="74A8074C"/>
    <w:rsid w:val="74B84AB9"/>
    <w:rsid w:val="75D0564F"/>
    <w:rsid w:val="76BD7467"/>
    <w:rsid w:val="79110831"/>
    <w:rsid w:val="798B22E3"/>
    <w:rsid w:val="7BFD116A"/>
    <w:rsid w:val="7E1D70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autoRedefine/>
    <w:semiHidden/>
    <w:uiPriority w:val="99"/>
    <w:rPr>
      <w:rFonts w:ascii="Times New Roman" w:hAnsi="Times New Roman" w:cs="Times New Roman"/>
    </w:rPr>
  </w:style>
  <w:style w:type="paragraph" w:styleId="5">
    <w:name w:val="footnote text"/>
    <w:basedOn w:val="1"/>
    <w:link w:val="14"/>
    <w:semiHidden/>
    <w:uiPriority w:val="99"/>
    <w:pPr>
      <w:snapToGrid w:val="0"/>
      <w:jc w:val="left"/>
    </w:pPr>
    <w:rPr>
      <w:sz w:val="18"/>
      <w:szCs w:val="18"/>
    </w:rPr>
  </w:style>
  <w:style w:type="paragraph" w:styleId="6">
    <w:name w:val="toc 2"/>
    <w:basedOn w:val="1"/>
    <w:next w:val="1"/>
    <w:autoRedefine/>
    <w:semiHidden/>
    <w:uiPriority w:val="99"/>
    <w:pPr>
      <w:ind w:left="420" w:leftChars="200"/>
    </w:pPr>
    <w:rPr>
      <w:rFonts w:ascii="Times New Roman" w:hAnsi="Times New Roman" w:cs="Times New Roman"/>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99"/>
    <w:rPr>
      <w:b/>
      <w:bCs/>
    </w:rPr>
  </w:style>
  <w:style w:type="character" w:styleId="11">
    <w:name w:val="footnote reference"/>
    <w:basedOn w:val="9"/>
    <w:semiHidden/>
    <w:uiPriority w:val="99"/>
    <w:rPr>
      <w:vertAlign w:val="superscript"/>
    </w:rPr>
  </w:style>
  <w:style w:type="character" w:customStyle="1" w:styleId="12">
    <w:name w:val="Footer Char"/>
    <w:basedOn w:val="9"/>
    <w:link w:val="2"/>
    <w:semiHidden/>
    <w:locked/>
    <w:uiPriority w:val="99"/>
    <w:rPr>
      <w:rFonts w:ascii="Times New Roman" w:hAnsi="Times New Roman" w:eastAsia="宋体" w:cs="Times New Roman"/>
      <w:sz w:val="18"/>
      <w:szCs w:val="18"/>
    </w:rPr>
  </w:style>
  <w:style w:type="character" w:customStyle="1" w:styleId="13">
    <w:name w:val="Header Char"/>
    <w:basedOn w:val="9"/>
    <w:link w:val="3"/>
    <w:semiHidden/>
    <w:locked/>
    <w:uiPriority w:val="99"/>
    <w:rPr>
      <w:rFonts w:ascii="Times New Roman" w:hAnsi="Times New Roman" w:eastAsia="宋体" w:cs="Times New Roman"/>
      <w:sz w:val="18"/>
      <w:szCs w:val="18"/>
    </w:rPr>
  </w:style>
  <w:style w:type="character" w:customStyle="1" w:styleId="14">
    <w:name w:val="Footnote Text Char"/>
    <w:basedOn w:val="9"/>
    <w:link w:val="5"/>
    <w:semiHidden/>
    <w:locked/>
    <w:uiPriority w:val="99"/>
    <w:rPr>
      <w:rFonts w:ascii="Calibri" w:hAnsi="Calibri" w:cs="Calibri"/>
      <w:sz w:val="18"/>
      <w:szCs w:val="18"/>
    </w:rPr>
  </w:style>
  <w:style w:type="paragraph" w:customStyle="1" w:styleId="15">
    <w:name w:val="Char"/>
    <w:basedOn w:val="1"/>
    <w:uiPriority w:val="99"/>
    <w:rPr>
      <w:rFonts w:ascii="Times New Roman" w:hAnsi="Times New Roman" w:cs="Times New Roman"/>
    </w:rPr>
  </w:style>
  <w:style w:type="character" w:customStyle="1" w:styleId="16">
    <w:name w:val="页码1"/>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shenduxitong</Company>
  <Pages>34</Pages>
  <Words>19030</Words>
  <Characters>20382</Characters>
  <Lines>0</Lines>
  <Paragraphs>0</Paragraphs>
  <TotalTime>4294934530</TotalTime>
  <ScaleCrop>false</ScaleCrop>
  <LinksUpToDate>false</LinksUpToDate>
  <CharactersWithSpaces>20471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2020-12-31T08:04:00Z</cp:lastPrinted>
  <dcterms:modified xsi:type="dcterms:W3CDTF">2024-06-03T08:33:57Z</dcterms:modified>
  <dc:title>o</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603C44C37C244F70B3D07918FBED04EC_12</vt:lpwstr>
  </property>
</Properties>
</file>