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479馆陶县商务局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984.16</w:t>
            </w:r>
          </w:p>
        </w:tc>
        <w:tc>
          <w:tcPr>
            <w:tcW w:w="1971" w:type="dxa"/>
            <w:vAlign w:val="center"/>
          </w:tcPr>
          <w:p>
            <w:pPr>
              <w:pStyle w:val="13"/>
            </w:pPr>
            <w:r>
              <w:t>一、一般公共服务支出</w:t>
            </w:r>
          </w:p>
        </w:tc>
        <w:tc>
          <w:tcPr>
            <w:tcW w:w="1971" w:type="dxa"/>
            <w:vAlign w:val="center"/>
          </w:tcPr>
          <w:p>
            <w:pPr>
              <w:pStyle w:val="12"/>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r>
              <w:t>519.16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984.16</w:t>
            </w:r>
          </w:p>
        </w:tc>
        <w:tc>
          <w:tcPr>
            <w:tcW w:w="1971" w:type="dxa"/>
            <w:vAlign w:val="center"/>
          </w:tcPr>
          <w:p>
            <w:pPr>
              <w:pStyle w:val="15"/>
            </w:pPr>
            <w:r>
              <w:t>本年支出合计</w:t>
            </w:r>
          </w:p>
        </w:tc>
        <w:tc>
          <w:tcPr>
            <w:tcW w:w="1971" w:type="dxa"/>
            <w:vAlign w:val="center"/>
          </w:tcPr>
          <w:p>
            <w:pPr>
              <w:pStyle w:val="16"/>
            </w:pPr>
            <w:r>
              <w:t>984.16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984.16</w:t>
            </w:r>
          </w:p>
        </w:tc>
        <w:tc>
          <w:tcPr>
            <w:tcW w:w="1971" w:type="dxa"/>
            <w:vAlign w:val="center"/>
          </w:tcPr>
          <w:p>
            <w:pPr>
              <w:pStyle w:val="15"/>
            </w:pPr>
            <w:r>
              <w:t>支出总计</w:t>
            </w:r>
          </w:p>
        </w:tc>
        <w:tc>
          <w:tcPr>
            <w:tcW w:w="1971" w:type="dxa"/>
            <w:vAlign w:val="center"/>
          </w:tcPr>
          <w:p>
            <w:pPr>
              <w:pStyle w:val="16"/>
            </w:pPr>
            <w:r>
              <w:t>984.16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479馆陶县商务局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984.16</w:t>
            </w:r>
          </w:p>
        </w:tc>
        <w:tc>
          <w:tcPr>
            <w:tcW w:w="758" w:type="dxa"/>
            <w:vAlign w:val="center"/>
          </w:tcPr>
          <w:p>
            <w:pPr>
              <w:pStyle w:val="16"/>
            </w:pPr>
            <w:r>
              <w:t>984.16</w:t>
            </w:r>
          </w:p>
        </w:tc>
        <w:tc>
          <w:tcPr>
            <w:tcW w:w="758" w:type="dxa"/>
            <w:vAlign w:val="center"/>
          </w:tcPr>
          <w:p>
            <w:pPr>
              <w:pStyle w:val="16"/>
            </w:pPr>
            <w:r>
              <w:t>984.16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405.20</w:t>
            </w:r>
          </w:p>
        </w:tc>
        <w:tc>
          <w:tcPr>
            <w:tcW w:w="758" w:type="dxa"/>
            <w:vAlign w:val="center"/>
          </w:tcPr>
          <w:p>
            <w:pPr>
              <w:pStyle w:val="12"/>
            </w:pPr>
            <w:r>
              <w:t>405.20</w:t>
            </w:r>
          </w:p>
        </w:tc>
        <w:tc>
          <w:tcPr>
            <w:tcW w:w="758" w:type="dxa"/>
            <w:vAlign w:val="center"/>
          </w:tcPr>
          <w:p>
            <w:pPr>
              <w:pStyle w:val="12"/>
            </w:pPr>
            <w:r>
              <w:t>405.20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20113</w:t>
            </w:r>
          </w:p>
        </w:tc>
        <w:tc>
          <w:tcPr>
            <w:tcW w:w="758" w:type="dxa"/>
            <w:vAlign w:val="center"/>
          </w:tcPr>
          <w:p>
            <w:pPr>
              <w:pStyle w:val="13"/>
            </w:pPr>
            <w:r>
              <w:t>商贸事务</w:t>
            </w:r>
          </w:p>
        </w:tc>
        <w:tc>
          <w:tcPr>
            <w:tcW w:w="758" w:type="dxa"/>
            <w:vAlign w:val="center"/>
          </w:tcPr>
          <w:p>
            <w:pPr>
              <w:pStyle w:val="12"/>
            </w:pPr>
            <w:r>
              <w:t>405.20</w:t>
            </w:r>
          </w:p>
        </w:tc>
        <w:tc>
          <w:tcPr>
            <w:tcW w:w="758" w:type="dxa"/>
            <w:vAlign w:val="center"/>
          </w:tcPr>
          <w:p>
            <w:pPr>
              <w:pStyle w:val="12"/>
            </w:pPr>
            <w:r>
              <w:t>405.20</w:t>
            </w:r>
          </w:p>
        </w:tc>
        <w:tc>
          <w:tcPr>
            <w:tcW w:w="758" w:type="dxa"/>
            <w:vAlign w:val="center"/>
          </w:tcPr>
          <w:p>
            <w:pPr>
              <w:pStyle w:val="12"/>
            </w:pPr>
            <w:r>
              <w:t>405.20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2011304</w:t>
            </w:r>
          </w:p>
        </w:tc>
        <w:tc>
          <w:tcPr>
            <w:tcW w:w="758" w:type="dxa"/>
            <w:vAlign w:val="center"/>
          </w:tcPr>
          <w:p>
            <w:pPr>
              <w:pStyle w:val="13"/>
            </w:pPr>
            <w:r>
              <w:t>对外贸易管理</w:t>
            </w:r>
          </w:p>
        </w:tc>
        <w:tc>
          <w:tcPr>
            <w:tcW w:w="758" w:type="dxa"/>
            <w:vAlign w:val="center"/>
          </w:tcPr>
          <w:p>
            <w:pPr>
              <w:pStyle w:val="12"/>
            </w:pPr>
            <w:r>
              <w:t>52.40</w:t>
            </w:r>
          </w:p>
        </w:tc>
        <w:tc>
          <w:tcPr>
            <w:tcW w:w="758" w:type="dxa"/>
            <w:vAlign w:val="center"/>
          </w:tcPr>
          <w:p>
            <w:pPr>
              <w:pStyle w:val="12"/>
            </w:pPr>
            <w:r>
              <w:t>52.40</w:t>
            </w:r>
          </w:p>
        </w:tc>
        <w:tc>
          <w:tcPr>
            <w:tcW w:w="758" w:type="dxa"/>
            <w:vAlign w:val="center"/>
          </w:tcPr>
          <w:p>
            <w:pPr>
              <w:pStyle w:val="12"/>
            </w:pPr>
            <w:r>
              <w:t>52.40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2011307</w:t>
            </w:r>
          </w:p>
        </w:tc>
        <w:tc>
          <w:tcPr>
            <w:tcW w:w="758" w:type="dxa"/>
            <w:vAlign w:val="center"/>
          </w:tcPr>
          <w:p>
            <w:pPr>
              <w:pStyle w:val="13"/>
            </w:pPr>
            <w:r>
              <w:t>国内贸易管理</w:t>
            </w:r>
          </w:p>
        </w:tc>
        <w:tc>
          <w:tcPr>
            <w:tcW w:w="758" w:type="dxa"/>
            <w:vAlign w:val="center"/>
          </w:tcPr>
          <w:p>
            <w:pPr>
              <w:pStyle w:val="12"/>
            </w:pPr>
            <w:r>
              <w:t>58.00</w:t>
            </w:r>
          </w:p>
        </w:tc>
        <w:tc>
          <w:tcPr>
            <w:tcW w:w="758" w:type="dxa"/>
            <w:vAlign w:val="center"/>
          </w:tcPr>
          <w:p>
            <w:pPr>
              <w:pStyle w:val="12"/>
            </w:pPr>
            <w:r>
              <w:t>58.00</w:t>
            </w:r>
          </w:p>
        </w:tc>
        <w:tc>
          <w:tcPr>
            <w:tcW w:w="758" w:type="dxa"/>
            <w:vAlign w:val="center"/>
          </w:tcPr>
          <w:p>
            <w:pPr>
              <w:pStyle w:val="12"/>
            </w:pPr>
            <w:r>
              <w:t>58.00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2011308</w:t>
            </w:r>
          </w:p>
        </w:tc>
        <w:tc>
          <w:tcPr>
            <w:tcW w:w="758" w:type="dxa"/>
            <w:vAlign w:val="center"/>
          </w:tcPr>
          <w:p>
            <w:pPr>
              <w:pStyle w:val="13"/>
            </w:pPr>
            <w:r>
              <w:t>招商引资</w:t>
            </w:r>
          </w:p>
        </w:tc>
        <w:tc>
          <w:tcPr>
            <w:tcW w:w="758" w:type="dxa"/>
            <w:vAlign w:val="center"/>
          </w:tcPr>
          <w:p>
            <w:pPr>
              <w:pStyle w:val="12"/>
            </w:pPr>
            <w:r>
              <w:t>266.00</w:t>
            </w:r>
          </w:p>
        </w:tc>
        <w:tc>
          <w:tcPr>
            <w:tcW w:w="758" w:type="dxa"/>
            <w:vAlign w:val="center"/>
          </w:tcPr>
          <w:p>
            <w:pPr>
              <w:pStyle w:val="12"/>
            </w:pPr>
            <w:r>
              <w:t>266.00</w:t>
            </w:r>
          </w:p>
        </w:tc>
        <w:tc>
          <w:tcPr>
            <w:tcW w:w="758" w:type="dxa"/>
            <w:vAlign w:val="center"/>
          </w:tcPr>
          <w:p>
            <w:pPr>
              <w:pStyle w:val="12"/>
            </w:pPr>
            <w:r>
              <w:t>266.00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2011399</w:t>
            </w:r>
          </w:p>
        </w:tc>
        <w:tc>
          <w:tcPr>
            <w:tcW w:w="758" w:type="dxa"/>
            <w:vAlign w:val="center"/>
          </w:tcPr>
          <w:p>
            <w:pPr>
              <w:pStyle w:val="13"/>
            </w:pPr>
            <w:r>
              <w:t>其他商贸事务支出</w:t>
            </w:r>
          </w:p>
        </w:tc>
        <w:tc>
          <w:tcPr>
            <w:tcW w:w="758" w:type="dxa"/>
            <w:vAlign w:val="center"/>
          </w:tcPr>
          <w:p>
            <w:pPr>
              <w:pStyle w:val="12"/>
            </w:pPr>
            <w:r>
              <w:t>28.80</w:t>
            </w:r>
          </w:p>
        </w:tc>
        <w:tc>
          <w:tcPr>
            <w:tcW w:w="758" w:type="dxa"/>
            <w:vAlign w:val="center"/>
          </w:tcPr>
          <w:p>
            <w:pPr>
              <w:pStyle w:val="12"/>
            </w:pPr>
            <w:r>
              <w:t>28.80</w:t>
            </w:r>
          </w:p>
        </w:tc>
        <w:tc>
          <w:tcPr>
            <w:tcW w:w="758" w:type="dxa"/>
            <w:vAlign w:val="center"/>
          </w:tcPr>
          <w:p>
            <w:pPr>
              <w:pStyle w:val="12"/>
            </w:pPr>
            <w:r>
              <w:t>28.80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36.04</w:t>
            </w:r>
          </w:p>
        </w:tc>
        <w:tc>
          <w:tcPr>
            <w:tcW w:w="758" w:type="dxa"/>
            <w:vAlign w:val="center"/>
          </w:tcPr>
          <w:p>
            <w:pPr>
              <w:pStyle w:val="12"/>
            </w:pPr>
            <w:r>
              <w:t>36.04</w:t>
            </w:r>
          </w:p>
        </w:tc>
        <w:tc>
          <w:tcPr>
            <w:tcW w:w="758" w:type="dxa"/>
            <w:vAlign w:val="center"/>
          </w:tcPr>
          <w:p>
            <w:pPr>
              <w:pStyle w:val="12"/>
            </w:pPr>
            <w:r>
              <w:t>36.04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36.04</w:t>
            </w:r>
          </w:p>
        </w:tc>
        <w:tc>
          <w:tcPr>
            <w:tcW w:w="758" w:type="dxa"/>
            <w:vAlign w:val="center"/>
          </w:tcPr>
          <w:p>
            <w:pPr>
              <w:pStyle w:val="12"/>
            </w:pPr>
            <w:r>
              <w:t>36.04</w:t>
            </w:r>
          </w:p>
        </w:tc>
        <w:tc>
          <w:tcPr>
            <w:tcW w:w="758" w:type="dxa"/>
            <w:vAlign w:val="center"/>
          </w:tcPr>
          <w:p>
            <w:pPr>
              <w:pStyle w:val="12"/>
            </w:pPr>
            <w:r>
              <w:t>36.04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18.04</w:t>
            </w:r>
          </w:p>
        </w:tc>
        <w:tc>
          <w:tcPr>
            <w:tcW w:w="758" w:type="dxa"/>
            <w:vAlign w:val="center"/>
          </w:tcPr>
          <w:p>
            <w:pPr>
              <w:pStyle w:val="12"/>
            </w:pPr>
            <w:r>
              <w:t>18.04</w:t>
            </w:r>
          </w:p>
        </w:tc>
        <w:tc>
          <w:tcPr>
            <w:tcW w:w="758" w:type="dxa"/>
            <w:vAlign w:val="center"/>
          </w:tcPr>
          <w:p>
            <w:pPr>
              <w:pStyle w:val="12"/>
            </w:pPr>
            <w:r>
              <w:t>18.04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758" w:type="dxa"/>
            <w:vAlign w:val="center"/>
          </w:tcPr>
          <w:p>
            <w:pPr>
              <w:pStyle w:val="12"/>
            </w:pPr>
            <w:r>
              <w:t>18.00</w:t>
            </w:r>
          </w:p>
        </w:tc>
        <w:tc>
          <w:tcPr>
            <w:tcW w:w="758" w:type="dxa"/>
            <w:vAlign w:val="center"/>
          </w:tcPr>
          <w:p>
            <w:pPr>
              <w:pStyle w:val="12"/>
            </w:pPr>
            <w:r>
              <w:t>18.00</w:t>
            </w:r>
          </w:p>
        </w:tc>
        <w:tc>
          <w:tcPr>
            <w:tcW w:w="758" w:type="dxa"/>
            <w:vAlign w:val="center"/>
          </w:tcPr>
          <w:p>
            <w:pPr>
              <w:pStyle w:val="12"/>
            </w:pPr>
            <w:r>
              <w:t>18.00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r>
              <w:t>9.04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216</w:t>
            </w:r>
          </w:p>
        </w:tc>
        <w:tc>
          <w:tcPr>
            <w:tcW w:w="758" w:type="dxa"/>
            <w:vAlign w:val="center"/>
          </w:tcPr>
          <w:p>
            <w:pPr>
              <w:pStyle w:val="13"/>
            </w:pPr>
            <w:r>
              <w:t>商业服务业等支出</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21602</w:t>
            </w:r>
          </w:p>
        </w:tc>
        <w:tc>
          <w:tcPr>
            <w:tcW w:w="758" w:type="dxa"/>
            <w:vAlign w:val="center"/>
          </w:tcPr>
          <w:p>
            <w:pPr>
              <w:pStyle w:val="13"/>
            </w:pPr>
            <w:r>
              <w:t>商业流通事务</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2160299</w:t>
            </w:r>
          </w:p>
        </w:tc>
        <w:tc>
          <w:tcPr>
            <w:tcW w:w="758" w:type="dxa"/>
            <w:vAlign w:val="center"/>
          </w:tcPr>
          <w:p>
            <w:pPr>
              <w:pStyle w:val="13"/>
            </w:pPr>
            <w:r>
              <w:t>其他商业流通事务支出</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r>
              <w:t>519.16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r>
              <w:t>14.72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984.16</w:t>
            </w:r>
          </w:p>
        </w:tc>
        <w:tc>
          <w:tcPr>
            <w:tcW w:w="1095" w:type="dxa"/>
            <w:vAlign w:val="center"/>
          </w:tcPr>
          <w:p>
            <w:pPr>
              <w:pStyle w:val="16"/>
            </w:pPr>
            <w:r>
              <w:t>218.96</w:t>
            </w:r>
          </w:p>
        </w:tc>
        <w:tc>
          <w:tcPr>
            <w:tcW w:w="1095" w:type="dxa"/>
            <w:vAlign w:val="center"/>
          </w:tcPr>
          <w:p>
            <w:pPr>
              <w:pStyle w:val="16"/>
            </w:pPr>
            <w:r>
              <w:t>765.20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405.20</w:t>
            </w:r>
          </w:p>
        </w:tc>
        <w:tc>
          <w:tcPr>
            <w:tcW w:w="1095" w:type="dxa"/>
            <w:vAlign w:val="center"/>
          </w:tcPr>
          <w:p>
            <w:pPr>
              <w:pStyle w:val="12"/>
            </w:pPr>
          </w:p>
        </w:tc>
        <w:tc>
          <w:tcPr>
            <w:tcW w:w="1095" w:type="dxa"/>
            <w:vAlign w:val="center"/>
          </w:tcPr>
          <w:p>
            <w:pPr>
              <w:pStyle w:val="12"/>
            </w:pPr>
            <w:r>
              <w:t>405.20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20113</w:t>
            </w:r>
          </w:p>
        </w:tc>
        <w:tc>
          <w:tcPr>
            <w:tcW w:w="1095" w:type="dxa"/>
            <w:vAlign w:val="center"/>
          </w:tcPr>
          <w:p>
            <w:pPr>
              <w:pStyle w:val="13"/>
            </w:pPr>
            <w:r>
              <w:t>商贸事务</w:t>
            </w:r>
          </w:p>
        </w:tc>
        <w:tc>
          <w:tcPr>
            <w:tcW w:w="1095" w:type="dxa"/>
            <w:vAlign w:val="center"/>
          </w:tcPr>
          <w:p>
            <w:pPr>
              <w:pStyle w:val="12"/>
            </w:pPr>
            <w:r>
              <w:t>405.20</w:t>
            </w:r>
          </w:p>
        </w:tc>
        <w:tc>
          <w:tcPr>
            <w:tcW w:w="1095" w:type="dxa"/>
            <w:vAlign w:val="center"/>
          </w:tcPr>
          <w:p>
            <w:pPr>
              <w:pStyle w:val="12"/>
            </w:pPr>
          </w:p>
        </w:tc>
        <w:tc>
          <w:tcPr>
            <w:tcW w:w="1095" w:type="dxa"/>
            <w:vAlign w:val="center"/>
          </w:tcPr>
          <w:p>
            <w:pPr>
              <w:pStyle w:val="12"/>
            </w:pPr>
            <w:r>
              <w:t>405.20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2011304</w:t>
            </w:r>
          </w:p>
        </w:tc>
        <w:tc>
          <w:tcPr>
            <w:tcW w:w="1095" w:type="dxa"/>
            <w:vAlign w:val="center"/>
          </w:tcPr>
          <w:p>
            <w:pPr>
              <w:pStyle w:val="13"/>
            </w:pPr>
            <w:r>
              <w:t>对外贸易管理</w:t>
            </w:r>
          </w:p>
        </w:tc>
        <w:tc>
          <w:tcPr>
            <w:tcW w:w="1095" w:type="dxa"/>
            <w:vAlign w:val="center"/>
          </w:tcPr>
          <w:p>
            <w:pPr>
              <w:pStyle w:val="12"/>
            </w:pPr>
            <w:r>
              <w:t>52.40</w:t>
            </w:r>
          </w:p>
        </w:tc>
        <w:tc>
          <w:tcPr>
            <w:tcW w:w="1095" w:type="dxa"/>
            <w:vAlign w:val="center"/>
          </w:tcPr>
          <w:p>
            <w:pPr>
              <w:pStyle w:val="12"/>
            </w:pPr>
          </w:p>
        </w:tc>
        <w:tc>
          <w:tcPr>
            <w:tcW w:w="1095" w:type="dxa"/>
            <w:vAlign w:val="center"/>
          </w:tcPr>
          <w:p>
            <w:pPr>
              <w:pStyle w:val="12"/>
            </w:pPr>
            <w:r>
              <w:t>52.40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2011307</w:t>
            </w:r>
          </w:p>
        </w:tc>
        <w:tc>
          <w:tcPr>
            <w:tcW w:w="1095" w:type="dxa"/>
            <w:vAlign w:val="center"/>
          </w:tcPr>
          <w:p>
            <w:pPr>
              <w:pStyle w:val="13"/>
            </w:pPr>
            <w:r>
              <w:t>国内贸易管理</w:t>
            </w:r>
          </w:p>
        </w:tc>
        <w:tc>
          <w:tcPr>
            <w:tcW w:w="1095" w:type="dxa"/>
            <w:vAlign w:val="center"/>
          </w:tcPr>
          <w:p>
            <w:pPr>
              <w:pStyle w:val="12"/>
            </w:pPr>
            <w:r>
              <w:t>58.00</w:t>
            </w:r>
          </w:p>
        </w:tc>
        <w:tc>
          <w:tcPr>
            <w:tcW w:w="1095" w:type="dxa"/>
            <w:vAlign w:val="center"/>
          </w:tcPr>
          <w:p>
            <w:pPr>
              <w:pStyle w:val="12"/>
            </w:pPr>
          </w:p>
        </w:tc>
        <w:tc>
          <w:tcPr>
            <w:tcW w:w="1095" w:type="dxa"/>
            <w:vAlign w:val="center"/>
          </w:tcPr>
          <w:p>
            <w:pPr>
              <w:pStyle w:val="12"/>
            </w:pPr>
            <w:r>
              <w:t>58.00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2011308</w:t>
            </w:r>
          </w:p>
        </w:tc>
        <w:tc>
          <w:tcPr>
            <w:tcW w:w="1095" w:type="dxa"/>
            <w:vAlign w:val="center"/>
          </w:tcPr>
          <w:p>
            <w:pPr>
              <w:pStyle w:val="13"/>
            </w:pPr>
            <w:r>
              <w:t>招商引资</w:t>
            </w:r>
          </w:p>
        </w:tc>
        <w:tc>
          <w:tcPr>
            <w:tcW w:w="1095" w:type="dxa"/>
            <w:vAlign w:val="center"/>
          </w:tcPr>
          <w:p>
            <w:pPr>
              <w:pStyle w:val="12"/>
            </w:pPr>
            <w:r>
              <w:t>266.00</w:t>
            </w:r>
          </w:p>
        </w:tc>
        <w:tc>
          <w:tcPr>
            <w:tcW w:w="1095" w:type="dxa"/>
            <w:vAlign w:val="center"/>
          </w:tcPr>
          <w:p>
            <w:pPr>
              <w:pStyle w:val="12"/>
            </w:pPr>
          </w:p>
        </w:tc>
        <w:tc>
          <w:tcPr>
            <w:tcW w:w="1095" w:type="dxa"/>
            <w:vAlign w:val="center"/>
          </w:tcPr>
          <w:p>
            <w:pPr>
              <w:pStyle w:val="12"/>
            </w:pPr>
            <w:r>
              <w:t>266.00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2011399</w:t>
            </w:r>
          </w:p>
        </w:tc>
        <w:tc>
          <w:tcPr>
            <w:tcW w:w="1095" w:type="dxa"/>
            <w:vAlign w:val="center"/>
          </w:tcPr>
          <w:p>
            <w:pPr>
              <w:pStyle w:val="13"/>
            </w:pPr>
            <w:r>
              <w:t>其他商贸事务支出</w:t>
            </w:r>
          </w:p>
        </w:tc>
        <w:tc>
          <w:tcPr>
            <w:tcW w:w="1095" w:type="dxa"/>
            <w:vAlign w:val="center"/>
          </w:tcPr>
          <w:p>
            <w:pPr>
              <w:pStyle w:val="12"/>
            </w:pPr>
            <w:r>
              <w:t>28.80</w:t>
            </w:r>
          </w:p>
        </w:tc>
        <w:tc>
          <w:tcPr>
            <w:tcW w:w="1095" w:type="dxa"/>
            <w:vAlign w:val="center"/>
          </w:tcPr>
          <w:p>
            <w:pPr>
              <w:pStyle w:val="12"/>
            </w:pPr>
          </w:p>
        </w:tc>
        <w:tc>
          <w:tcPr>
            <w:tcW w:w="1095" w:type="dxa"/>
            <w:vAlign w:val="center"/>
          </w:tcPr>
          <w:p>
            <w:pPr>
              <w:pStyle w:val="12"/>
            </w:pPr>
            <w:r>
              <w:t>28.80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36.04</w:t>
            </w:r>
          </w:p>
        </w:tc>
        <w:tc>
          <w:tcPr>
            <w:tcW w:w="1095" w:type="dxa"/>
            <w:vAlign w:val="center"/>
          </w:tcPr>
          <w:p>
            <w:pPr>
              <w:pStyle w:val="12"/>
            </w:pPr>
            <w:r>
              <w:t>36.04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36.04</w:t>
            </w:r>
          </w:p>
        </w:tc>
        <w:tc>
          <w:tcPr>
            <w:tcW w:w="1095" w:type="dxa"/>
            <w:vAlign w:val="center"/>
          </w:tcPr>
          <w:p>
            <w:pPr>
              <w:pStyle w:val="12"/>
            </w:pPr>
            <w:r>
              <w:t>36.04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18.04</w:t>
            </w:r>
          </w:p>
        </w:tc>
        <w:tc>
          <w:tcPr>
            <w:tcW w:w="1095" w:type="dxa"/>
            <w:vAlign w:val="center"/>
          </w:tcPr>
          <w:p>
            <w:pPr>
              <w:pStyle w:val="12"/>
            </w:pPr>
            <w:r>
              <w:t>18.04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2080506</w:t>
            </w:r>
          </w:p>
        </w:tc>
        <w:tc>
          <w:tcPr>
            <w:tcW w:w="1095" w:type="dxa"/>
            <w:vAlign w:val="center"/>
          </w:tcPr>
          <w:p>
            <w:pPr>
              <w:pStyle w:val="13"/>
            </w:pPr>
            <w:r>
              <w:t>机关事业单位职业年金缴费支出</w:t>
            </w:r>
          </w:p>
        </w:tc>
        <w:tc>
          <w:tcPr>
            <w:tcW w:w="1095" w:type="dxa"/>
            <w:vAlign w:val="center"/>
          </w:tcPr>
          <w:p>
            <w:pPr>
              <w:pStyle w:val="12"/>
            </w:pPr>
            <w:r>
              <w:t>18.00</w:t>
            </w:r>
          </w:p>
        </w:tc>
        <w:tc>
          <w:tcPr>
            <w:tcW w:w="1095" w:type="dxa"/>
            <w:vAlign w:val="center"/>
          </w:tcPr>
          <w:p>
            <w:pPr>
              <w:pStyle w:val="12"/>
            </w:pPr>
            <w:r>
              <w:t>18.00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9.04</w:t>
            </w:r>
          </w:p>
        </w:tc>
        <w:tc>
          <w:tcPr>
            <w:tcW w:w="1095" w:type="dxa"/>
            <w:vAlign w:val="center"/>
          </w:tcPr>
          <w:p>
            <w:pPr>
              <w:pStyle w:val="12"/>
            </w:pPr>
            <w:r>
              <w:t>9.04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9.04</w:t>
            </w:r>
          </w:p>
        </w:tc>
        <w:tc>
          <w:tcPr>
            <w:tcW w:w="1095" w:type="dxa"/>
            <w:vAlign w:val="center"/>
          </w:tcPr>
          <w:p>
            <w:pPr>
              <w:pStyle w:val="12"/>
            </w:pPr>
            <w:r>
              <w:t>9.04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9.04</w:t>
            </w:r>
          </w:p>
        </w:tc>
        <w:tc>
          <w:tcPr>
            <w:tcW w:w="1095" w:type="dxa"/>
            <w:vAlign w:val="center"/>
          </w:tcPr>
          <w:p>
            <w:pPr>
              <w:pStyle w:val="12"/>
            </w:pPr>
            <w:r>
              <w:t>9.04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216</w:t>
            </w:r>
          </w:p>
        </w:tc>
        <w:tc>
          <w:tcPr>
            <w:tcW w:w="1095" w:type="dxa"/>
            <w:vAlign w:val="center"/>
          </w:tcPr>
          <w:p>
            <w:pPr>
              <w:pStyle w:val="13"/>
            </w:pPr>
            <w:r>
              <w:t>商业服务业等支出</w:t>
            </w:r>
          </w:p>
        </w:tc>
        <w:tc>
          <w:tcPr>
            <w:tcW w:w="1095" w:type="dxa"/>
            <w:vAlign w:val="center"/>
          </w:tcPr>
          <w:p>
            <w:pPr>
              <w:pStyle w:val="12"/>
            </w:pPr>
            <w:r>
              <w:t>519.16</w:t>
            </w:r>
          </w:p>
        </w:tc>
        <w:tc>
          <w:tcPr>
            <w:tcW w:w="1095" w:type="dxa"/>
            <w:vAlign w:val="center"/>
          </w:tcPr>
          <w:p>
            <w:pPr>
              <w:pStyle w:val="12"/>
            </w:pPr>
            <w:r>
              <w:t>159.16</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21602</w:t>
            </w:r>
          </w:p>
        </w:tc>
        <w:tc>
          <w:tcPr>
            <w:tcW w:w="1095" w:type="dxa"/>
            <w:vAlign w:val="center"/>
          </w:tcPr>
          <w:p>
            <w:pPr>
              <w:pStyle w:val="13"/>
            </w:pPr>
            <w:r>
              <w:t>商业流通事务</w:t>
            </w:r>
          </w:p>
        </w:tc>
        <w:tc>
          <w:tcPr>
            <w:tcW w:w="1095" w:type="dxa"/>
            <w:vAlign w:val="center"/>
          </w:tcPr>
          <w:p>
            <w:pPr>
              <w:pStyle w:val="12"/>
            </w:pPr>
            <w:r>
              <w:t>519.16</w:t>
            </w:r>
          </w:p>
        </w:tc>
        <w:tc>
          <w:tcPr>
            <w:tcW w:w="1095" w:type="dxa"/>
            <w:vAlign w:val="center"/>
          </w:tcPr>
          <w:p>
            <w:pPr>
              <w:pStyle w:val="12"/>
            </w:pPr>
            <w:r>
              <w:t>159.16</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2160299</w:t>
            </w:r>
          </w:p>
        </w:tc>
        <w:tc>
          <w:tcPr>
            <w:tcW w:w="1095" w:type="dxa"/>
            <w:vAlign w:val="center"/>
          </w:tcPr>
          <w:p>
            <w:pPr>
              <w:pStyle w:val="13"/>
            </w:pPr>
            <w:r>
              <w:t>其他商业流通事务支出</w:t>
            </w:r>
          </w:p>
        </w:tc>
        <w:tc>
          <w:tcPr>
            <w:tcW w:w="1095" w:type="dxa"/>
            <w:vAlign w:val="center"/>
          </w:tcPr>
          <w:p>
            <w:pPr>
              <w:pStyle w:val="12"/>
            </w:pPr>
            <w:r>
              <w:t>519.16</w:t>
            </w:r>
          </w:p>
        </w:tc>
        <w:tc>
          <w:tcPr>
            <w:tcW w:w="1095" w:type="dxa"/>
            <w:vAlign w:val="center"/>
          </w:tcPr>
          <w:p>
            <w:pPr>
              <w:pStyle w:val="12"/>
            </w:pPr>
            <w:r>
              <w:t>159.16</w:t>
            </w:r>
          </w:p>
        </w:tc>
        <w:tc>
          <w:tcPr>
            <w:tcW w:w="1095" w:type="dxa"/>
            <w:vAlign w:val="center"/>
          </w:tcPr>
          <w:p>
            <w:pPr>
              <w:pStyle w:val="12"/>
            </w:pPr>
            <w:r>
              <w:t>360.00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14.72</w:t>
            </w:r>
          </w:p>
        </w:tc>
        <w:tc>
          <w:tcPr>
            <w:tcW w:w="1095" w:type="dxa"/>
            <w:vAlign w:val="center"/>
          </w:tcPr>
          <w:p>
            <w:pPr>
              <w:pStyle w:val="12"/>
            </w:pPr>
            <w:r>
              <w:t>14.72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14.72</w:t>
            </w:r>
          </w:p>
        </w:tc>
        <w:tc>
          <w:tcPr>
            <w:tcW w:w="1095" w:type="dxa"/>
            <w:vAlign w:val="center"/>
          </w:tcPr>
          <w:p>
            <w:pPr>
              <w:pStyle w:val="12"/>
            </w:pPr>
            <w:r>
              <w:t>14.72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14.72</w:t>
            </w:r>
          </w:p>
        </w:tc>
        <w:tc>
          <w:tcPr>
            <w:tcW w:w="1095" w:type="dxa"/>
            <w:vAlign w:val="center"/>
          </w:tcPr>
          <w:p>
            <w:pPr>
              <w:pStyle w:val="12"/>
            </w:pPr>
            <w:r>
              <w:t>14.72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984.16</w:t>
            </w:r>
          </w:p>
        </w:tc>
        <w:tc>
          <w:tcPr>
            <w:tcW w:w="1232" w:type="dxa"/>
            <w:vAlign w:val="center"/>
          </w:tcPr>
          <w:p>
            <w:pPr>
              <w:pStyle w:val="13"/>
            </w:pPr>
            <w:r>
              <w:t>一、一般公共服务支出</w:t>
            </w:r>
          </w:p>
        </w:tc>
        <w:tc>
          <w:tcPr>
            <w:tcW w:w="1232" w:type="dxa"/>
            <w:vAlign w:val="center"/>
          </w:tcPr>
          <w:p>
            <w:pPr>
              <w:pStyle w:val="12"/>
            </w:pPr>
            <w:r>
              <w:t>405.20</w:t>
            </w:r>
          </w:p>
        </w:tc>
        <w:tc>
          <w:tcPr>
            <w:tcW w:w="1232" w:type="dxa"/>
            <w:vAlign w:val="center"/>
          </w:tcPr>
          <w:p>
            <w:pPr>
              <w:pStyle w:val="12"/>
            </w:pPr>
            <w:r>
              <w:t>405.20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36.04</w:t>
            </w:r>
          </w:p>
        </w:tc>
        <w:tc>
          <w:tcPr>
            <w:tcW w:w="1232" w:type="dxa"/>
            <w:vAlign w:val="center"/>
          </w:tcPr>
          <w:p>
            <w:pPr>
              <w:pStyle w:val="12"/>
            </w:pPr>
            <w:r>
              <w:t>36.04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9.04</w:t>
            </w:r>
          </w:p>
        </w:tc>
        <w:tc>
          <w:tcPr>
            <w:tcW w:w="1232" w:type="dxa"/>
            <w:vAlign w:val="center"/>
          </w:tcPr>
          <w:p>
            <w:pPr>
              <w:pStyle w:val="12"/>
            </w:pPr>
            <w:r>
              <w:t>9.04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r>
              <w:t>519.16</w:t>
            </w:r>
          </w:p>
        </w:tc>
        <w:tc>
          <w:tcPr>
            <w:tcW w:w="1232" w:type="dxa"/>
            <w:vAlign w:val="center"/>
          </w:tcPr>
          <w:p>
            <w:pPr>
              <w:pStyle w:val="12"/>
            </w:pPr>
            <w:r>
              <w:t>519.16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14.72</w:t>
            </w:r>
          </w:p>
        </w:tc>
        <w:tc>
          <w:tcPr>
            <w:tcW w:w="1232" w:type="dxa"/>
            <w:vAlign w:val="center"/>
          </w:tcPr>
          <w:p>
            <w:pPr>
              <w:pStyle w:val="12"/>
            </w:pPr>
            <w:r>
              <w:t>14.72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984.16</w:t>
            </w:r>
          </w:p>
        </w:tc>
        <w:tc>
          <w:tcPr>
            <w:tcW w:w="1232" w:type="dxa"/>
            <w:vAlign w:val="center"/>
          </w:tcPr>
          <w:p>
            <w:pPr>
              <w:pStyle w:val="15"/>
            </w:pPr>
            <w:r>
              <w:t>本年支出合计</w:t>
            </w:r>
          </w:p>
        </w:tc>
        <w:tc>
          <w:tcPr>
            <w:tcW w:w="1232" w:type="dxa"/>
            <w:vAlign w:val="center"/>
          </w:tcPr>
          <w:p>
            <w:pPr>
              <w:pStyle w:val="16"/>
            </w:pPr>
            <w:r>
              <w:t>984.16</w:t>
            </w:r>
          </w:p>
        </w:tc>
        <w:tc>
          <w:tcPr>
            <w:tcW w:w="1232" w:type="dxa"/>
            <w:vAlign w:val="center"/>
          </w:tcPr>
          <w:p>
            <w:pPr>
              <w:pStyle w:val="16"/>
            </w:pPr>
            <w:r>
              <w:t>984.16</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984.16</w:t>
            </w:r>
          </w:p>
        </w:tc>
        <w:tc>
          <w:tcPr>
            <w:tcW w:w="1232" w:type="dxa"/>
            <w:vAlign w:val="center"/>
          </w:tcPr>
          <w:p>
            <w:pPr>
              <w:pStyle w:val="15"/>
            </w:pPr>
            <w:r>
              <w:t>支出总计</w:t>
            </w:r>
          </w:p>
        </w:tc>
        <w:tc>
          <w:tcPr>
            <w:tcW w:w="1232" w:type="dxa"/>
            <w:vAlign w:val="center"/>
          </w:tcPr>
          <w:p>
            <w:pPr>
              <w:pStyle w:val="16"/>
            </w:pPr>
            <w:r>
              <w:t>984.16</w:t>
            </w:r>
          </w:p>
        </w:tc>
        <w:tc>
          <w:tcPr>
            <w:tcW w:w="1232" w:type="dxa"/>
            <w:vAlign w:val="center"/>
          </w:tcPr>
          <w:p>
            <w:pPr>
              <w:pStyle w:val="16"/>
            </w:pPr>
            <w:r>
              <w:t>984.16</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984.16</w:t>
            </w:r>
          </w:p>
        </w:tc>
        <w:tc>
          <w:tcPr>
            <w:tcW w:w="1643" w:type="dxa"/>
            <w:vAlign w:val="center"/>
          </w:tcPr>
          <w:p>
            <w:pPr>
              <w:pStyle w:val="16"/>
            </w:pPr>
            <w:r>
              <w:t>218.96</w:t>
            </w:r>
          </w:p>
        </w:tc>
        <w:tc>
          <w:tcPr>
            <w:tcW w:w="1643" w:type="dxa"/>
            <w:vAlign w:val="center"/>
          </w:tcPr>
          <w:p>
            <w:pPr>
              <w:pStyle w:val="16"/>
            </w:pPr>
            <w:r>
              <w:t>765.20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405.20</w:t>
            </w:r>
          </w:p>
        </w:tc>
        <w:tc>
          <w:tcPr>
            <w:tcW w:w="1643" w:type="dxa"/>
            <w:vAlign w:val="center"/>
          </w:tcPr>
          <w:p>
            <w:pPr>
              <w:pStyle w:val="12"/>
            </w:pPr>
          </w:p>
        </w:tc>
        <w:tc>
          <w:tcPr>
            <w:tcW w:w="1643" w:type="dxa"/>
            <w:vAlign w:val="center"/>
          </w:tcPr>
          <w:p>
            <w:pPr>
              <w:pStyle w:val="12"/>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20113</w:t>
            </w:r>
          </w:p>
        </w:tc>
        <w:tc>
          <w:tcPr>
            <w:tcW w:w="1643" w:type="dxa"/>
            <w:vAlign w:val="center"/>
          </w:tcPr>
          <w:p>
            <w:pPr>
              <w:pStyle w:val="13"/>
            </w:pPr>
            <w:r>
              <w:t>商贸事务</w:t>
            </w:r>
          </w:p>
        </w:tc>
        <w:tc>
          <w:tcPr>
            <w:tcW w:w="1643" w:type="dxa"/>
            <w:vAlign w:val="center"/>
          </w:tcPr>
          <w:p>
            <w:pPr>
              <w:pStyle w:val="12"/>
            </w:pPr>
            <w:r>
              <w:t>405.20</w:t>
            </w:r>
          </w:p>
        </w:tc>
        <w:tc>
          <w:tcPr>
            <w:tcW w:w="1643" w:type="dxa"/>
            <w:vAlign w:val="center"/>
          </w:tcPr>
          <w:p>
            <w:pPr>
              <w:pStyle w:val="12"/>
            </w:pPr>
          </w:p>
        </w:tc>
        <w:tc>
          <w:tcPr>
            <w:tcW w:w="1643" w:type="dxa"/>
            <w:vAlign w:val="center"/>
          </w:tcPr>
          <w:p>
            <w:pPr>
              <w:pStyle w:val="12"/>
            </w:pPr>
            <w:r>
              <w:t>405.20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2011304</w:t>
            </w:r>
          </w:p>
        </w:tc>
        <w:tc>
          <w:tcPr>
            <w:tcW w:w="1643" w:type="dxa"/>
            <w:vAlign w:val="center"/>
          </w:tcPr>
          <w:p>
            <w:pPr>
              <w:pStyle w:val="13"/>
            </w:pPr>
            <w:r>
              <w:t>对外贸易管理</w:t>
            </w:r>
          </w:p>
        </w:tc>
        <w:tc>
          <w:tcPr>
            <w:tcW w:w="1643" w:type="dxa"/>
            <w:vAlign w:val="center"/>
          </w:tcPr>
          <w:p>
            <w:pPr>
              <w:pStyle w:val="12"/>
            </w:pPr>
            <w:r>
              <w:t>52.40</w:t>
            </w:r>
          </w:p>
        </w:tc>
        <w:tc>
          <w:tcPr>
            <w:tcW w:w="1643" w:type="dxa"/>
            <w:vAlign w:val="center"/>
          </w:tcPr>
          <w:p>
            <w:pPr>
              <w:pStyle w:val="12"/>
            </w:pPr>
          </w:p>
        </w:tc>
        <w:tc>
          <w:tcPr>
            <w:tcW w:w="1643" w:type="dxa"/>
            <w:vAlign w:val="center"/>
          </w:tcPr>
          <w:p>
            <w:pPr>
              <w:pStyle w:val="12"/>
            </w:pPr>
            <w:r>
              <w:t>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2011307</w:t>
            </w:r>
          </w:p>
        </w:tc>
        <w:tc>
          <w:tcPr>
            <w:tcW w:w="1643" w:type="dxa"/>
            <w:vAlign w:val="center"/>
          </w:tcPr>
          <w:p>
            <w:pPr>
              <w:pStyle w:val="13"/>
            </w:pPr>
            <w:r>
              <w:t>国内贸易管理</w:t>
            </w:r>
          </w:p>
        </w:tc>
        <w:tc>
          <w:tcPr>
            <w:tcW w:w="1643" w:type="dxa"/>
            <w:vAlign w:val="center"/>
          </w:tcPr>
          <w:p>
            <w:pPr>
              <w:pStyle w:val="12"/>
            </w:pPr>
            <w:r>
              <w:t>58.00</w:t>
            </w:r>
          </w:p>
        </w:tc>
        <w:tc>
          <w:tcPr>
            <w:tcW w:w="1643" w:type="dxa"/>
            <w:vAlign w:val="center"/>
          </w:tcPr>
          <w:p>
            <w:pPr>
              <w:pStyle w:val="12"/>
            </w:pPr>
          </w:p>
        </w:tc>
        <w:tc>
          <w:tcPr>
            <w:tcW w:w="1643"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2011308</w:t>
            </w:r>
          </w:p>
        </w:tc>
        <w:tc>
          <w:tcPr>
            <w:tcW w:w="1643" w:type="dxa"/>
            <w:vAlign w:val="center"/>
          </w:tcPr>
          <w:p>
            <w:pPr>
              <w:pStyle w:val="13"/>
            </w:pPr>
            <w:r>
              <w:t>招商引资</w:t>
            </w:r>
          </w:p>
        </w:tc>
        <w:tc>
          <w:tcPr>
            <w:tcW w:w="1643" w:type="dxa"/>
            <w:vAlign w:val="center"/>
          </w:tcPr>
          <w:p>
            <w:pPr>
              <w:pStyle w:val="12"/>
            </w:pPr>
            <w:r>
              <w:t>266.00</w:t>
            </w:r>
          </w:p>
        </w:tc>
        <w:tc>
          <w:tcPr>
            <w:tcW w:w="1643" w:type="dxa"/>
            <w:vAlign w:val="center"/>
          </w:tcPr>
          <w:p>
            <w:pPr>
              <w:pStyle w:val="12"/>
            </w:pPr>
          </w:p>
        </w:tc>
        <w:tc>
          <w:tcPr>
            <w:tcW w:w="1643" w:type="dxa"/>
            <w:vAlign w:val="center"/>
          </w:tcPr>
          <w:p>
            <w:pPr>
              <w:pStyle w:val="12"/>
            </w:pPr>
            <w:r>
              <w:t>266.00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2011399</w:t>
            </w:r>
          </w:p>
        </w:tc>
        <w:tc>
          <w:tcPr>
            <w:tcW w:w="1643" w:type="dxa"/>
            <w:vAlign w:val="center"/>
          </w:tcPr>
          <w:p>
            <w:pPr>
              <w:pStyle w:val="13"/>
            </w:pPr>
            <w:r>
              <w:t>其他商贸事务支出</w:t>
            </w:r>
          </w:p>
        </w:tc>
        <w:tc>
          <w:tcPr>
            <w:tcW w:w="1643" w:type="dxa"/>
            <w:vAlign w:val="center"/>
          </w:tcPr>
          <w:p>
            <w:pPr>
              <w:pStyle w:val="12"/>
            </w:pPr>
            <w:r>
              <w:t>28.80</w:t>
            </w:r>
          </w:p>
        </w:tc>
        <w:tc>
          <w:tcPr>
            <w:tcW w:w="1643" w:type="dxa"/>
            <w:vAlign w:val="center"/>
          </w:tcPr>
          <w:p>
            <w:pPr>
              <w:pStyle w:val="12"/>
            </w:pPr>
          </w:p>
        </w:tc>
        <w:tc>
          <w:tcPr>
            <w:tcW w:w="1643" w:type="dxa"/>
            <w:vAlign w:val="center"/>
          </w:tcPr>
          <w:p>
            <w:pPr>
              <w:pStyle w:val="12"/>
            </w:pPr>
            <w:r>
              <w:t>28.80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36.04</w:t>
            </w:r>
          </w:p>
        </w:tc>
        <w:tc>
          <w:tcPr>
            <w:tcW w:w="1643" w:type="dxa"/>
            <w:vAlign w:val="center"/>
          </w:tcPr>
          <w:p>
            <w:pPr>
              <w:pStyle w:val="12"/>
            </w:pPr>
            <w:r>
              <w:t>36.04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36.04</w:t>
            </w:r>
          </w:p>
        </w:tc>
        <w:tc>
          <w:tcPr>
            <w:tcW w:w="1643" w:type="dxa"/>
            <w:vAlign w:val="center"/>
          </w:tcPr>
          <w:p>
            <w:pPr>
              <w:pStyle w:val="12"/>
            </w:pPr>
            <w:r>
              <w:t>36.04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18.04</w:t>
            </w:r>
          </w:p>
        </w:tc>
        <w:tc>
          <w:tcPr>
            <w:tcW w:w="1643" w:type="dxa"/>
            <w:vAlign w:val="center"/>
          </w:tcPr>
          <w:p>
            <w:pPr>
              <w:pStyle w:val="12"/>
            </w:pPr>
            <w:r>
              <w:t>18.04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18.00</w:t>
            </w:r>
          </w:p>
        </w:tc>
        <w:tc>
          <w:tcPr>
            <w:tcW w:w="1643" w:type="dxa"/>
            <w:vAlign w:val="center"/>
          </w:tcPr>
          <w:p>
            <w:pPr>
              <w:pStyle w:val="12"/>
            </w:pPr>
            <w:r>
              <w:t>18.00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9.04</w:t>
            </w:r>
          </w:p>
        </w:tc>
        <w:tc>
          <w:tcPr>
            <w:tcW w:w="1643" w:type="dxa"/>
            <w:vAlign w:val="center"/>
          </w:tcPr>
          <w:p>
            <w:pPr>
              <w:pStyle w:val="12"/>
            </w:pPr>
            <w:r>
              <w:t>9.04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9.04</w:t>
            </w:r>
          </w:p>
        </w:tc>
        <w:tc>
          <w:tcPr>
            <w:tcW w:w="1643" w:type="dxa"/>
            <w:vAlign w:val="center"/>
          </w:tcPr>
          <w:p>
            <w:pPr>
              <w:pStyle w:val="12"/>
            </w:pPr>
            <w:r>
              <w:t>9.04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9.04</w:t>
            </w:r>
          </w:p>
        </w:tc>
        <w:tc>
          <w:tcPr>
            <w:tcW w:w="1643" w:type="dxa"/>
            <w:vAlign w:val="center"/>
          </w:tcPr>
          <w:p>
            <w:pPr>
              <w:pStyle w:val="12"/>
            </w:pPr>
            <w:r>
              <w:t>9.04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216</w:t>
            </w:r>
          </w:p>
        </w:tc>
        <w:tc>
          <w:tcPr>
            <w:tcW w:w="1643" w:type="dxa"/>
            <w:vAlign w:val="center"/>
          </w:tcPr>
          <w:p>
            <w:pPr>
              <w:pStyle w:val="13"/>
            </w:pPr>
            <w:r>
              <w:t>商业服务业等支出</w:t>
            </w:r>
          </w:p>
        </w:tc>
        <w:tc>
          <w:tcPr>
            <w:tcW w:w="1643" w:type="dxa"/>
            <w:vAlign w:val="center"/>
          </w:tcPr>
          <w:p>
            <w:pPr>
              <w:pStyle w:val="12"/>
            </w:pPr>
            <w:r>
              <w:t>519.16</w:t>
            </w:r>
          </w:p>
        </w:tc>
        <w:tc>
          <w:tcPr>
            <w:tcW w:w="1643" w:type="dxa"/>
            <w:vAlign w:val="center"/>
          </w:tcPr>
          <w:p>
            <w:pPr>
              <w:pStyle w:val="12"/>
            </w:pPr>
            <w:r>
              <w:t>159.16</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21602</w:t>
            </w:r>
          </w:p>
        </w:tc>
        <w:tc>
          <w:tcPr>
            <w:tcW w:w="1643" w:type="dxa"/>
            <w:vAlign w:val="center"/>
          </w:tcPr>
          <w:p>
            <w:pPr>
              <w:pStyle w:val="13"/>
            </w:pPr>
            <w:r>
              <w:t>商业流通事务</w:t>
            </w:r>
          </w:p>
        </w:tc>
        <w:tc>
          <w:tcPr>
            <w:tcW w:w="1643" w:type="dxa"/>
            <w:vAlign w:val="center"/>
          </w:tcPr>
          <w:p>
            <w:pPr>
              <w:pStyle w:val="12"/>
            </w:pPr>
            <w:r>
              <w:t>519.16</w:t>
            </w:r>
          </w:p>
        </w:tc>
        <w:tc>
          <w:tcPr>
            <w:tcW w:w="1643" w:type="dxa"/>
            <w:vAlign w:val="center"/>
          </w:tcPr>
          <w:p>
            <w:pPr>
              <w:pStyle w:val="12"/>
            </w:pPr>
            <w:r>
              <w:t>159.16</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2160299</w:t>
            </w:r>
          </w:p>
        </w:tc>
        <w:tc>
          <w:tcPr>
            <w:tcW w:w="1643" w:type="dxa"/>
            <w:vAlign w:val="center"/>
          </w:tcPr>
          <w:p>
            <w:pPr>
              <w:pStyle w:val="13"/>
            </w:pPr>
            <w:r>
              <w:t>其他商业流通事务支出</w:t>
            </w:r>
          </w:p>
        </w:tc>
        <w:tc>
          <w:tcPr>
            <w:tcW w:w="1643" w:type="dxa"/>
            <w:vAlign w:val="center"/>
          </w:tcPr>
          <w:p>
            <w:pPr>
              <w:pStyle w:val="12"/>
            </w:pPr>
            <w:r>
              <w:t>519.16</w:t>
            </w:r>
          </w:p>
        </w:tc>
        <w:tc>
          <w:tcPr>
            <w:tcW w:w="1643" w:type="dxa"/>
            <w:vAlign w:val="center"/>
          </w:tcPr>
          <w:p>
            <w:pPr>
              <w:pStyle w:val="12"/>
            </w:pPr>
            <w:r>
              <w:t>159.16</w:t>
            </w:r>
          </w:p>
        </w:tc>
        <w:tc>
          <w:tcPr>
            <w:tcW w:w="1643" w:type="dxa"/>
            <w:vAlign w:val="center"/>
          </w:tcPr>
          <w:p>
            <w:pPr>
              <w:pStyle w:val="12"/>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14.72</w:t>
            </w:r>
          </w:p>
        </w:tc>
        <w:tc>
          <w:tcPr>
            <w:tcW w:w="1643" w:type="dxa"/>
            <w:vAlign w:val="center"/>
          </w:tcPr>
          <w:p>
            <w:pPr>
              <w:pStyle w:val="12"/>
            </w:pPr>
            <w:r>
              <w:t>14.72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14.72</w:t>
            </w:r>
          </w:p>
        </w:tc>
        <w:tc>
          <w:tcPr>
            <w:tcW w:w="1643" w:type="dxa"/>
            <w:vAlign w:val="center"/>
          </w:tcPr>
          <w:p>
            <w:pPr>
              <w:pStyle w:val="12"/>
            </w:pPr>
            <w:r>
              <w:t>14.72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14.72</w:t>
            </w:r>
          </w:p>
        </w:tc>
        <w:tc>
          <w:tcPr>
            <w:tcW w:w="1643" w:type="dxa"/>
            <w:vAlign w:val="center"/>
          </w:tcPr>
          <w:p>
            <w:pPr>
              <w:pStyle w:val="12"/>
            </w:pPr>
            <w:r>
              <w:t>14.72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218.96</w:t>
            </w:r>
          </w:p>
        </w:tc>
        <w:tc>
          <w:tcPr>
            <w:tcW w:w="1643" w:type="dxa"/>
            <w:vAlign w:val="center"/>
          </w:tcPr>
          <w:p>
            <w:pPr>
              <w:pStyle w:val="16"/>
            </w:pPr>
            <w:r>
              <w:t>200.19</w:t>
            </w:r>
          </w:p>
        </w:tc>
        <w:tc>
          <w:tcPr>
            <w:tcW w:w="1643" w:type="dxa"/>
            <w:vAlign w:val="center"/>
          </w:tcPr>
          <w:p>
            <w:pPr>
              <w:pStyle w:val="16"/>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200.19</w:t>
            </w:r>
          </w:p>
        </w:tc>
        <w:tc>
          <w:tcPr>
            <w:tcW w:w="1643" w:type="dxa"/>
            <w:vAlign w:val="center"/>
          </w:tcPr>
          <w:p>
            <w:pPr>
              <w:pStyle w:val="12"/>
            </w:pPr>
            <w:r>
              <w:t>200.19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81.40</w:t>
            </w:r>
          </w:p>
        </w:tc>
        <w:tc>
          <w:tcPr>
            <w:tcW w:w="1643" w:type="dxa"/>
            <w:vAlign w:val="center"/>
          </w:tcPr>
          <w:p>
            <w:pPr>
              <w:pStyle w:val="12"/>
            </w:pPr>
            <w:r>
              <w:t>81.40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15.21</w:t>
            </w:r>
          </w:p>
        </w:tc>
        <w:tc>
          <w:tcPr>
            <w:tcW w:w="1643" w:type="dxa"/>
            <w:vAlign w:val="center"/>
          </w:tcPr>
          <w:p>
            <w:pPr>
              <w:pStyle w:val="12"/>
            </w:pPr>
            <w:r>
              <w:t>15.21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13.86</w:t>
            </w:r>
          </w:p>
        </w:tc>
        <w:tc>
          <w:tcPr>
            <w:tcW w:w="1643" w:type="dxa"/>
            <w:vAlign w:val="center"/>
          </w:tcPr>
          <w:p>
            <w:pPr>
              <w:pStyle w:val="12"/>
            </w:pPr>
            <w:r>
              <w:t>13.86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29.36</w:t>
            </w:r>
          </w:p>
        </w:tc>
        <w:tc>
          <w:tcPr>
            <w:tcW w:w="1643" w:type="dxa"/>
            <w:vAlign w:val="center"/>
          </w:tcPr>
          <w:p>
            <w:pPr>
              <w:pStyle w:val="12"/>
            </w:pPr>
            <w:r>
              <w:t>29.36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18.04</w:t>
            </w:r>
          </w:p>
        </w:tc>
        <w:tc>
          <w:tcPr>
            <w:tcW w:w="1643" w:type="dxa"/>
            <w:vAlign w:val="center"/>
          </w:tcPr>
          <w:p>
            <w:pPr>
              <w:pStyle w:val="12"/>
            </w:pPr>
            <w:r>
              <w:t>18.04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1643" w:type="dxa"/>
            <w:vAlign w:val="center"/>
          </w:tcPr>
          <w:p>
            <w:pPr>
              <w:pStyle w:val="12"/>
            </w:pPr>
            <w:r>
              <w:t>18.00</w:t>
            </w:r>
          </w:p>
        </w:tc>
        <w:tc>
          <w:tcPr>
            <w:tcW w:w="1643" w:type="dxa"/>
            <w:vAlign w:val="center"/>
          </w:tcPr>
          <w:p>
            <w:pPr>
              <w:pStyle w:val="12"/>
            </w:pPr>
            <w:r>
              <w:t>18.00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9.04</w:t>
            </w:r>
          </w:p>
        </w:tc>
        <w:tc>
          <w:tcPr>
            <w:tcW w:w="1643" w:type="dxa"/>
            <w:vAlign w:val="center"/>
          </w:tcPr>
          <w:p>
            <w:pPr>
              <w:pStyle w:val="12"/>
            </w:pPr>
            <w:r>
              <w:t>9.04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0.56</w:t>
            </w:r>
          </w:p>
        </w:tc>
        <w:tc>
          <w:tcPr>
            <w:tcW w:w="1643" w:type="dxa"/>
            <w:vAlign w:val="center"/>
          </w:tcPr>
          <w:p>
            <w:pPr>
              <w:pStyle w:val="12"/>
            </w:pPr>
            <w:r>
              <w:t>0.56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14.72</w:t>
            </w:r>
          </w:p>
        </w:tc>
        <w:tc>
          <w:tcPr>
            <w:tcW w:w="1643" w:type="dxa"/>
            <w:vAlign w:val="center"/>
          </w:tcPr>
          <w:p>
            <w:pPr>
              <w:pStyle w:val="12"/>
            </w:pPr>
            <w:r>
              <w:t>14.72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18.77</w:t>
            </w:r>
          </w:p>
        </w:tc>
        <w:tc>
          <w:tcPr>
            <w:tcW w:w="1643" w:type="dxa"/>
            <w:vAlign w:val="center"/>
          </w:tcPr>
          <w:p>
            <w:pPr>
              <w:pStyle w:val="12"/>
            </w:pPr>
          </w:p>
        </w:tc>
        <w:tc>
          <w:tcPr>
            <w:tcW w:w="1643" w:type="dxa"/>
            <w:vAlign w:val="center"/>
          </w:tcPr>
          <w:p>
            <w:pPr>
              <w:pStyle w:val="12"/>
            </w:pPr>
            <w:r>
              <w:t>18.77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3.97</w:t>
            </w:r>
          </w:p>
        </w:tc>
        <w:tc>
          <w:tcPr>
            <w:tcW w:w="1643" w:type="dxa"/>
            <w:vAlign w:val="center"/>
          </w:tcPr>
          <w:p>
            <w:pPr>
              <w:pStyle w:val="12"/>
            </w:pPr>
          </w:p>
        </w:tc>
        <w:tc>
          <w:tcPr>
            <w:tcW w:w="1643" w:type="dxa"/>
            <w:vAlign w:val="center"/>
          </w:tcPr>
          <w:p>
            <w:pPr>
              <w:pStyle w:val="12"/>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0.50</w:t>
            </w:r>
          </w:p>
        </w:tc>
        <w:tc>
          <w:tcPr>
            <w:tcW w:w="1643" w:type="dxa"/>
            <w:vAlign w:val="center"/>
          </w:tcPr>
          <w:p>
            <w:pPr>
              <w:pStyle w:val="12"/>
            </w:pPr>
          </w:p>
        </w:tc>
        <w:tc>
          <w:tcPr>
            <w:tcW w:w="1643"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2.50</w:t>
            </w:r>
          </w:p>
        </w:tc>
        <w:tc>
          <w:tcPr>
            <w:tcW w:w="1643" w:type="dxa"/>
            <w:vAlign w:val="center"/>
          </w:tcPr>
          <w:p>
            <w:pPr>
              <w:pStyle w:val="12"/>
            </w:pPr>
          </w:p>
        </w:tc>
        <w:tc>
          <w:tcPr>
            <w:tcW w:w="1643"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3.30</w:t>
            </w:r>
          </w:p>
        </w:tc>
        <w:tc>
          <w:tcPr>
            <w:tcW w:w="1643" w:type="dxa"/>
            <w:vAlign w:val="center"/>
          </w:tcPr>
          <w:p>
            <w:pPr>
              <w:pStyle w:val="12"/>
            </w:pPr>
          </w:p>
        </w:tc>
        <w:tc>
          <w:tcPr>
            <w:tcW w:w="1643"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1.50</w:t>
            </w:r>
          </w:p>
        </w:tc>
        <w:tc>
          <w:tcPr>
            <w:tcW w:w="1643" w:type="dxa"/>
            <w:vAlign w:val="center"/>
          </w:tcPr>
          <w:p>
            <w:pPr>
              <w:pStyle w:val="12"/>
            </w:pPr>
          </w:p>
        </w:tc>
        <w:tc>
          <w:tcPr>
            <w:tcW w:w="1643"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30209</w:t>
            </w:r>
          </w:p>
        </w:tc>
        <w:tc>
          <w:tcPr>
            <w:tcW w:w="1643" w:type="dxa"/>
            <w:vAlign w:val="center"/>
          </w:tcPr>
          <w:p>
            <w:pPr>
              <w:pStyle w:val="13"/>
            </w:pPr>
            <w:r>
              <w:t>物业管理费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3.80</w:t>
            </w:r>
          </w:p>
        </w:tc>
        <w:tc>
          <w:tcPr>
            <w:tcW w:w="1643" w:type="dxa"/>
            <w:vAlign w:val="center"/>
          </w:tcPr>
          <w:p>
            <w:pPr>
              <w:pStyle w:val="12"/>
            </w:pPr>
          </w:p>
        </w:tc>
        <w:tc>
          <w:tcPr>
            <w:tcW w:w="1643" w:type="dxa"/>
            <w:vAlign w:val="center"/>
          </w:tcPr>
          <w:p>
            <w:pPr>
              <w:pStyle w:val="12"/>
            </w:pPr>
            <w:r>
              <w:t>3.80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479馆陶县商务局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2"/>
              <w:ind w:firstLine="0" w:firstLineChars="0"/>
              <w:rPr>
                <w:b/>
                <w:bCs/>
              </w:rPr>
            </w:pPr>
            <w:r>
              <w:rPr>
                <w:b/>
                <w:bCs/>
              </w:rPr>
              <w:t>0.20</w:t>
            </w:r>
          </w:p>
        </w:tc>
        <w:tc>
          <w:tcPr>
            <w:tcW w:w="1643" w:type="dxa"/>
            <w:vAlign w:val="center"/>
          </w:tcPr>
          <w:p>
            <w:pPr>
              <w:pStyle w:val="12"/>
              <w:ind w:firstLine="0" w:firstLineChars="0"/>
              <w:rPr>
                <w:b/>
                <w:bCs/>
              </w:rPr>
            </w:pPr>
            <w:r>
              <w:rPr>
                <w:b/>
                <w:bCs/>
              </w:rPr>
              <w:t>0.20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ind w:firstLine="0" w:firstLineChars="0"/>
            </w:pPr>
            <w:r>
              <w:t>0.20</w:t>
            </w:r>
          </w:p>
        </w:tc>
        <w:tc>
          <w:tcPr>
            <w:tcW w:w="1643" w:type="dxa"/>
            <w:vAlign w:val="center"/>
          </w:tcPr>
          <w:p>
            <w:pPr>
              <w:pStyle w:val="12"/>
              <w:ind w:firstLine="0" w:firstLineChars="0"/>
            </w:pPr>
            <w:r>
              <w:t>0.20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0.20</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馆陶县商务局2024年部门预算信息公开情况说明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馆陶县商务局2024年部门预算信息公开情况说明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按照《中华人民共和国预算法》、《地方预决算公开操作规程》和《关于进一步推进预算公开工作的实施意见》规定，现将馆陶县商务局2024年部门预算公开如下：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（一）贯彻落实国家和县有关内外贸易、国际经济合作和招商引资的发展战略、方针、政策；拟订全县相应的发展规划以及规定、办法和措施。</w:t>
      </w:r>
    </w:p>
    <w:p>
      <w:pPr>
        <w:pStyle w:val="26"/>
      </w:pPr>
      <w:r>
        <w:t>（二）研究提出流通体制改革意见，培育发展城乡市场，推进流通产业结构调整和连锁经营、物流配送、电子商务等现代流通方式。</w:t>
      </w:r>
    </w:p>
    <w:p>
      <w:pPr>
        <w:pStyle w:val="26"/>
      </w:pPr>
      <w:r>
        <w:t>（三）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p>
    <w:p>
      <w:pPr>
        <w:pStyle w:val="26"/>
      </w:pPr>
      <w:r>
        <w:t>（四）起草全县商品流通、物资流通和餐饮服务业的有关地方性法规、规章，制定实施细则和市场准则；调查研究流通行业重大问题，提出政策建议；负责成品油、酒类等主要生活用品的流通和拍卖、典当等行业的监控管理。</w:t>
      </w:r>
    </w:p>
    <w:p>
      <w:pPr>
        <w:pStyle w:val="26"/>
      </w:pPr>
      <w:r>
        <w:t>（五）执行国家和省制定的进出口商品管理办法、进出口商品目录和进出口商品配额招标政策；负责进出口配额计划的编报、下达和组织实施及配额、许可证管理工作。</w:t>
      </w:r>
    </w:p>
    <w:p>
      <w:pPr>
        <w:pStyle w:val="26"/>
      </w:pPr>
      <w:r>
        <w:t>（六）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p>
    <w:p>
      <w:pPr>
        <w:pStyle w:val="26"/>
      </w:pPr>
      <w:r>
        <w:t>（七）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p>
    <w:p>
      <w:pPr>
        <w:pStyle w:val="26"/>
      </w:pPr>
      <w:r>
        <w:t>（八）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p>
    <w:p>
      <w:pPr>
        <w:pStyle w:val="26"/>
      </w:pPr>
      <w:r>
        <w:t>（九）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p>
    <w:p>
      <w:pPr>
        <w:pStyle w:val="26"/>
      </w:pPr>
      <w:r>
        <w:t>（十）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p>
    <w:p>
      <w:pPr>
        <w:pStyle w:val="26"/>
      </w:pPr>
      <w:r>
        <w:t>（十一）审核或核准县内企业对外投资开办企业（金融企业除外）和境外带料加工贸易项目并实施监督管理；负责外国和香港、澳门特别行政区及台湾常驻我市商务代表机构的设立和管理工作。</w:t>
      </w:r>
    </w:p>
    <w:p>
      <w:pPr>
        <w:pStyle w:val="26"/>
      </w:pPr>
      <w:r>
        <w:t>（十二）指导监督以馆陶县名义在境内举办各种外经贸交易会、展览会、展销会等活动；拟订并实施赴境外举办上述活动的管理办法。</w:t>
      </w:r>
    </w:p>
    <w:p>
      <w:pPr>
        <w:pStyle w:val="26"/>
      </w:pPr>
      <w:r>
        <w:t>（十三）负责全县内外贸易新闻发布会、宣传工作和提供信息咨询服务；指导全县流通领域信息网络和电子商务建设。</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馆陶县商务局本级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按照预算管理有关规定，目前部门预算的编制实行综合预算管理，即全部收入和支出都反映在预算中。馆陶县商务局机关及所属事业单位的收支包含在部门预算中。</w:t>
      </w:r>
    </w:p>
    <w:p>
      <w:pPr>
        <w:pStyle w:val="19"/>
      </w:pPr>
      <w:r>
        <w:t>1、收入说明</w:t>
      </w:r>
    </w:p>
    <w:p>
      <w:pPr>
        <w:pStyle w:val="19"/>
      </w:pPr>
      <w:r>
        <w:t>反映本部门当年全部收入。2024年预算收入984.16万元，其中：一般公共预算收入984.16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商务局年度部门预算中支出预算的总体情况。2024年支出预算984.16万元，其中基本支出218.96万元，包括人员经费200.19万元和日常公用经费18.77万元；项目支出765.20万元，主要为</w:t>
      </w:r>
      <w:r>
        <w:rPr>
          <w:rFonts w:hint="eastAsia"/>
          <w:lang w:eastAsia="zh-CN"/>
        </w:rPr>
        <w:t>：</w:t>
      </w:r>
      <w:r>
        <w:t>成品油市场整治及市场联合监管工作经费8万元，驻点招商专班工作经费200万元、引进外资奖励资金50万元、外贸企业出口创汇奖励资金50万元、招商工作经费16万元、贸促会工作经费2.4万元、馆陶县促消费补贴资金50万元、入统限上企业奖励资金28.8万元，冀财建【2023】231号，河北省财政厅关于提前下达2024年中央服务业发展资金360万元。</w:t>
      </w:r>
    </w:p>
    <w:p>
      <w:pPr>
        <w:pStyle w:val="19"/>
      </w:pPr>
      <w:r>
        <w:t>3、比上年增减情况</w:t>
      </w:r>
    </w:p>
    <w:p>
      <w:pPr>
        <w:pStyle w:val="19"/>
        <w:rPr>
          <w:rFonts w:hint="eastAsia" w:eastAsia="方正仿宋_GBK"/>
          <w:lang w:eastAsia="zh-CN"/>
        </w:rPr>
      </w:pPr>
      <w:r>
        <w:t>2024年预算收支安排984.16万元，较2023年预算增加506.26万元，其中：基本支出减少59.94万元，主要为</w:t>
      </w:r>
      <w:r>
        <w:rPr>
          <w:rFonts w:hint="eastAsia"/>
          <w:lang w:eastAsia="zh-CN"/>
        </w:rPr>
        <w:t>人员经费减少。</w:t>
      </w:r>
      <w:r>
        <w:t>项目支出增加566.20万元，主要为驻点招商工作经费、县域商业建设行动支出</w:t>
      </w:r>
      <w:r>
        <w:rPr>
          <w:rFonts w:hint="eastAsia"/>
          <w:lang w:eastAsia="zh-CN"/>
        </w:rPr>
        <w:t>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2024年，我部门机关运行经费共计安排18.77万元，主要用于日常维修、办公用房水电费、办公用房取暖费、办公用房物业管理费等日常运行支出。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2024年，我部门财政拨款“三公”经费预算安排0.20万元，其中因公出国（境）费0.00万元；公务用车购置及运维费0.00万元（其中：公务用车购置费为0.00万元，公务用车运维费0.00万元)；公务接待费0.20万元。与</w:t>
      </w:r>
      <w:r>
        <w:rPr>
          <w:rFonts w:hint="eastAsia"/>
          <w:lang w:eastAsia="zh-CN"/>
        </w:rPr>
        <w:t>上年相比没有增加</w:t>
      </w:r>
      <w:r>
        <w:t>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认真贯彻落实国家和县有关内外贸易、国际经济合作和招商引资的发展战略、方针、政策；加强成品油市场管理、主要生活用品的流通，扩大对外开放、加强招商引资力度、努力做好出口创汇，社零等方面的工作指导监督以馆陶县名义在境内举办各种外经贸交易会、展览会、展销会等活动。主要工作目标</w:t>
      </w:r>
    </w:p>
    <w:p>
      <w:pPr>
        <w:pStyle w:val="22"/>
      </w:pPr>
      <w:r>
        <w:t>招商引资再提效，抢抓京津冀协调发展战略机遇，进一步加强与京津地区对接与交流，多渠道承接京津产业转移项目。立足产业精准招商。引进一批龙头企业和配套项目，纵向延伸产业链，横向壮大产业群。围绕拖拉机、轴承、装备制造等优势产业及黑小麦、黄瓜等特色产业，积极谋划实施产业链招商，在产业聚集、延伸链条上实现新突破。继续深化与国内外大企业、大集团的联系对接，依托平台集中招商。组织县域企业赴京津、上海、广州等地开展招商活动，推进重点合作项目取得实质性进展。在抓好外资、外贸和社零三项指标稳定增长的同时，重点扶持福德、傲格等骨干出口企业和潜力出口企业的技术改造和产品升级，壮大出口群体。引导和鼓励企业参加广交会、上海进口博览会等国内外知名展会，推介化工、轴承等具有馆陶特色的出口产品。深化与阿里巴巴、京东等合作，推动我县更多的特色产品网上出口，建立和完善重点出口企业联系制度。积极活跃内贸市场，确保市场供应稳定有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1、招商工作经费</w:t>
      </w:r>
    </w:p>
    <w:p>
      <w:pPr>
        <w:pStyle w:val="23"/>
      </w:pPr>
      <w:r>
        <w:t>绩效目标：引进落地一批投资规模大、拉动作用强的重大产业项目。</w:t>
      </w:r>
    </w:p>
    <w:p>
      <w:pPr>
        <w:pStyle w:val="23"/>
      </w:pPr>
      <w:r>
        <w:t>绩效指标：举办招商活动、项目签约、促进就业</w:t>
      </w:r>
    </w:p>
    <w:p>
      <w:pPr>
        <w:pStyle w:val="23"/>
      </w:pPr>
      <w:r>
        <w:t>2、贸促会工作经费</w:t>
      </w:r>
    </w:p>
    <w:p>
      <w:pPr>
        <w:pStyle w:val="23"/>
      </w:pPr>
      <w:r>
        <w:t>绩效目标：加强我县国际贸易往来，扩大贸易规模，积极引领企业开辟国际市场</w:t>
      </w:r>
    </w:p>
    <w:p>
      <w:pPr>
        <w:pStyle w:val="23"/>
      </w:pPr>
      <w:r>
        <w:t>绩效指标：参加展会，出口创汇完成率</w:t>
      </w:r>
    </w:p>
    <w:p>
      <w:pPr>
        <w:pStyle w:val="23"/>
      </w:pPr>
      <w:r>
        <w:t>3、成品油市场整治及市场联合监管工作经费</w:t>
      </w:r>
    </w:p>
    <w:p>
      <w:pPr>
        <w:pStyle w:val="23"/>
      </w:pPr>
      <w:r>
        <w:t>绩效目标：进一步规范我县成品油市场秩序，严防安全事故发生</w:t>
      </w:r>
    </w:p>
    <w:p>
      <w:pPr>
        <w:pStyle w:val="23"/>
      </w:pPr>
      <w:r>
        <w:t>绩效指标：对全县加油站进行及监管</w:t>
      </w:r>
    </w:p>
    <w:p>
      <w:pPr>
        <w:pStyle w:val="23"/>
      </w:pPr>
      <w:r>
        <w:t>4、馆陶县生活必需品消费卷补贴资金</w:t>
      </w:r>
    </w:p>
    <w:p>
      <w:pPr>
        <w:pStyle w:val="23"/>
      </w:pPr>
      <w:r>
        <w:t>绩效目标：有效刺激消费需求，拉动经济增长，增加企业税收</w:t>
      </w:r>
    </w:p>
    <w:p>
      <w:pPr>
        <w:pStyle w:val="23"/>
      </w:pPr>
      <w:r>
        <w:t>绩效指标：补贴企业8个，补贴资金及时发放</w:t>
      </w:r>
    </w:p>
    <w:p>
      <w:pPr>
        <w:pStyle w:val="23"/>
      </w:pPr>
      <w:r>
        <w:t>5、引进外资奖励资金</w:t>
      </w:r>
    </w:p>
    <w:p>
      <w:pPr>
        <w:pStyle w:val="23"/>
      </w:pPr>
      <w:r>
        <w:t>绩效目标：全县实际利用外资投资总量持续增长环境更加优化。</w:t>
      </w:r>
    </w:p>
    <w:p>
      <w:pPr>
        <w:pStyle w:val="23"/>
      </w:pPr>
      <w:r>
        <w:t>绩效指标：完成2024年工作目标任务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各预算单位要高度重视，加强组织领导，按照绩效预算改革的要求，理顺内部工作机制，明确相关人员责任，制定实施方案，加强协调配合，将预算执行与各项业务工作相结合，确保年度发展规划目标落实到位。</w:t>
      </w:r>
    </w:p>
    <w:p>
      <w:pPr>
        <w:pStyle w:val="24"/>
      </w:pPr>
      <w:r>
        <w:t>2、加强专项资金监管。一是按照“谁花钱，谁负责”的原则，分别建立经费使用责任制，严格经费支付审批程序，强化责任，严格管理。二是逐步运用网络等现代技术，对直属单位的经费开支进度、用途、效益等情况进行监控、评价，实行追踪监督，逐步扩大经费绩效评价的范围，并在此基础上建立健全奖惩机制。三是积极配合县财政局、县审计局做好对专项资金的监督、审计工作，对发现的问题及时纠正和处理。</w:t>
      </w:r>
    </w:p>
    <w:p>
      <w:pPr>
        <w:pStyle w:val="24"/>
      </w:pPr>
      <w:r>
        <w:t>3、加快支出进度。为了提高资金的使用效益，保证专项资金的支出进度，督促所属预算单位加快资金支出进度。</w:t>
      </w:r>
    </w:p>
    <w:p>
      <w:pPr>
        <w:pStyle w:val="24"/>
      </w:pPr>
      <w:r>
        <w:t>4、大力实施精准招商，引资成效不断扩大</w:t>
      </w:r>
    </w:p>
    <w:p>
      <w:pPr>
        <w:pStyle w:val="24"/>
      </w:pPr>
      <w:r>
        <w:t>今年以来，始终保持抓招商、上项目的定力和韧劲，坚持以引进重大投资项目为突破口，积极转变招商思路、创新招商方式、拓展招商领域，全县招商引资工作取得突破进展。率先完成全市年度招商引资任务，整体工作居全市前列。</w:t>
      </w:r>
    </w:p>
    <w:p>
      <w:pPr>
        <w:pStyle w:val="24"/>
      </w:pPr>
      <w:r>
        <w:t>（1）突出招大引强，一批央企名企投资项目相继落地。主动对接央企，引进了世界500强国家电力投资集团综合能源项目，实现央企直接投资项目的“零突破”。</w:t>
      </w:r>
    </w:p>
    <w:p>
      <w:pPr>
        <w:pStyle w:val="24"/>
      </w:pPr>
      <w:r>
        <w:t>（2）突出主导产业招商，引进一批优质制造业项目，围绕优势产业和重点招商项目，积极承接京津产业转移，积极谋划推进轴承产业升级扩能，引进实施轴承创意产</w:t>
      </w:r>
      <w:bookmarkStart w:id="20" w:name="_GoBack"/>
      <w:bookmarkEnd w:id="20"/>
      <w:r>
        <w:t>业园区，顺应</w:t>
      </w:r>
      <w:r>
        <w:rPr>
          <w:rFonts w:hint="eastAsia"/>
        </w:rPr>
        <w:t>供给侧结构性改革</w:t>
      </w:r>
      <w:r>
        <w:t>新要求，立足“制造业+互联网”的发展新模式，引进由中国网库集团投资建设的微型轴承产业电子商务基地项目，积极推进传统产业转型升级。</w:t>
      </w:r>
    </w:p>
    <w:p>
      <w:pPr>
        <w:pStyle w:val="24"/>
      </w:pPr>
      <w:r>
        <w:t>（3）服务小镇建设，多元化引进先进要素。以粮画新区建设为契机，以美丽乡村和特色小镇为名片，多元化引入战略投资商和先进要素，化、农村</w:t>
      </w:r>
      <w:r>
        <w:rPr>
          <w:rFonts w:hint="eastAsia"/>
        </w:rPr>
        <w:t>供给侧结构性改革</w:t>
      </w:r>
      <w:r>
        <w:t>、新型产业发展的新要求，引入市场化要素配置机制，探索创新农业综合开发新模式，致力打造推进农业农村现代化、发展乡村旅游和休闲农业的龙头示范项目。</w:t>
      </w:r>
    </w:p>
    <w:p>
      <w:pPr>
        <w:pStyle w:val="24"/>
      </w:pPr>
      <w:r>
        <w:t>5、多元化推进电商兴县，电商小镇入选“中国淘宝村”</w:t>
      </w:r>
    </w:p>
    <w:p>
      <w:pPr>
        <w:pStyle w:val="24"/>
      </w:pPr>
      <w:r>
        <w:t>深入贯彻全县电商兴县工程推进大会精神，制订《馆陶县促进电子商务发展扶持办法（试行）》，协调设立1000万元电子商务发展专项资金，紧紧扭住电商小镇打造、电商人才培训、特色产品上行、电商扶贫、村级服务站功能拓展等重点工作，有力地推动了电商兴县深入实施。</w:t>
      </w:r>
    </w:p>
    <w:p>
      <w:pPr>
        <w:pStyle w:val="24"/>
      </w:pPr>
      <w:r>
        <w:t xml:space="preserve">（1）以农村淘宝和中国网库为重点，积极培育龙头电商企业。进一步扩大农村淘宝覆盖范围，争取全县农村淘宝有效业务覆盖范围增至50%，服务人口范围超过12万人。               </w:t>
      </w:r>
    </w:p>
    <w:p>
      <w:pPr>
        <w:pStyle w:val="24"/>
      </w:pPr>
      <w:r>
        <w:t>（2）发挥综合优势，积极推进电商扶贫。在全县61个贫困村设立电商服务站，为贫困户和村民提供更加优惠、丰富的商品，节约村民的开支。以韩高庄村为电商扶贫样板村，成立畅千陌电子商务公司，组织免费电商培训，引导村民开展电商创业。</w:t>
      </w:r>
    </w:p>
    <w:p>
      <w:pPr>
        <w:pStyle w:val="24"/>
      </w:pPr>
      <w:r>
        <w:t>（3）进一步提升智慧县域项目，最大程度方便和服务民众。优化升级智慧县域项目，社保、交警、教育、卫计等八大服务窗已全部上线，智慧乡村服务增加了小镇导航、在线图书馆、博物馆、活动报名和驴友互动等功能，城市服务板块实现了公共自行车支付宝扫码租车、机动车违法查询、就医预约、医保定点查询、实时路况、附近加油、文化生活和综合服务等功能。</w:t>
      </w:r>
    </w:p>
    <w:p>
      <w:pPr>
        <w:pStyle w:val="24"/>
      </w:pPr>
      <w:r>
        <w:t>6、深入推进文明执法，圆满完成非法加油站整治任务</w:t>
      </w:r>
    </w:p>
    <w:p>
      <w:pPr>
        <w:pStyle w:val="24"/>
        <w:sectPr>
          <w:pgSz w:w="16840" w:h="11900" w:orient="landscape"/>
          <w:pgMar w:top="1361" w:right="1020" w:bottom="1361" w:left="1020" w:header="720" w:footer="720" w:gutter="0"/>
          <w:cols w:space="720" w:num="1"/>
        </w:sectPr>
      </w:pPr>
      <w:r>
        <w:t>以“蓝天保卫战”和秋冬季大气污染综合整治为重点，深入开展非法加油站（点）“三清”整治行动，制定《加油站改造提升“六化”标准工作方案》，高标准实施加油站硬化、绿化、美化、亮化、净化、规范化，全县加油站点站容站貌和综合环境卫生大幅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1、成品油市场整治及市场联合监管工作经费绩效目标表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13043324P000029100035</w:t>
            </w:r>
          </w:p>
        </w:tc>
        <w:tc>
          <w:tcPr>
            <w:tcW w:w="2114" w:type="dxa"/>
            <w:vAlign w:val="center"/>
          </w:tcPr>
          <w:p>
            <w:pPr>
              <w:pStyle w:val="11"/>
            </w:pPr>
            <w:r>
              <w:t>项目名称</w:t>
            </w:r>
          </w:p>
        </w:tc>
        <w:tc>
          <w:tcPr>
            <w:tcW w:w="6342" w:type="dxa"/>
            <w:gridSpan w:val="3"/>
            <w:vAlign w:val="center"/>
          </w:tcPr>
          <w:p>
            <w:pPr>
              <w:pStyle w:val="13"/>
            </w:pPr>
            <w:r>
              <w:t>成品油市场整治及市场联合监管工作经费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资金主要用于依法查处、取缔非法加油站和市场联合监管办公费支出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1.进一步规范我县成品油市场秩序，消除成品油市场安全隐患，严防安全事故发生，切实维护人民群众的生命财产安全，依法严厉查处、取缔无证经营、非法加油站点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依法监管县域加油站</w:t>
            </w:r>
          </w:p>
        </w:tc>
        <w:tc>
          <w:tcPr>
            <w:tcW w:w="4228" w:type="dxa"/>
            <w:vAlign w:val="center"/>
          </w:tcPr>
          <w:p>
            <w:pPr>
              <w:pStyle w:val="13"/>
            </w:pPr>
            <w:r>
              <w:t>监管全县加油站点数量</w:t>
            </w:r>
          </w:p>
        </w:tc>
        <w:tc>
          <w:tcPr>
            <w:tcW w:w="2114" w:type="dxa"/>
            <w:vAlign w:val="center"/>
          </w:tcPr>
          <w:p>
            <w:pPr>
              <w:pStyle w:val="13"/>
            </w:pPr>
            <w:r>
              <w:t>≥26个</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监管期限</w:t>
            </w:r>
          </w:p>
        </w:tc>
        <w:tc>
          <w:tcPr>
            <w:tcW w:w="4228" w:type="dxa"/>
            <w:vAlign w:val="center"/>
          </w:tcPr>
          <w:p>
            <w:pPr>
              <w:pStyle w:val="13"/>
            </w:pPr>
            <w:r>
              <w:t>监管全县加油站点时间</w:t>
            </w:r>
          </w:p>
        </w:tc>
        <w:tc>
          <w:tcPr>
            <w:tcW w:w="2114" w:type="dxa"/>
            <w:vAlign w:val="center"/>
          </w:tcPr>
          <w:p>
            <w:pPr>
              <w:pStyle w:val="13"/>
            </w:pPr>
            <w:r>
              <w:t>1年</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监管覆盖率</w:t>
            </w:r>
          </w:p>
        </w:tc>
        <w:tc>
          <w:tcPr>
            <w:tcW w:w="4228" w:type="dxa"/>
            <w:vAlign w:val="center"/>
          </w:tcPr>
          <w:p>
            <w:pPr>
              <w:pStyle w:val="13"/>
            </w:pPr>
            <w:r>
              <w:t>监管加油站数量占全县加油站数量的比例</w:t>
            </w:r>
          </w:p>
        </w:tc>
        <w:tc>
          <w:tcPr>
            <w:tcW w:w="2114" w:type="dxa"/>
            <w:vAlign w:val="center"/>
          </w:tcPr>
          <w:p>
            <w:pPr>
              <w:pStyle w:val="13"/>
            </w:pPr>
            <w:r>
              <w:t>100%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监管执法资金</w:t>
            </w:r>
          </w:p>
        </w:tc>
        <w:tc>
          <w:tcPr>
            <w:tcW w:w="4228" w:type="dxa"/>
            <w:vAlign w:val="center"/>
          </w:tcPr>
          <w:p>
            <w:pPr>
              <w:pStyle w:val="13"/>
            </w:pPr>
            <w:r>
              <w:t>控制经费合理支出，保障工作正常开展</w:t>
            </w:r>
          </w:p>
        </w:tc>
        <w:tc>
          <w:tcPr>
            <w:tcW w:w="2114" w:type="dxa"/>
            <w:vAlign w:val="center"/>
          </w:tcPr>
          <w:p>
            <w:pPr>
              <w:pStyle w:val="13"/>
            </w:pPr>
            <w:r>
              <w:t>10万元</w:t>
            </w:r>
          </w:p>
        </w:tc>
        <w:tc>
          <w:tcPr>
            <w:tcW w:w="2114" w:type="dxa"/>
            <w:vAlign w:val="center"/>
          </w:tcPr>
          <w:p>
            <w:pPr>
              <w:pStyle w:val="13"/>
            </w:pPr>
            <w:r>
              <w:t>邯商务【2021】4号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油气回收</w:t>
            </w:r>
          </w:p>
        </w:tc>
        <w:tc>
          <w:tcPr>
            <w:tcW w:w="4228" w:type="dxa"/>
            <w:vAlign w:val="center"/>
          </w:tcPr>
          <w:p>
            <w:pPr>
              <w:pStyle w:val="13"/>
            </w:pPr>
            <w:r>
              <w:t>加强油气回收使全县环境得到有效治理</w:t>
            </w:r>
          </w:p>
        </w:tc>
        <w:tc>
          <w:tcPr>
            <w:tcW w:w="2114" w:type="dxa"/>
            <w:vAlign w:val="center"/>
          </w:tcPr>
          <w:p>
            <w:pPr>
              <w:pStyle w:val="13"/>
            </w:pPr>
            <w:r>
              <w:t>100%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长期规范成品油市场经营秩序</w:t>
            </w:r>
          </w:p>
        </w:tc>
        <w:tc>
          <w:tcPr>
            <w:tcW w:w="4228" w:type="dxa"/>
            <w:vAlign w:val="center"/>
          </w:tcPr>
          <w:p>
            <w:pPr>
              <w:pStyle w:val="13"/>
            </w:pPr>
            <w:r>
              <w:t>让全县消费者使用放心油</w:t>
            </w:r>
          </w:p>
        </w:tc>
        <w:tc>
          <w:tcPr>
            <w:tcW w:w="2114" w:type="dxa"/>
            <w:vAlign w:val="center"/>
          </w:tcPr>
          <w:p>
            <w:pPr>
              <w:pStyle w:val="13"/>
            </w:pPr>
            <w:r>
              <w:t>100%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问卷调查</w:t>
            </w:r>
          </w:p>
        </w:tc>
        <w:tc>
          <w:tcPr>
            <w:tcW w:w="2114" w:type="dxa"/>
            <w:vAlign w:val="center"/>
          </w:tcPr>
          <w:p>
            <w:pPr>
              <w:pStyle w:val="13"/>
            </w:pPr>
            <w:r>
              <w:t>100%</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2、馆陶县促销费消费券补贴资金绩效目标表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13043324P00002710003R</w:t>
            </w:r>
          </w:p>
        </w:tc>
        <w:tc>
          <w:tcPr>
            <w:tcW w:w="2114" w:type="dxa"/>
            <w:vAlign w:val="center"/>
          </w:tcPr>
          <w:p>
            <w:pPr>
              <w:pStyle w:val="11"/>
            </w:pPr>
            <w:r>
              <w:t>项目名称</w:t>
            </w:r>
          </w:p>
        </w:tc>
        <w:tc>
          <w:tcPr>
            <w:tcW w:w="6342" w:type="dxa"/>
            <w:gridSpan w:val="3"/>
            <w:vAlign w:val="center"/>
          </w:tcPr>
          <w:p>
            <w:pPr>
              <w:pStyle w:val="13"/>
            </w:pPr>
            <w:r>
              <w:t>馆陶县促销费消费券补贴资金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资金用于企业参加促销活动补贴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1.资金主要用于参加促销活动企业消费券补贴，有效刺激消费需求，促进全县经济快速回暖，拉动经济增长，增加企业税收。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补贴企业数量</w:t>
            </w:r>
          </w:p>
        </w:tc>
        <w:tc>
          <w:tcPr>
            <w:tcW w:w="4228" w:type="dxa"/>
            <w:vAlign w:val="center"/>
          </w:tcPr>
          <w:p>
            <w:pPr>
              <w:pStyle w:val="13"/>
            </w:pPr>
            <w:r>
              <w:t>补贴参加促销活动企业数量</w:t>
            </w:r>
          </w:p>
        </w:tc>
        <w:tc>
          <w:tcPr>
            <w:tcW w:w="2114" w:type="dxa"/>
            <w:vAlign w:val="center"/>
          </w:tcPr>
          <w:p>
            <w:pPr>
              <w:pStyle w:val="13"/>
            </w:pPr>
            <w:r>
              <w:t>≥8家</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预期目标完成率</w:t>
            </w:r>
          </w:p>
        </w:tc>
        <w:tc>
          <w:tcPr>
            <w:tcW w:w="4228" w:type="dxa"/>
            <w:vAlign w:val="center"/>
          </w:tcPr>
          <w:p>
            <w:pPr>
              <w:pStyle w:val="13"/>
            </w:pPr>
            <w:r>
              <w:t>销售收入预期目标完成率</w:t>
            </w:r>
          </w:p>
        </w:tc>
        <w:tc>
          <w:tcPr>
            <w:tcW w:w="2114" w:type="dxa"/>
            <w:vAlign w:val="center"/>
          </w:tcPr>
          <w:p>
            <w:pPr>
              <w:pStyle w:val="13"/>
            </w:pPr>
            <w:r>
              <w:t>≥95%</w:t>
            </w:r>
          </w:p>
        </w:tc>
        <w:tc>
          <w:tcPr>
            <w:tcW w:w="2114"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资金发放及时率</w:t>
            </w:r>
          </w:p>
        </w:tc>
        <w:tc>
          <w:tcPr>
            <w:tcW w:w="4228" w:type="dxa"/>
            <w:vAlign w:val="center"/>
          </w:tcPr>
          <w:p>
            <w:pPr>
              <w:pStyle w:val="13"/>
            </w:pPr>
            <w:r>
              <w:t>财政补助资金向企业及时拨付率</w:t>
            </w:r>
          </w:p>
        </w:tc>
        <w:tc>
          <w:tcPr>
            <w:tcW w:w="2114" w:type="dxa"/>
            <w:vAlign w:val="center"/>
          </w:tcPr>
          <w:p>
            <w:pPr>
              <w:pStyle w:val="13"/>
            </w:pPr>
            <w:r>
              <w:t>100%</w:t>
            </w:r>
          </w:p>
        </w:tc>
        <w:tc>
          <w:tcPr>
            <w:tcW w:w="2114" w:type="dxa"/>
            <w:vAlign w:val="center"/>
          </w:tcPr>
          <w:p>
            <w:pPr>
              <w:pStyle w:val="13"/>
            </w:pPr>
            <w:r>
              <w:t>按照“幸福邯郸欢乐购”电子平台下载实际购物券数量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促销费补助资金成本</w:t>
            </w:r>
          </w:p>
        </w:tc>
        <w:tc>
          <w:tcPr>
            <w:tcW w:w="4228" w:type="dxa"/>
            <w:vAlign w:val="center"/>
          </w:tcPr>
          <w:p>
            <w:pPr>
              <w:pStyle w:val="13"/>
            </w:pPr>
            <w:r>
              <w:t>节假日促销费财政财政补助资金</w:t>
            </w:r>
          </w:p>
        </w:tc>
        <w:tc>
          <w:tcPr>
            <w:tcW w:w="2114" w:type="dxa"/>
            <w:vAlign w:val="center"/>
          </w:tcPr>
          <w:p>
            <w:pPr>
              <w:pStyle w:val="13"/>
            </w:pPr>
            <w:r>
              <w:t>300万元</w:t>
            </w:r>
          </w:p>
        </w:tc>
        <w:tc>
          <w:tcPr>
            <w:tcW w:w="2114" w:type="dxa"/>
            <w:vAlign w:val="center"/>
          </w:tcPr>
          <w:p>
            <w:pPr>
              <w:pStyle w:val="13"/>
            </w:pPr>
            <w:r>
              <w:t>2024工作计划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提高企业税收增长率</w:t>
            </w:r>
          </w:p>
        </w:tc>
        <w:tc>
          <w:tcPr>
            <w:tcW w:w="4228" w:type="dxa"/>
            <w:vAlign w:val="center"/>
          </w:tcPr>
          <w:p>
            <w:pPr>
              <w:pStyle w:val="13"/>
            </w:pPr>
            <w:r>
              <w:t>通过促销刺激销售增长，增加企业税收</w:t>
            </w:r>
          </w:p>
        </w:tc>
        <w:tc>
          <w:tcPr>
            <w:tcW w:w="2114" w:type="dxa"/>
            <w:vAlign w:val="center"/>
          </w:tcPr>
          <w:p>
            <w:pPr>
              <w:pStyle w:val="13"/>
            </w:pPr>
            <w:r>
              <w:t>≥10%</w:t>
            </w:r>
          </w:p>
        </w:tc>
        <w:tc>
          <w:tcPr>
            <w:tcW w:w="2114" w:type="dxa"/>
            <w:vAlign w:val="center"/>
          </w:tcPr>
          <w:p>
            <w:pPr>
              <w:pStyle w:val="13"/>
            </w:pPr>
            <w:r>
              <w:t>税收调查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提升社会影响率</w:t>
            </w:r>
          </w:p>
        </w:tc>
        <w:tc>
          <w:tcPr>
            <w:tcW w:w="4228" w:type="dxa"/>
            <w:vAlign w:val="center"/>
          </w:tcPr>
          <w:p>
            <w:pPr>
              <w:pStyle w:val="13"/>
            </w:pPr>
            <w:r>
              <w:t>通过促销活动提升企业社会影响率</w:t>
            </w:r>
          </w:p>
        </w:tc>
        <w:tc>
          <w:tcPr>
            <w:tcW w:w="2114" w:type="dxa"/>
            <w:vAlign w:val="center"/>
          </w:tcPr>
          <w:p>
            <w:pPr>
              <w:pStyle w:val="13"/>
            </w:pPr>
            <w:r>
              <w:t>≥35%</w:t>
            </w:r>
          </w:p>
        </w:tc>
        <w:tc>
          <w:tcPr>
            <w:tcW w:w="2114" w:type="dxa"/>
            <w:vAlign w:val="center"/>
          </w:tcPr>
          <w:p>
            <w:pPr>
              <w:pStyle w:val="13"/>
            </w:pPr>
            <w:r>
              <w:t>网络调查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补贴企业满意度</w:t>
            </w:r>
          </w:p>
        </w:tc>
        <w:tc>
          <w:tcPr>
            <w:tcW w:w="4228" w:type="dxa"/>
            <w:vAlign w:val="center"/>
          </w:tcPr>
          <w:p>
            <w:pPr>
              <w:pStyle w:val="13"/>
            </w:pPr>
            <w:r>
              <w:t>参与促销活动企业满意度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3、招商工作经费绩效目标表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13043324P00003110003Y</w:t>
            </w:r>
          </w:p>
        </w:tc>
        <w:tc>
          <w:tcPr>
            <w:tcW w:w="2114" w:type="dxa"/>
            <w:vAlign w:val="center"/>
          </w:tcPr>
          <w:p>
            <w:pPr>
              <w:pStyle w:val="11"/>
            </w:pPr>
            <w:r>
              <w:t>项目名称</w:t>
            </w:r>
          </w:p>
        </w:tc>
        <w:tc>
          <w:tcPr>
            <w:tcW w:w="6342" w:type="dxa"/>
            <w:gridSpan w:val="3"/>
            <w:vAlign w:val="center"/>
          </w:tcPr>
          <w:p>
            <w:pPr>
              <w:pStyle w:val="13"/>
            </w:pPr>
            <w:r>
              <w:t>招商工作经费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16.00</w:t>
            </w:r>
          </w:p>
        </w:tc>
        <w:tc>
          <w:tcPr>
            <w:tcW w:w="2114" w:type="dxa"/>
            <w:vAlign w:val="center"/>
          </w:tcPr>
          <w:p>
            <w:pPr>
              <w:pStyle w:val="11"/>
            </w:pPr>
            <w:r>
              <w:t>其中：财政    资金</w:t>
            </w:r>
          </w:p>
        </w:tc>
        <w:tc>
          <w:tcPr>
            <w:tcW w:w="2114" w:type="dxa"/>
            <w:vAlign w:val="center"/>
          </w:tcPr>
          <w:p>
            <w:pPr>
              <w:pStyle w:val="13"/>
            </w:pPr>
            <w:r>
              <w:t>16.00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资金主要用于外出招商、举办活动、签约仪式费用支出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1.用于开展我县招商引资工作，通过招商引进落地一批投资规模大的重大产业项目，促进经济发展，保障招商引资排名保持全市前列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招商活动次数</w:t>
            </w:r>
          </w:p>
        </w:tc>
        <w:tc>
          <w:tcPr>
            <w:tcW w:w="4228" w:type="dxa"/>
            <w:vAlign w:val="center"/>
          </w:tcPr>
          <w:p>
            <w:pPr>
              <w:pStyle w:val="13"/>
            </w:pPr>
            <w:r>
              <w:t>成功举办境内外招商活动次数</w:t>
            </w:r>
          </w:p>
        </w:tc>
        <w:tc>
          <w:tcPr>
            <w:tcW w:w="2114" w:type="dxa"/>
            <w:vAlign w:val="center"/>
          </w:tcPr>
          <w:p>
            <w:pPr>
              <w:pStyle w:val="13"/>
            </w:pPr>
            <w:r>
              <w:t>≥5次</w:t>
            </w:r>
          </w:p>
        </w:tc>
        <w:tc>
          <w:tcPr>
            <w:tcW w:w="2114" w:type="dxa"/>
            <w:vAlign w:val="center"/>
          </w:tcPr>
          <w:p>
            <w:pPr>
              <w:pStyle w:val="13"/>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落地率</w:t>
            </w:r>
          </w:p>
        </w:tc>
        <w:tc>
          <w:tcPr>
            <w:tcW w:w="4228" w:type="dxa"/>
            <w:vAlign w:val="center"/>
          </w:tcPr>
          <w:p>
            <w:pPr>
              <w:pStyle w:val="13"/>
            </w:pPr>
            <w:r>
              <w:t>成功落地投产项目占签约项目比例</w:t>
            </w:r>
          </w:p>
        </w:tc>
        <w:tc>
          <w:tcPr>
            <w:tcW w:w="2114" w:type="dxa"/>
            <w:vAlign w:val="center"/>
          </w:tcPr>
          <w:p>
            <w:pPr>
              <w:pStyle w:val="13"/>
            </w:pPr>
            <w:r>
              <w:t>≥80%</w:t>
            </w:r>
          </w:p>
        </w:tc>
        <w:tc>
          <w:tcPr>
            <w:tcW w:w="2114" w:type="dxa"/>
            <w:vAlign w:val="center"/>
          </w:tcPr>
          <w:p>
            <w:pPr>
              <w:pStyle w:val="13"/>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按照工作计划在规定时间开展招商工作</w:t>
            </w:r>
          </w:p>
        </w:tc>
        <w:tc>
          <w:tcPr>
            <w:tcW w:w="2114" w:type="dxa"/>
            <w:vAlign w:val="center"/>
          </w:tcPr>
          <w:p>
            <w:pPr>
              <w:pStyle w:val="13"/>
            </w:pPr>
            <w:r>
              <w:t>≤1年</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工作经费</w:t>
            </w:r>
          </w:p>
        </w:tc>
        <w:tc>
          <w:tcPr>
            <w:tcW w:w="4228" w:type="dxa"/>
            <w:vAlign w:val="center"/>
          </w:tcPr>
          <w:p>
            <w:pPr>
              <w:pStyle w:val="13"/>
            </w:pPr>
            <w:r>
              <w:t>招商引资所需的工作经费</w:t>
            </w:r>
          </w:p>
        </w:tc>
        <w:tc>
          <w:tcPr>
            <w:tcW w:w="2114" w:type="dxa"/>
            <w:vAlign w:val="center"/>
          </w:tcPr>
          <w:p>
            <w:pPr>
              <w:pStyle w:val="13"/>
            </w:pPr>
            <w:r>
              <w:t>20万元</w:t>
            </w:r>
          </w:p>
        </w:tc>
        <w:tc>
          <w:tcPr>
            <w:tcW w:w="2114" w:type="dxa"/>
            <w:vAlign w:val="center"/>
          </w:tcPr>
          <w:p>
            <w:pPr>
              <w:pStyle w:val="13"/>
            </w:pPr>
            <w:r>
              <w:t>馆文【2021】14号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拉动我县GDP增长率</w:t>
            </w:r>
          </w:p>
        </w:tc>
        <w:tc>
          <w:tcPr>
            <w:tcW w:w="4228" w:type="dxa"/>
            <w:vAlign w:val="center"/>
          </w:tcPr>
          <w:p>
            <w:pPr>
              <w:pStyle w:val="13"/>
            </w:pPr>
            <w:r>
              <w:t>增加投资企业新增纳税总额，拉动我县GDP增长的比率</w:t>
            </w:r>
          </w:p>
        </w:tc>
        <w:tc>
          <w:tcPr>
            <w:tcW w:w="2114" w:type="dxa"/>
            <w:vAlign w:val="center"/>
          </w:tcPr>
          <w:p>
            <w:pPr>
              <w:pStyle w:val="13"/>
            </w:pPr>
            <w:r>
              <w:t>≥1%</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增加就业人数</w:t>
            </w:r>
          </w:p>
        </w:tc>
        <w:tc>
          <w:tcPr>
            <w:tcW w:w="4228" w:type="dxa"/>
            <w:vAlign w:val="center"/>
          </w:tcPr>
          <w:p>
            <w:pPr>
              <w:pStyle w:val="13"/>
            </w:pPr>
            <w:r>
              <w:t>促进馆陶经济发展，增加就业人数</w:t>
            </w:r>
          </w:p>
        </w:tc>
        <w:tc>
          <w:tcPr>
            <w:tcW w:w="2114" w:type="dxa"/>
            <w:vAlign w:val="center"/>
          </w:tcPr>
          <w:p>
            <w:pPr>
              <w:pStyle w:val="13"/>
            </w:pPr>
            <w:r>
              <w:t>≥300人</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引资企业对招商工作的满意度</w:t>
            </w:r>
          </w:p>
        </w:tc>
        <w:tc>
          <w:tcPr>
            <w:tcW w:w="2114" w:type="dxa"/>
            <w:vAlign w:val="center"/>
          </w:tcPr>
          <w:p>
            <w:pPr>
              <w:pStyle w:val="13"/>
            </w:pPr>
            <w:r>
              <w:t>100%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4、冀财建[2023]231号河北省财政厅关于提前下达2024年中央服务业发展资金预算的通知（县域商业建设行动）绩效目标表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13043324P00012310006M</w:t>
            </w:r>
          </w:p>
        </w:tc>
        <w:tc>
          <w:tcPr>
            <w:tcW w:w="2114" w:type="dxa"/>
            <w:vAlign w:val="center"/>
          </w:tcPr>
          <w:p>
            <w:pPr>
              <w:pStyle w:val="11"/>
            </w:pPr>
            <w:r>
              <w:t>项目名称</w:t>
            </w:r>
          </w:p>
        </w:tc>
        <w:tc>
          <w:tcPr>
            <w:tcW w:w="6342" w:type="dxa"/>
            <w:gridSpan w:val="3"/>
            <w:vAlign w:val="center"/>
          </w:tcPr>
          <w:p>
            <w:pPr>
              <w:pStyle w:val="13"/>
            </w:pPr>
            <w:r>
              <w:t>冀财建[2023]231号河北省财政厅关于提前下达2024年中央服务业发展资金预算的通知（县域商业建设行动）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360.00</w:t>
            </w:r>
          </w:p>
        </w:tc>
        <w:tc>
          <w:tcPr>
            <w:tcW w:w="2114" w:type="dxa"/>
            <w:vAlign w:val="center"/>
          </w:tcPr>
          <w:p>
            <w:pPr>
              <w:pStyle w:val="11"/>
            </w:pPr>
            <w:r>
              <w:t>其中：财政    资金</w:t>
            </w:r>
          </w:p>
        </w:tc>
        <w:tc>
          <w:tcPr>
            <w:tcW w:w="2114" w:type="dxa"/>
            <w:vAlign w:val="center"/>
          </w:tcPr>
          <w:p>
            <w:pPr>
              <w:pStyle w:val="13"/>
            </w:pPr>
            <w:r>
              <w:t>360.00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资金主要用于建设改造物流配送中心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1.资金用于建设改造一批县级物流中心，进一步提升流通效率，降低物流成本，有效改善乡镇消费环境，促进馆陶经济发展。</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新增改造数量</w:t>
            </w:r>
          </w:p>
        </w:tc>
        <w:tc>
          <w:tcPr>
            <w:tcW w:w="4228" w:type="dxa"/>
            <w:vAlign w:val="center"/>
          </w:tcPr>
          <w:p>
            <w:pPr>
              <w:pStyle w:val="13"/>
            </w:pPr>
            <w:r>
              <w:t>新增县级物流配送中心改造数量</w:t>
            </w:r>
          </w:p>
        </w:tc>
        <w:tc>
          <w:tcPr>
            <w:tcW w:w="2114" w:type="dxa"/>
            <w:vAlign w:val="center"/>
          </w:tcPr>
          <w:p>
            <w:pPr>
              <w:pStyle w:val="13"/>
            </w:pPr>
            <w:r>
              <w:t>≥1个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商贸中心覆盖率</w:t>
            </w:r>
          </w:p>
        </w:tc>
        <w:tc>
          <w:tcPr>
            <w:tcW w:w="4228" w:type="dxa"/>
            <w:vAlign w:val="center"/>
          </w:tcPr>
          <w:p>
            <w:pPr>
              <w:pStyle w:val="13"/>
            </w:pPr>
            <w:r>
              <w:t>乡镇商贸中心覆盖率</w:t>
            </w:r>
          </w:p>
        </w:tc>
        <w:tc>
          <w:tcPr>
            <w:tcW w:w="2114" w:type="dxa"/>
            <w:vAlign w:val="center"/>
          </w:tcPr>
          <w:p>
            <w:pPr>
              <w:pStyle w:val="13"/>
            </w:pPr>
            <w:r>
              <w:t>≥30%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完成县级物流中心和乡镇商贸中心改造任务</w:t>
            </w:r>
          </w:p>
        </w:tc>
        <w:tc>
          <w:tcPr>
            <w:tcW w:w="2114" w:type="dxa"/>
            <w:vAlign w:val="center"/>
          </w:tcPr>
          <w:p>
            <w:pPr>
              <w:pStyle w:val="13"/>
            </w:pPr>
            <w:r>
              <w:t>≤1年</w:t>
            </w:r>
          </w:p>
        </w:tc>
        <w:tc>
          <w:tcPr>
            <w:tcW w:w="2114" w:type="dxa"/>
            <w:vAlign w:val="center"/>
          </w:tcPr>
          <w:p>
            <w:pPr>
              <w:pStyle w:val="13"/>
            </w:pPr>
            <w:r>
              <w:t>冀财建【2023】231号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商业建设成本</w:t>
            </w:r>
          </w:p>
        </w:tc>
        <w:tc>
          <w:tcPr>
            <w:tcW w:w="4228" w:type="dxa"/>
            <w:vAlign w:val="center"/>
          </w:tcPr>
          <w:p>
            <w:pPr>
              <w:pStyle w:val="13"/>
            </w:pPr>
            <w:r>
              <w:t>县域商业建设行动资金成本</w:t>
            </w:r>
          </w:p>
        </w:tc>
        <w:tc>
          <w:tcPr>
            <w:tcW w:w="2114" w:type="dxa"/>
            <w:vAlign w:val="center"/>
          </w:tcPr>
          <w:p>
            <w:pPr>
              <w:pStyle w:val="13"/>
            </w:pPr>
            <w:r>
              <w:t>360万元</w:t>
            </w:r>
          </w:p>
        </w:tc>
        <w:tc>
          <w:tcPr>
            <w:tcW w:w="2114" w:type="dxa"/>
            <w:vAlign w:val="center"/>
          </w:tcPr>
          <w:p>
            <w:pPr>
              <w:pStyle w:val="13"/>
            </w:pPr>
            <w:r>
              <w:t>冀财建【2023】231号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城乡销售额</w:t>
            </w:r>
          </w:p>
        </w:tc>
        <w:tc>
          <w:tcPr>
            <w:tcW w:w="4228" w:type="dxa"/>
            <w:vAlign w:val="center"/>
          </w:tcPr>
          <w:p>
            <w:pPr>
              <w:pStyle w:val="13"/>
            </w:pPr>
            <w:r>
              <w:t>城乡消费品零售增速得到提高，促进馆陶经济发展</w:t>
            </w:r>
          </w:p>
        </w:tc>
        <w:tc>
          <w:tcPr>
            <w:tcW w:w="2114" w:type="dxa"/>
            <w:vAlign w:val="center"/>
          </w:tcPr>
          <w:p>
            <w:pPr>
              <w:pStyle w:val="13"/>
            </w:pPr>
            <w:r>
              <w:t>≥5%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农村电商数量</w:t>
            </w:r>
          </w:p>
        </w:tc>
        <w:tc>
          <w:tcPr>
            <w:tcW w:w="4228" w:type="dxa"/>
            <w:vAlign w:val="center"/>
          </w:tcPr>
          <w:p>
            <w:pPr>
              <w:pStyle w:val="13"/>
            </w:pPr>
            <w:r>
              <w:t>农村网商数量同比增加，促进农民增收</w:t>
            </w:r>
          </w:p>
        </w:tc>
        <w:tc>
          <w:tcPr>
            <w:tcW w:w="2114" w:type="dxa"/>
            <w:vAlign w:val="center"/>
          </w:tcPr>
          <w:p>
            <w:pPr>
              <w:pStyle w:val="13"/>
            </w:pPr>
            <w:r>
              <w:t>≥5%</w:t>
            </w:r>
          </w:p>
        </w:tc>
        <w:tc>
          <w:tcPr>
            <w:tcW w:w="2114" w:type="dxa"/>
            <w:vAlign w:val="center"/>
          </w:tcPr>
          <w:p>
            <w:pPr>
              <w:pStyle w:val="13"/>
            </w:pPr>
            <w:r>
              <w:t>网络调查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物流配送中心满意度</w:t>
            </w:r>
          </w:p>
        </w:tc>
        <w:tc>
          <w:tcPr>
            <w:tcW w:w="4228" w:type="dxa"/>
            <w:vAlign w:val="center"/>
          </w:tcPr>
          <w:p>
            <w:pPr>
              <w:pStyle w:val="13"/>
            </w:pPr>
            <w:r>
              <w:t>县级、乡镇服务对象满意度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5、贸促会工作经费绩效目标表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13043324P000030100039</w:t>
            </w:r>
          </w:p>
        </w:tc>
        <w:tc>
          <w:tcPr>
            <w:tcW w:w="2114" w:type="dxa"/>
            <w:vAlign w:val="center"/>
          </w:tcPr>
          <w:p>
            <w:pPr>
              <w:pStyle w:val="11"/>
            </w:pPr>
            <w:r>
              <w:t>项目名称</w:t>
            </w:r>
          </w:p>
        </w:tc>
        <w:tc>
          <w:tcPr>
            <w:tcW w:w="6342" w:type="dxa"/>
            <w:gridSpan w:val="3"/>
            <w:vAlign w:val="center"/>
          </w:tcPr>
          <w:p>
            <w:pPr>
              <w:pStyle w:val="13"/>
            </w:pPr>
            <w:r>
              <w:t>贸促会工作经费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w:t>
            </w:r>
          </w:p>
        </w:tc>
        <w:tc>
          <w:tcPr>
            <w:tcW w:w="2114" w:type="dxa"/>
            <w:vAlign w:val="center"/>
          </w:tcPr>
          <w:p>
            <w:pPr>
              <w:pStyle w:val="11"/>
            </w:pPr>
            <w:r>
              <w:t>其中：财政    资金</w:t>
            </w:r>
          </w:p>
        </w:tc>
        <w:tc>
          <w:tcPr>
            <w:tcW w:w="2114" w:type="dxa"/>
            <w:vAlign w:val="center"/>
          </w:tcPr>
          <w:p>
            <w:pPr>
              <w:pStyle w:val="13"/>
            </w:pPr>
            <w:r>
              <w:t>2.40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加强我县国际贸易往来，扩大贸易规模，积极引领企业开辟国际市场、促进国际经济交流与合作，推进县域经济发展。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1.加强我县国际贸易往来，扩大贸易规模，积极引领企业开辟国际市场、促进国际经济交流与合作，推进县域经济发展。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参加展会次数</w:t>
            </w:r>
          </w:p>
        </w:tc>
        <w:tc>
          <w:tcPr>
            <w:tcW w:w="4228" w:type="dxa"/>
            <w:vAlign w:val="center"/>
          </w:tcPr>
          <w:p>
            <w:pPr>
              <w:pStyle w:val="13"/>
            </w:pPr>
            <w:r>
              <w:t>参加国内外各种形式的展会次数</w:t>
            </w:r>
          </w:p>
        </w:tc>
        <w:tc>
          <w:tcPr>
            <w:tcW w:w="2114" w:type="dxa"/>
            <w:vAlign w:val="center"/>
          </w:tcPr>
          <w:p>
            <w:pPr>
              <w:pStyle w:val="13"/>
            </w:pPr>
            <w:r>
              <w:t>≥3次</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任务达标率</w:t>
            </w:r>
          </w:p>
        </w:tc>
        <w:tc>
          <w:tcPr>
            <w:tcW w:w="4228" w:type="dxa"/>
            <w:vAlign w:val="center"/>
          </w:tcPr>
          <w:p>
            <w:pPr>
              <w:pStyle w:val="13"/>
            </w:pPr>
            <w:r>
              <w:t>顺利完成我县出口创汇任务</w:t>
            </w:r>
          </w:p>
        </w:tc>
        <w:tc>
          <w:tcPr>
            <w:tcW w:w="2114" w:type="dxa"/>
            <w:vAlign w:val="center"/>
          </w:tcPr>
          <w:p>
            <w:pPr>
              <w:pStyle w:val="13"/>
            </w:pPr>
            <w:r>
              <w:t>≥100%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及时完成</w:t>
            </w:r>
          </w:p>
        </w:tc>
        <w:tc>
          <w:tcPr>
            <w:tcW w:w="4228" w:type="dxa"/>
            <w:vAlign w:val="center"/>
          </w:tcPr>
          <w:p>
            <w:pPr>
              <w:pStyle w:val="13"/>
            </w:pPr>
            <w:r>
              <w:t>及时完成年初制定各项工作目标</w:t>
            </w:r>
          </w:p>
        </w:tc>
        <w:tc>
          <w:tcPr>
            <w:tcW w:w="2114" w:type="dxa"/>
            <w:vAlign w:val="center"/>
          </w:tcPr>
          <w:p>
            <w:pPr>
              <w:pStyle w:val="13"/>
            </w:pPr>
            <w:r>
              <w:t>≤1年</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工作经费资金</w:t>
            </w:r>
          </w:p>
        </w:tc>
        <w:tc>
          <w:tcPr>
            <w:tcW w:w="2114" w:type="dxa"/>
            <w:vAlign w:val="center"/>
          </w:tcPr>
          <w:p>
            <w:pPr>
              <w:pStyle w:val="13"/>
            </w:pPr>
            <w:r>
              <w:t>3万元</w:t>
            </w:r>
          </w:p>
        </w:tc>
        <w:tc>
          <w:tcPr>
            <w:tcW w:w="2114" w:type="dxa"/>
            <w:vAlign w:val="center"/>
          </w:tcPr>
          <w:p>
            <w:pPr>
              <w:pStyle w:val="13"/>
            </w:pPr>
            <w:r>
              <w:t>馆陶县人民政府办公室【2012】67号《馆陶县人民政府办公室关于成立“中国国际贸易促进会馆陶县委员会”的通知。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增加税收</w:t>
            </w:r>
          </w:p>
        </w:tc>
        <w:tc>
          <w:tcPr>
            <w:tcW w:w="4228" w:type="dxa"/>
            <w:vAlign w:val="center"/>
          </w:tcPr>
          <w:p>
            <w:pPr>
              <w:pStyle w:val="13"/>
            </w:pPr>
            <w:r>
              <w:t>增加外贸企业税收，促进馆陶经济发展</w:t>
            </w:r>
          </w:p>
        </w:tc>
        <w:tc>
          <w:tcPr>
            <w:tcW w:w="2114" w:type="dxa"/>
            <w:vAlign w:val="center"/>
          </w:tcPr>
          <w:p>
            <w:pPr>
              <w:pStyle w:val="13"/>
            </w:pPr>
            <w:r>
              <w:t>500万元</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提升馆陶企业的影响力</w:t>
            </w:r>
          </w:p>
        </w:tc>
        <w:tc>
          <w:tcPr>
            <w:tcW w:w="4228" w:type="dxa"/>
            <w:vAlign w:val="center"/>
          </w:tcPr>
          <w:p>
            <w:pPr>
              <w:pStyle w:val="13"/>
            </w:pPr>
            <w:r>
              <w:t>提升企业的国际影响力，扩大生产规模，增加就业岗位</w:t>
            </w:r>
          </w:p>
        </w:tc>
        <w:tc>
          <w:tcPr>
            <w:tcW w:w="2114" w:type="dxa"/>
            <w:vAlign w:val="center"/>
          </w:tcPr>
          <w:p>
            <w:pPr>
              <w:pStyle w:val="13"/>
            </w:pPr>
            <w:r>
              <w:t>&gt;200人</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外贸企业满意度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6、入统限上企业奖励资金 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13043324P000022100041</w:t>
            </w:r>
          </w:p>
        </w:tc>
        <w:tc>
          <w:tcPr>
            <w:tcW w:w="2114" w:type="dxa"/>
            <w:vAlign w:val="center"/>
          </w:tcPr>
          <w:p>
            <w:pPr>
              <w:pStyle w:val="11"/>
            </w:pPr>
            <w:r>
              <w:t>项目名称</w:t>
            </w:r>
          </w:p>
        </w:tc>
        <w:tc>
          <w:tcPr>
            <w:tcW w:w="6342" w:type="dxa"/>
            <w:gridSpan w:val="3"/>
            <w:vAlign w:val="center"/>
          </w:tcPr>
          <w:p>
            <w:pPr>
              <w:pStyle w:val="13"/>
            </w:pPr>
            <w:r>
              <w:t xml:space="preserve">入统限上企业奖励资金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28.80</w:t>
            </w:r>
          </w:p>
        </w:tc>
        <w:tc>
          <w:tcPr>
            <w:tcW w:w="2114" w:type="dxa"/>
            <w:vAlign w:val="center"/>
          </w:tcPr>
          <w:p>
            <w:pPr>
              <w:pStyle w:val="11"/>
            </w:pPr>
            <w:r>
              <w:t>其中：财政    资金</w:t>
            </w:r>
          </w:p>
        </w:tc>
        <w:tc>
          <w:tcPr>
            <w:tcW w:w="2114" w:type="dxa"/>
            <w:vAlign w:val="center"/>
          </w:tcPr>
          <w:p>
            <w:pPr>
              <w:pStyle w:val="13"/>
            </w:pPr>
            <w:r>
              <w:t>28.80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资金用于奖励入统上限企业，通过数据上报反应馆陶经济发展速度，加快推动馆陶经济发展。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60%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1.资金用于奖励入统上限企业，通过数据上报反应馆陶经济发展速度，加快推动馆陶经济发展。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新增入统企业数量</w:t>
            </w:r>
          </w:p>
        </w:tc>
        <w:tc>
          <w:tcPr>
            <w:tcW w:w="4228" w:type="dxa"/>
            <w:vAlign w:val="center"/>
          </w:tcPr>
          <w:p>
            <w:pPr>
              <w:pStyle w:val="13"/>
            </w:pPr>
            <w:r>
              <w:t>新增社零限上入统商贸企业数量</w:t>
            </w:r>
          </w:p>
        </w:tc>
        <w:tc>
          <w:tcPr>
            <w:tcW w:w="2114" w:type="dxa"/>
            <w:vAlign w:val="center"/>
          </w:tcPr>
          <w:p>
            <w:pPr>
              <w:pStyle w:val="13"/>
            </w:pPr>
            <w:r>
              <w:t>12家</w:t>
            </w:r>
          </w:p>
        </w:tc>
        <w:tc>
          <w:tcPr>
            <w:tcW w:w="2114" w:type="dxa"/>
            <w:vAlign w:val="center"/>
          </w:tcPr>
          <w:p>
            <w:pPr>
              <w:pStyle w:val="13"/>
            </w:pPr>
            <w:r>
              <w:t>新增入统企业和数据上报企业名单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社会消费品零售额增长率</w:t>
            </w:r>
          </w:p>
        </w:tc>
        <w:tc>
          <w:tcPr>
            <w:tcW w:w="4228" w:type="dxa"/>
            <w:vAlign w:val="center"/>
          </w:tcPr>
          <w:p>
            <w:pPr>
              <w:pStyle w:val="13"/>
            </w:pPr>
            <w:r>
              <w:t>社会消费品零售额销售增长率</w:t>
            </w:r>
          </w:p>
        </w:tc>
        <w:tc>
          <w:tcPr>
            <w:tcW w:w="2114" w:type="dxa"/>
            <w:vAlign w:val="center"/>
          </w:tcPr>
          <w:p>
            <w:pPr>
              <w:pStyle w:val="13"/>
            </w:pPr>
            <w:r>
              <w:t>≥9%</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及时完成上报</w:t>
            </w:r>
          </w:p>
        </w:tc>
        <w:tc>
          <w:tcPr>
            <w:tcW w:w="4228" w:type="dxa"/>
            <w:vAlign w:val="center"/>
          </w:tcPr>
          <w:p>
            <w:pPr>
              <w:pStyle w:val="13"/>
            </w:pPr>
            <w:r>
              <w:t>入统限上企业报表及时完成上报</w:t>
            </w:r>
          </w:p>
        </w:tc>
        <w:tc>
          <w:tcPr>
            <w:tcW w:w="2114" w:type="dxa"/>
            <w:vAlign w:val="center"/>
          </w:tcPr>
          <w:p>
            <w:pPr>
              <w:pStyle w:val="13"/>
            </w:pPr>
            <w:r>
              <w:t>≤1年</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入统企业奖励资金</w:t>
            </w:r>
          </w:p>
        </w:tc>
        <w:tc>
          <w:tcPr>
            <w:tcW w:w="4228" w:type="dxa"/>
            <w:vAlign w:val="center"/>
          </w:tcPr>
          <w:p>
            <w:pPr>
              <w:pStyle w:val="13"/>
            </w:pPr>
            <w:r>
              <w:t>入统社会消费品零售总额限上企业奖励资金</w:t>
            </w:r>
          </w:p>
        </w:tc>
        <w:tc>
          <w:tcPr>
            <w:tcW w:w="2114" w:type="dxa"/>
            <w:vAlign w:val="center"/>
          </w:tcPr>
          <w:p>
            <w:pPr>
              <w:pStyle w:val="13"/>
            </w:pPr>
            <w:r>
              <w:t>28.8万元</w:t>
            </w:r>
          </w:p>
        </w:tc>
        <w:tc>
          <w:tcPr>
            <w:tcW w:w="2114" w:type="dxa"/>
            <w:vAlign w:val="center"/>
          </w:tcPr>
          <w:p>
            <w:pPr>
              <w:pStyle w:val="13"/>
            </w:pPr>
            <w:r>
              <w:t>县政府馆政【2014】69号文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促进消费</w:t>
            </w:r>
          </w:p>
        </w:tc>
        <w:tc>
          <w:tcPr>
            <w:tcW w:w="4228" w:type="dxa"/>
            <w:vAlign w:val="center"/>
          </w:tcPr>
          <w:p>
            <w:pPr>
              <w:pStyle w:val="13"/>
            </w:pPr>
            <w:r>
              <w:t>扩大刺激消费，促进馆陶经济发展</w:t>
            </w:r>
          </w:p>
        </w:tc>
        <w:tc>
          <w:tcPr>
            <w:tcW w:w="2114" w:type="dxa"/>
            <w:vAlign w:val="center"/>
          </w:tcPr>
          <w:p>
            <w:pPr>
              <w:pStyle w:val="13"/>
            </w:pPr>
            <w:r>
              <w:t>&gt;10%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保障数据正常上报</w:t>
            </w:r>
          </w:p>
        </w:tc>
        <w:tc>
          <w:tcPr>
            <w:tcW w:w="4228" w:type="dxa"/>
            <w:vAlign w:val="center"/>
          </w:tcPr>
          <w:p>
            <w:pPr>
              <w:pStyle w:val="13"/>
            </w:pPr>
            <w:r>
              <w:t>通过数据上报，正确反应人民消费水平增长</w:t>
            </w:r>
          </w:p>
        </w:tc>
        <w:tc>
          <w:tcPr>
            <w:tcW w:w="2114" w:type="dxa"/>
            <w:vAlign w:val="center"/>
          </w:tcPr>
          <w:p>
            <w:pPr>
              <w:pStyle w:val="13"/>
            </w:pPr>
            <w:r>
              <w:t>9%</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100%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7、外贸企业出口创汇奖励资金绩效目标表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13043324P00002510003E</w:t>
            </w:r>
          </w:p>
        </w:tc>
        <w:tc>
          <w:tcPr>
            <w:tcW w:w="2114" w:type="dxa"/>
            <w:vAlign w:val="center"/>
          </w:tcPr>
          <w:p>
            <w:pPr>
              <w:pStyle w:val="11"/>
            </w:pPr>
            <w:r>
              <w:t>项目名称</w:t>
            </w:r>
          </w:p>
        </w:tc>
        <w:tc>
          <w:tcPr>
            <w:tcW w:w="6342" w:type="dxa"/>
            <w:gridSpan w:val="3"/>
            <w:vAlign w:val="center"/>
          </w:tcPr>
          <w:p>
            <w:pPr>
              <w:pStyle w:val="13"/>
            </w:pPr>
            <w:r>
              <w:t>外贸企业出口创汇奖励资金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资金用于奖励外贸出口创汇企业，进一步鼓励我县外贸企业发展，发挥外贸出口创汇企业拉动我县经济增长的作用。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1.资金用于奖励外贸出口创汇企业，进一步鼓励我县外贸企业发展，发挥外贸出口创汇企业拉动我县经济增长的作用。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出口企业数量</w:t>
            </w:r>
          </w:p>
        </w:tc>
        <w:tc>
          <w:tcPr>
            <w:tcW w:w="4228" w:type="dxa"/>
            <w:vAlign w:val="center"/>
          </w:tcPr>
          <w:p>
            <w:pPr>
              <w:pStyle w:val="13"/>
            </w:pPr>
            <w:r>
              <w:t>增加外贸出口企业数量，增加外贸出口额</w:t>
            </w:r>
          </w:p>
        </w:tc>
        <w:tc>
          <w:tcPr>
            <w:tcW w:w="2114" w:type="dxa"/>
            <w:vAlign w:val="center"/>
          </w:tcPr>
          <w:p>
            <w:pPr>
              <w:pStyle w:val="13"/>
            </w:pPr>
            <w:r>
              <w:t>≥5家</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完成出口创汇任务</w:t>
            </w:r>
          </w:p>
        </w:tc>
        <w:tc>
          <w:tcPr>
            <w:tcW w:w="4228" w:type="dxa"/>
            <w:vAlign w:val="center"/>
          </w:tcPr>
          <w:p>
            <w:pPr>
              <w:pStyle w:val="13"/>
            </w:pPr>
            <w:r>
              <w:t>顺利完成我县外贸出口创汇任务</w:t>
            </w:r>
          </w:p>
        </w:tc>
        <w:tc>
          <w:tcPr>
            <w:tcW w:w="2114" w:type="dxa"/>
            <w:vAlign w:val="center"/>
          </w:tcPr>
          <w:p>
            <w:pPr>
              <w:pStyle w:val="13"/>
            </w:pPr>
            <w:r>
              <w:t>≥100%</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准时发放资金</w:t>
            </w:r>
          </w:p>
        </w:tc>
        <w:tc>
          <w:tcPr>
            <w:tcW w:w="4228" w:type="dxa"/>
            <w:vAlign w:val="center"/>
          </w:tcPr>
          <w:p>
            <w:pPr>
              <w:pStyle w:val="13"/>
            </w:pPr>
            <w:r>
              <w:t>出口创汇奖励资金按时发放到位</w:t>
            </w:r>
          </w:p>
        </w:tc>
        <w:tc>
          <w:tcPr>
            <w:tcW w:w="2114" w:type="dxa"/>
            <w:vAlign w:val="center"/>
          </w:tcPr>
          <w:p>
            <w:pPr>
              <w:pStyle w:val="13"/>
            </w:pPr>
            <w:r>
              <w:t>≤1年</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外贸出口创汇企业奖励资金成本</w:t>
            </w:r>
          </w:p>
        </w:tc>
        <w:tc>
          <w:tcPr>
            <w:tcW w:w="2114" w:type="dxa"/>
            <w:vAlign w:val="center"/>
          </w:tcPr>
          <w:p>
            <w:pPr>
              <w:pStyle w:val="13"/>
            </w:pPr>
            <w:r>
              <w:t>50万元</w:t>
            </w:r>
          </w:p>
        </w:tc>
        <w:tc>
          <w:tcPr>
            <w:tcW w:w="2114" w:type="dxa"/>
            <w:vAlign w:val="center"/>
          </w:tcPr>
          <w:p>
            <w:pPr>
              <w:pStyle w:val="13"/>
            </w:pPr>
            <w:r>
              <w:t>馆政规【2022】6号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促进馆陶经济发展</w:t>
            </w:r>
          </w:p>
        </w:tc>
        <w:tc>
          <w:tcPr>
            <w:tcW w:w="4228" w:type="dxa"/>
            <w:vAlign w:val="center"/>
          </w:tcPr>
          <w:p>
            <w:pPr>
              <w:pStyle w:val="13"/>
            </w:pPr>
            <w:r>
              <w:t>通过外贸出口促进馆陶经济发展，对GDP的贡献率</w:t>
            </w:r>
          </w:p>
        </w:tc>
        <w:tc>
          <w:tcPr>
            <w:tcW w:w="2114" w:type="dxa"/>
            <w:vAlign w:val="center"/>
          </w:tcPr>
          <w:p>
            <w:pPr>
              <w:pStyle w:val="13"/>
            </w:pPr>
            <w:r>
              <w:t>≥2%</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促进企业扩大生产规模</w:t>
            </w:r>
          </w:p>
        </w:tc>
        <w:tc>
          <w:tcPr>
            <w:tcW w:w="4228" w:type="dxa"/>
            <w:vAlign w:val="center"/>
          </w:tcPr>
          <w:p>
            <w:pPr>
              <w:pStyle w:val="13"/>
            </w:pPr>
            <w:r>
              <w:t>促进企业扩大生产规模，增加就业岗位</w:t>
            </w:r>
          </w:p>
        </w:tc>
        <w:tc>
          <w:tcPr>
            <w:tcW w:w="2114" w:type="dxa"/>
            <w:vAlign w:val="center"/>
          </w:tcPr>
          <w:p>
            <w:pPr>
              <w:pStyle w:val="13"/>
            </w:pPr>
            <w:r>
              <w:t>≥200人</w:t>
            </w:r>
          </w:p>
        </w:tc>
        <w:tc>
          <w:tcPr>
            <w:tcW w:w="2114" w:type="dxa"/>
            <w:vAlign w:val="center"/>
          </w:tcPr>
          <w:p>
            <w:pPr>
              <w:pStyle w:val="13"/>
            </w:pPr>
            <w:r>
              <w:t>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外贸出口创汇企业满意度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8、引进外资奖励资金绩效目标表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13043324P00001810007N</w:t>
            </w:r>
          </w:p>
        </w:tc>
        <w:tc>
          <w:tcPr>
            <w:tcW w:w="2114" w:type="dxa"/>
            <w:vAlign w:val="center"/>
          </w:tcPr>
          <w:p>
            <w:pPr>
              <w:pStyle w:val="11"/>
            </w:pPr>
            <w:r>
              <w:t>项目名称</w:t>
            </w:r>
          </w:p>
        </w:tc>
        <w:tc>
          <w:tcPr>
            <w:tcW w:w="6342" w:type="dxa"/>
            <w:gridSpan w:val="3"/>
            <w:vAlign w:val="center"/>
          </w:tcPr>
          <w:p>
            <w:pPr>
              <w:pStyle w:val="13"/>
            </w:pPr>
            <w:r>
              <w:t>引进外资奖励资金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资金用于引进外资企业奖励，保障全县实际利用外资投资总量持续增长，增加企业税收，促进馆陶经济发展。</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1.资金用于引进外资企业奖励，保障全县实际利用外资投资总量持续增长，增加企业税收，促进馆陶经济发展。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引进外资企业数量</w:t>
            </w:r>
          </w:p>
        </w:tc>
        <w:tc>
          <w:tcPr>
            <w:tcW w:w="4228" w:type="dxa"/>
            <w:vAlign w:val="center"/>
          </w:tcPr>
          <w:p>
            <w:pPr>
              <w:pStyle w:val="13"/>
            </w:pPr>
            <w:r>
              <w:t>新增外资企业数量</w:t>
            </w:r>
          </w:p>
        </w:tc>
        <w:tc>
          <w:tcPr>
            <w:tcW w:w="2114" w:type="dxa"/>
            <w:vAlign w:val="center"/>
          </w:tcPr>
          <w:p>
            <w:pPr>
              <w:pStyle w:val="13"/>
            </w:pPr>
            <w:r>
              <w:t>≥3家</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引进外资企业排名</w:t>
            </w:r>
          </w:p>
        </w:tc>
        <w:tc>
          <w:tcPr>
            <w:tcW w:w="4228" w:type="dxa"/>
            <w:vAlign w:val="center"/>
          </w:tcPr>
          <w:p>
            <w:pPr>
              <w:pStyle w:val="13"/>
            </w:pPr>
            <w:r>
              <w:t>实际到位外资在全市的排列名次</w:t>
            </w:r>
          </w:p>
        </w:tc>
        <w:tc>
          <w:tcPr>
            <w:tcW w:w="2114" w:type="dxa"/>
            <w:vAlign w:val="center"/>
          </w:tcPr>
          <w:p>
            <w:pPr>
              <w:pStyle w:val="13"/>
            </w:pPr>
            <w:r>
              <w:t>1名次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及时完成</w:t>
            </w:r>
          </w:p>
        </w:tc>
        <w:tc>
          <w:tcPr>
            <w:tcW w:w="4228" w:type="dxa"/>
            <w:vAlign w:val="center"/>
          </w:tcPr>
          <w:p>
            <w:pPr>
              <w:pStyle w:val="13"/>
            </w:pPr>
            <w:r>
              <w:t>按时完成外资任务</w:t>
            </w:r>
          </w:p>
        </w:tc>
        <w:tc>
          <w:tcPr>
            <w:tcW w:w="2114" w:type="dxa"/>
            <w:vAlign w:val="center"/>
          </w:tcPr>
          <w:p>
            <w:pPr>
              <w:pStyle w:val="13"/>
            </w:pPr>
            <w:r>
              <w:t>≤1年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引进外资奖励资金</w:t>
            </w:r>
          </w:p>
        </w:tc>
        <w:tc>
          <w:tcPr>
            <w:tcW w:w="4228" w:type="dxa"/>
            <w:vAlign w:val="center"/>
          </w:tcPr>
          <w:p>
            <w:pPr>
              <w:pStyle w:val="13"/>
            </w:pPr>
            <w:r>
              <w:t>引进外资投资所需的奖励资金</w:t>
            </w:r>
          </w:p>
        </w:tc>
        <w:tc>
          <w:tcPr>
            <w:tcW w:w="2114" w:type="dxa"/>
            <w:vAlign w:val="center"/>
          </w:tcPr>
          <w:p>
            <w:pPr>
              <w:pStyle w:val="13"/>
            </w:pPr>
            <w:r>
              <w:t>50万元</w:t>
            </w:r>
          </w:p>
        </w:tc>
        <w:tc>
          <w:tcPr>
            <w:tcW w:w="2114" w:type="dxa"/>
            <w:vAlign w:val="center"/>
          </w:tcPr>
          <w:p>
            <w:pPr>
              <w:pStyle w:val="13"/>
            </w:pPr>
            <w:r>
              <w:t>馆政规【2022】6号《馆陶县人民政府关于印发馆陶县鼓励外资外贸企业发展奖励办法的通知》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促进馆陶经济发展</w:t>
            </w:r>
          </w:p>
        </w:tc>
        <w:tc>
          <w:tcPr>
            <w:tcW w:w="4228" w:type="dxa"/>
            <w:vAlign w:val="center"/>
          </w:tcPr>
          <w:p>
            <w:pPr>
              <w:pStyle w:val="13"/>
            </w:pPr>
            <w:r>
              <w:t>增加企业税收，促进馆陶经济发展</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提升就业水平</w:t>
            </w:r>
          </w:p>
        </w:tc>
        <w:tc>
          <w:tcPr>
            <w:tcW w:w="4228" w:type="dxa"/>
            <w:vAlign w:val="center"/>
          </w:tcPr>
          <w:p>
            <w:pPr>
              <w:pStyle w:val="13"/>
            </w:pPr>
            <w:r>
              <w:t>通过引进外资投资发展，提升我县就业水平</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服务企业满意度</w:t>
            </w:r>
          </w:p>
        </w:tc>
        <w:tc>
          <w:tcPr>
            <w:tcW w:w="4228" w:type="dxa"/>
            <w:vAlign w:val="center"/>
          </w:tcPr>
          <w:p>
            <w:pPr>
              <w:pStyle w:val="13"/>
            </w:pPr>
            <w:r>
              <w:t>引进外资企业对奖励资金拨付的满意度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9、驻点招商专班工作经费绩效目标表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13043324P00003410004K</w:t>
            </w:r>
          </w:p>
        </w:tc>
        <w:tc>
          <w:tcPr>
            <w:tcW w:w="2114" w:type="dxa"/>
            <w:vAlign w:val="center"/>
          </w:tcPr>
          <w:p>
            <w:pPr>
              <w:pStyle w:val="11"/>
            </w:pPr>
            <w:r>
              <w:t>项目名称</w:t>
            </w:r>
          </w:p>
        </w:tc>
        <w:tc>
          <w:tcPr>
            <w:tcW w:w="6342" w:type="dxa"/>
            <w:gridSpan w:val="3"/>
            <w:vAlign w:val="center"/>
          </w:tcPr>
          <w:p>
            <w:pPr>
              <w:pStyle w:val="13"/>
            </w:pPr>
            <w:r>
              <w:t>驻点招商专班工作经费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资金主要用于驻点招商专班招商项目考察、签约仪式和办事处房屋租赁等费用支出。项目投产后带动馆陶经济发展增加企业税收,并且新增就业岗位2000余人。</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1.资金主要用于驻点招商专班招商项目考察、签约仪式和办事处房屋租赁等费用支出。项目投产后带动馆陶经济发展增加企业税收,并且新增就业岗位2000余人。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驻点招商专班个数</w:t>
            </w:r>
          </w:p>
        </w:tc>
        <w:tc>
          <w:tcPr>
            <w:tcW w:w="4228" w:type="dxa"/>
            <w:vAlign w:val="center"/>
          </w:tcPr>
          <w:p>
            <w:pPr>
              <w:pStyle w:val="13"/>
            </w:pPr>
            <w:r>
              <w:t>分别在北京、深圳、杭州、郑州、成都设立招商专班的个数</w:t>
            </w:r>
          </w:p>
        </w:tc>
        <w:tc>
          <w:tcPr>
            <w:tcW w:w="2114" w:type="dxa"/>
            <w:vAlign w:val="center"/>
          </w:tcPr>
          <w:p>
            <w:pPr>
              <w:pStyle w:val="13"/>
            </w:pPr>
            <w:r>
              <w:t>5个</w:t>
            </w:r>
          </w:p>
        </w:tc>
        <w:tc>
          <w:tcPr>
            <w:tcW w:w="2114" w:type="dxa"/>
            <w:vAlign w:val="center"/>
          </w:tcPr>
          <w:p>
            <w:pPr>
              <w:pStyle w:val="13"/>
            </w:pPr>
            <w:r>
              <w:t>《关于馆陶县驻点招商工作管理办法》（试行）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签约项目落地完成率</w:t>
            </w:r>
          </w:p>
        </w:tc>
        <w:tc>
          <w:tcPr>
            <w:tcW w:w="4228" w:type="dxa"/>
            <w:vAlign w:val="center"/>
          </w:tcPr>
          <w:p>
            <w:pPr>
              <w:pStyle w:val="13"/>
            </w:pPr>
            <w:r>
              <w:t>落地项目占实际签约项目的比率</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签约项目成功落地投产时间</w:t>
            </w:r>
          </w:p>
        </w:tc>
        <w:tc>
          <w:tcPr>
            <w:tcW w:w="2114" w:type="dxa"/>
            <w:vAlign w:val="center"/>
          </w:tcPr>
          <w:p>
            <w:pPr>
              <w:pStyle w:val="13"/>
            </w:pPr>
            <w:r>
              <w:t>≤12月</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驻点招商专班资金</w:t>
            </w:r>
          </w:p>
        </w:tc>
        <w:tc>
          <w:tcPr>
            <w:tcW w:w="4228" w:type="dxa"/>
            <w:vAlign w:val="center"/>
          </w:tcPr>
          <w:p>
            <w:pPr>
              <w:pStyle w:val="13"/>
            </w:pPr>
            <w:r>
              <w:t>驻点招商办事处资金</w:t>
            </w:r>
          </w:p>
        </w:tc>
        <w:tc>
          <w:tcPr>
            <w:tcW w:w="2114" w:type="dxa"/>
            <w:vAlign w:val="center"/>
          </w:tcPr>
          <w:p>
            <w:pPr>
              <w:pStyle w:val="13"/>
            </w:pPr>
            <w:r>
              <w:t>200万元</w:t>
            </w:r>
          </w:p>
        </w:tc>
        <w:tc>
          <w:tcPr>
            <w:tcW w:w="2114" w:type="dxa"/>
            <w:vAlign w:val="center"/>
          </w:tcPr>
          <w:p>
            <w:pPr>
              <w:pStyle w:val="13"/>
            </w:pPr>
            <w:r>
              <w:t>《关于馆陶县驻点招商工作管理办法》（试行）</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带动馆陶经济发展</w:t>
            </w:r>
          </w:p>
        </w:tc>
        <w:tc>
          <w:tcPr>
            <w:tcW w:w="4228" w:type="dxa"/>
            <w:vAlign w:val="center"/>
          </w:tcPr>
          <w:p>
            <w:pPr>
              <w:pStyle w:val="13"/>
            </w:pPr>
            <w:r>
              <w:t>招商项目投产后带动馆陶经济发展增加企业税收</w:t>
            </w:r>
          </w:p>
        </w:tc>
        <w:tc>
          <w:tcPr>
            <w:tcW w:w="2114" w:type="dxa"/>
            <w:vAlign w:val="center"/>
          </w:tcPr>
          <w:p>
            <w:pPr>
              <w:pStyle w:val="13"/>
            </w:pPr>
            <w:r>
              <w:t>≥5000万元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新增就业岗位</w:t>
            </w:r>
          </w:p>
        </w:tc>
        <w:tc>
          <w:tcPr>
            <w:tcW w:w="4228" w:type="dxa"/>
            <w:vAlign w:val="center"/>
          </w:tcPr>
          <w:p>
            <w:pPr>
              <w:pStyle w:val="13"/>
            </w:pPr>
            <w:r>
              <w:t>招商项目投产后增加就业岗位</w:t>
            </w:r>
          </w:p>
        </w:tc>
        <w:tc>
          <w:tcPr>
            <w:tcW w:w="2114" w:type="dxa"/>
            <w:vAlign w:val="center"/>
          </w:tcPr>
          <w:p>
            <w:pPr>
              <w:pStyle w:val="13"/>
            </w:pPr>
            <w:r>
              <w:t>≥2000人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引进企业满意度</w:t>
            </w:r>
          </w:p>
        </w:tc>
        <w:tc>
          <w:tcPr>
            <w:tcW w:w="4228" w:type="dxa"/>
            <w:vAlign w:val="center"/>
          </w:tcPr>
          <w:p>
            <w:pPr>
              <w:pStyle w:val="13"/>
            </w:pPr>
            <w:r>
              <w:t>引进项目企业对招商工作满意度</w:t>
            </w:r>
          </w:p>
        </w:tc>
        <w:tc>
          <w:tcPr>
            <w:tcW w:w="2114" w:type="dxa"/>
            <w:vAlign w:val="center"/>
          </w:tcPr>
          <w:p>
            <w:pPr>
              <w:pStyle w:val="13"/>
            </w:pPr>
            <w:r>
              <w:t>100%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479馆陶县商务局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馆陶县商务局（含所属单位）上年末固定资产金额为0.00万元（详见下表）。本年度拟购置固定资产总额为0.00万元，已按要求列入政府采购预算，详见政府采购预算表。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479馆陶县商务局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p>
        </w:tc>
        <w:tc>
          <w:tcPr>
            <w:tcW w:w="4933" w:type="dxa"/>
            <w:vAlign w:val="center"/>
          </w:tcPr>
          <w:p>
            <w:pPr>
              <w:pStyle w:val="14"/>
            </w:pPr>
          </w:p>
        </w:tc>
        <w:tc>
          <w:tcPr>
            <w:tcW w:w="49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31181"/>
    <w:multiLevelType w:val="singleLevel"/>
    <w:tmpl w:val="2CD3118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2E46FB5"/>
    <w:rsid w:val="3FF41E30"/>
    <w:rsid w:val="4BE35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2024-03-07T13:24:17Z</dcterms:created>
  <dcterms:modified xsi:type="dcterms:W3CDTF">2024-03-07T05:24:17Z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2024-03-07T13:24:19Z</dcterms:created>
  <dcterms:modified xsi:type="dcterms:W3CDTF">2024-03-07T05:24:19Z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2024-03-07T13:24:19Z</dcterms:created>
  <dcterms:modified xsi:type="dcterms:W3CDTF">2024-03-07T05:24:19Z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2024-03-07T13:24:19Z</dcterms:created>
  <dcterms:modified xsi:type="dcterms:W3CDTF">2024-03-07T05:24:19Z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2024-03-07T13:24:19Z</dcterms:created>
  <dcterms:modified xsi:type="dcterms:W3CDTF">2024-03-07T05:24:19Z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2024-03-07T13:24:18Z</dcterms:created>
  <dcterms:modified xsi:type="dcterms:W3CDTF">2024-03-07T05:24:18Z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2024-03-07T13:24:18Z</dcterms:created>
  <dcterms:modified xsi:type="dcterms:W3CDTF">2024-03-07T05:24:18Z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2024-03-07T13:24:18Z</dcterms:created>
  <dcterms:modified xsi:type="dcterms:W3CDTF">2024-03-07T05:24:18Z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2024-03-07T13:24:14Z</dcterms:created>
  <dcterms:modified xsi:type="dcterms:W3CDTF">2024-03-07T05:24:13Z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2024-03-07T13:24:17Z</dcterms:created>
  <dcterms:modified xsi:type="dcterms:W3CDTF">2024-03-07T05:24:17Z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2024-03-07T13:24:17Z</dcterms:created>
  <dcterms:modified xsi:type="dcterms:W3CDTF">2024-03-07T05:24:17Z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2024-03-07T13:24:17Z</dcterms:created>
  <dcterms:modified xsi:type="dcterms:W3CDTF">2024-03-07T05:24:17Z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2024-03-07T13:24:20Z</dcterms:created>
  <dcterms:modified xsi:type="dcterms:W3CDTF">2024-03-07T05:24:20Z</dcterms:modified>
</cp:coreProperties>
</file>

<file path=customXml/itemProps1.xml><?xml version="1.0" encoding="utf-8"?>
<ds:datastoreItem xmlns:ds="http://schemas.openxmlformats.org/officeDocument/2006/customXml" ds:itemID="{295d2caa-bcc4-478b-9a6b-a3e09c9b1779}">
  <ds:schemaRefs/>
</ds:datastoreItem>
</file>

<file path=customXml/itemProps10.xml><?xml version="1.0" encoding="utf-8"?>
<ds:datastoreItem xmlns:ds="http://schemas.openxmlformats.org/officeDocument/2006/customXml" ds:itemID="{3a9dbfe5-2eb4-4046-a964-ea4706f905e6}">
  <ds:schemaRefs/>
</ds:datastoreItem>
</file>

<file path=customXml/itemProps11.xml><?xml version="1.0" encoding="utf-8"?>
<ds:datastoreItem xmlns:ds="http://schemas.openxmlformats.org/officeDocument/2006/customXml" ds:itemID="{973131aa-b39b-4b17-9ec4-5dd9986a63d7}">
  <ds:schemaRefs/>
</ds:datastoreItem>
</file>

<file path=customXml/itemProps12.xml><?xml version="1.0" encoding="utf-8"?>
<ds:datastoreItem xmlns:ds="http://schemas.openxmlformats.org/officeDocument/2006/customXml" ds:itemID="{e7a848ba-a4bb-41a3-8d9b-04e043022b4a}">
  <ds:schemaRefs/>
</ds:datastoreItem>
</file>

<file path=customXml/itemProps13.xml><?xml version="1.0" encoding="utf-8"?>
<ds:datastoreItem xmlns:ds="http://schemas.openxmlformats.org/officeDocument/2006/customXml" ds:itemID="{82e3744b-ce94-4089-b4fb-dccee4c050b9}">
  <ds:schemaRefs/>
</ds:datastoreItem>
</file>

<file path=customXml/itemProps14.xml><?xml version="1.0" encoding="utf-8"?>
<ds:datastoreItem xmlns:ds="http://schemas.openxmlformats.org/officeDocument/2006/customXml" ds:itemID="{f5c0752d-18d6-4427-813a-71739bb136c8}">
  <ds:schemaRefs/>
</ds:datastoreItem>
</file>

<file path=customXml/itemProps15.xml><?xml version="1.0" encoding="utf-8"?>
<ds:datastoreItem xmlns:ds="http://schemas.openxmlformats.org/officeDocument/2006/customXml" ds:itemID="{8bb1faa3-18e3-40d4-b465-26f1c583ee36}">
  <ds:schemaRefs/>
</ds:datastoreItem>
</file>

<file path=customXml/itemProps16.xml><?xml version="1.0" encoding="utf-8"?>
<ds:datastoreItem xmlns:ds="http://schemas.openxmlformats.org/officeDocument/2006/customXml" ds:itemID="{5167a206-dab1-4ce1-a34a-2ca55dd99004}">
  <ds:schemaRefs/>
</ds:datastoreItem>
</file>

<file path=customXml/itemProps17.xml><?xml version="1.0" encoding="utf-8"?>
<ds:datastoreItem xmlns:ds="http://schemas.openxmlformats.org/officeDocument/2006/customXml" ds:itemID="{0d7ed25c-3c20-45a3-9aef-c6e360de8c31}">
  <ds:schemaRefs/>
</ds:datastoreItem>
</file>

<file path=customXml/itemProps18.xml><?xml version="1.0" encoding="utf-8"?>
<ds:datastoreItem xmlns:ds="http://schemas.openxmlformats.org/officeDocument/2006/customXml" ds:itemID="{6393015d-41b9-4975-8b11-98c5b8447ab7}">
  <ds:schemaRefs/>
</ds:datastoreItem>
</file>

<file path=customXml/itemProps19.xml><?xml version="1.0" encoding="utf-8"?>
<ds:datastoreItem xmlns:ds="http://schemas.openxmlformats.org/officeDocument/2006/customXml" ds:itemID="{db1ad84b-b616-460a-b43a-d9d18f8143b8}">
  <ds:schemaRefs/>
</ds:datastoreItem>
</file>

<file path=customXml/itemProps2.xml><?xml version="1.0" encoding="utf-8"?>
<ds:datastoreItem xmlns:ds="http://schemas.openxmlformats.org/officeDocument/2006/customXml" ds:itemID="{f3ad70f0-f946-4baf-9fd9-9d5daad3db00}">
  <ds:schemaRefs/>
</ds:datastoreItem>
</file>

<file path=customXml/itemProps20.xml><?xml version="1.0" encoding="utf-8"?>
<ds:datastoreItem xmlns:ds="http://schemas.openxmlformats.org/officeDocument/2006/customXml" ds:itemID="{f34405bd-d21e-42f2-8413-2739ce0deefb}">
  <ds:schemaRefs/>
</ds:datastoreItem>
</file>

<file path=customXml/itemProps21.xml><?xml version="1.0" encoding="utf-8"?>
<ds:datastoreItem xmlns:ds="http://schemas.openxmlformats.org/officeDocument/2006/customXml" ds:itemID="{e838a25c-83b4-4add-9985-444773aa6a8d}">
  <ds:schemaRefs/>
</ds:datastoreItem>
</file>

<file path=customXml/itemProps22.xml><?xml version="1.0" encoding="utf-8"?>
<ds:datastoreItem xmlns:ds="http://schemas.openxmlformats.org/officeDocument/2006/customXml" ds:itemID="{0255f757-03b5-4989-97b2-0cc761405caf}">
  <ds:schemaRefs/>
</ds:datastoreItem>
</file>

<file path=customXml/itemProps23.xml><?xml version="1.0" encoding="utf-8"?>
<ds:datastoreItem xmlns:ds="http://schemas.openxmlformats.org/officeDocument/2006/customXml" ds:itemID="{f7fb076a-2364-461f-8fb8-d457ac67c98f}">
  <ds:schemaRefs/>
</ds:datastoreItem>
</file>

<file path=customXml/itemProps24.xml><?xml version="1.0" encoding="utf-8"?>
<ds:datastoreItem xmlns:ds="http://schemas.openxmlformats.org/officeDocument/2006/customXml" ds:itemID="{95408693-d3c9-4faf-928b-e9f998f70e2e}">
  <ds:schemaRefs/>
</ds:datastoreItem>
</file>

<file path=customXml/itemProps25.xml><?xml version="1.0" encoding="utf-8"?>
<ds:datastoreItem xmlns:ds="http://schemas.openxmlformats.org/officeDocument/2006/customXml" ds:itemID="{05cc36ae-4b12-4e95-b2ab-2401558f9521}">
  <ds:schemaRefs/>
</ds:datastoreItem>
</file>

<file path=customXml/itemProps26.xml><?xml version="1.0" encoding="utf-8"?>
<ds:datastoreItem xmlns:ds="http://schemas.openxmlformats.org/officeDocument/2006/customXml" ds:itemID="{fe2617c6-7126-4599-a8a7-a7dc160a9cf4}">
  <ds:schemaRefs/>
</ds:datastoreItem>
</file>

<file path=customXml/itemProps3.xml><?xml version="1.0" encoding="utf-8"?>
<ds:datastoreItem xmlns:ds="http://schemas.openxmlformats.org/officeDocument/2006/customXml" ds:itemID="{c0a8779f-678e-41b9-88dd-325823bd8c7e}">
  <ds:schemaRefs/>
</ds:datastoreItem>
</file>

<file path=customXml/itemProps4.xml><?xml version="1.0" encoding="utf-8"?>
<ds:datastoreItem xmlns:ds="http://schemas.openxmlformats.org/officeDocument/2006/customXml" ds:itemID="{fe53b200-15ed-45eb-8a33-902afe33e984}">
  <ds:schemaRefs/>
</ds:datastoreItem>
</file>

<file path=customXml/itemProps5.xml><?xml version="1.0" encoding="utf-8"?>
<ds:datastoreItem xmlns:ds="http://schemas.openxmlformats.org/officeDocument/2006/customXml" ds:itemID="{be180a35-7f9e-4593-bd8c-db6f7a1120bf}">
  <ds:schemaRefs/>
</ds:datastoreItem>
</file>

<file path=customXml/itemProps6.xml><?xml version="1.0" encoding="utf-8"?>
<ds:datastoreItem xmlns:ds="http://schemas.openxmlformats.org/officeDocument/2006/customXml" ds:itemID="{0d20b571-7ef4-4e53-b40a-7d0df1d875da}">
  <ds:schemaRefs/>
</ds:datastoreItem>
</file>

<file path=customXml/itemProps7.xml><?xml version="1.0" encoding="utf-8"?>
<ds:datastoreItem xmlns:ds="http://schemas.openxmlformats.org/officeDocument/2006/customXml" ds:itemID="{b072d1ce-ff8b-47df-be6a-1f59bca409b0}">
  <ds:schemaRefs/>
</ds:datastoreItem>
</file>

<file path=customXml/itemProps8.xml><?xml version="1.0" encoding="utf-8"?>
<ds:datastoreItem xmlns:ds="http://schemas.openxmlformats.org/officeDocument/2006/customXml" ds:itemID="{46c17dad-d97d-493e-98e2-da4f1a39f64d}">
  <ds:schemaRefs/>
</ds:datastoreItem>
</file>

<file path=customXml/itemProps9.xml><?xml version="1.0" encoding="utf-8"?>
<ds:datastoreItem xmlns:ds="http://schemas.openxmlformats.org/officeDocument/2006/customXml" ds:itemID="{4db23fdd-61f9-40e8-9639-f6f441757248}">
  <ds:schemaRefs/>
</ds:datastoreItem>
</file>

<file path=docProps/app.xml><?xml version="1.0" encoding="utf-8"?>
<Properties xmlns="http://schemas.openxmlformats.org/officeDocument/2006/extended-properties" xmlns:vt="http://schemas.openxmlformats.org/officeDocument/2006/docPropsVTypes">
  <Pages>46</Pages>
  <TotalTime>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2024-03-07T13:24:00Z</dcterms:created>
  <dc:creator>Administrator</dc:creator>
  <cp:lastModifiedBy>Sally</cp:lastModifiedBy>
  <dcterms:modified xsi:type="dcterms:W3CDTF">2024-05-22T01:29:47Z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13C067CE4FCA40EF812A46C4C7588F94_12</vt:lpwstr>
  </property>
</Properties>
</file>