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p>
    <w:p>
      <w:pPr>
        <w:ind w:firstLine="883" w:firstLineChars="200"/>
        <w:jc w:val="center"/>
        <w:rPr>
          <w:rFonts w:hint="eastAsia" w:ascii="宋体" w:hAnsi="宋体"/>
          <w:b/>
          <w:sz w:val="44"/>
          <w:szCs w:val="44"/>
          <w:lang w:eastAsia="zh-CN"/>
        </w:rPr>
      </w:pPr>
      <w:r>
        <w:rPr>
          <w:rFonts w:hint="eastAsia" w:ascii="宋体" w:hAnsi="宋体"/>
          <w:b/>
          <w:sz w:val="44"/>
          <w:szCs w:val="44"/>
        </w:rPr>
        <w:t>馆陶县寿山寺乡</w:t>
      </w:r>
      <w:r>
        <w:rPr>
          <w:rFonts w:hint="eastAsia" w:ascii="宋体" w:hAnsi="宋体"/>
          <w:b/>
          <w:sz w:val="44"/>
          <w:szCs w:val="44"/>
          <w:lang w:eastAsia="zh-CN"/>
        </w:rPr>
        <w:t>人民政府</w:t>
      </w:r>
    </w:p>
    <w:p>
      <w:pPr>
        <w:ind w:firstLine="883" w:firstLineChars="200"/>
        <w:jc w:val="center"/>
        <w:rPr>
          <w:rFonts w:ascii="宋体"/>
          <w:b/>
          <w:sz w:val="44"/>
          <w:szCs w:val="44"/>
        </w:rPr>
      </w:pPr>
      <w:r>
        <w:rPr>
          <w:rFonts w:hint="eastAsia" w:ascii="宋体" w:hAnsi="宋体"/>
          <w:b/>
          <w:sz w:val="44"/>
          <w:szCs w:val="44"/>
          <w:lang w:val="en-US" w:eastAsia="zh-CN"/>
        </w:rPr>
        <w:t>2021</w:t>
      </w:r>
      <w:r>
        <w:rPr>
          <w:rFonts w:hint="eastAsia" w:ascii="宋体" w:hAnsi="宋体"/>
          <w:b/>
          <w:sz w:val="44"/>
          <w:szCs w:val="44"/>
        </w:rPr>
        <w:t>年部门预算信息公开</w:t>
      </w:r>
    </w:p>
    <w:p>
      <w:pPr>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按照《中华人民共和国预算法》、《地方预决算公开操作规程》和《河北省省级预算公开办法》规定，现将我乡</w:t>
      </w:r>
      <w:r>
        <w:rPr>
          <w:rFonts w:hint="eastAsia" w:asciiTheme="majorEastAsia" w:hAnsiTheme="majorEastAsia" w:eastAsiaTheme="majorEastAsia"/>
          <w:sz w:val="32"/>
          <w:szCs w:val="32"/>
          <w:lang w:val="en-US" w:eastAsia="zh-CN"/>
        </w:rPr>
        <w:t>2021</w:t>
      </w:r>
      <w:r>
        <w:rPr>
          <w:rFonts w:hint="eastAsia" w:asciiTheme="majorEastAsia" w:hAnsiTheme="majorEastAsia" w:eastAsiaTheme="majorEastAsia"/>
          <w:sz w:val="32"/>
          <w:szCs w:val="32"/>
        </w:rPr>
        <w:t>年部门预算公开如下：</w:t>
      </w:r>
    </w:p>
    <w:p>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一、部门职责及机构设置情况</w:t>
      </w:r>
    </w:p>
    <w:p>
      <w:pPr>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部门职责：</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乡党委的主要职能是：</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宣传、贯彻党的路线、方针、政策和上级党组织的指示、决定，执行乡党员代表大会（党员大会）决议，讨论决定本乡的重大问题。</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抓好自身和所属党组织的思想、组织和作风建设。</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领导乡经济建设，制定本乡经济和社会发展规划并组织实施。</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领导乡社会主义精神文明和民主法治建设。加强农村社会治安综合治理，贯彻执行党和国家的计划生育政策。</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领导并支持乡政府依法行使各项行政管理职权。</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领到人大主席团及经济组织、人民武装和共青团、妇联等人民团体的工作。</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领导上级有关部门派驻乡单位的党的建设，领导、支持和协调上级有关部门派驻乡单位的工作。</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完成上级党组织交办的其他任务。</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乡政府的主要职能是：贯彻落实好党和国家在农村的各项方针政策和法律法规，做好农业、农村、农民工作。其主要职能为：</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（一）促进经济发展、增加农民收入。</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（二）强化公共服务、着力改善民生。</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（三）加强社会管理、维护农村稳定。</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（四）推进基层民主、促进农村和谐。</w:t>
      </w:r>
    </w:p>
    <w:p>
      <w:pPr>
        <w:ind w:firstLine="640" w:firstLineChars="200"/>
        <w:rPr>
          <w:rFonts w:asciiTheme="majorEastAsia" w:hAnsiTheme="majorEastAsia" w:eastAsiaTheme="majorEastAsia"/>
          <w:sz w:val="32"/>
          <w:szCs w:val="32"/>
        </w:rPr>
      </w:pPr>
      <w:r>
        <w:rPr>
          <w:rFonts w:hint="eastAsia" w:cs="仿宋_GB2312" w:asciiTheme="majorEastAsia" w:hAnsiTheme="majorEastAsia" w:eastAsiaTheme="majorEastAsia"/>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机构设置：</w:t>
      </w:r>
    </w:p>
    <w:p>
      <w:pPr>
        <w:jc w:val="center"/>
        <w:outlineLvl w:val="0"/>
        <w:rPr>
          <w:rFonts w:asciiTheme="majorEastAsia" w:hAnsiTheme="majorEastAsia" w:eastAsiaTheme="majorEastAsia"/>
          <w:sz w:val="32"/>
          <w:szCs w:val="24"/>
        </w:rPr>
      </w:pPr>
      <w:r>
        <w:rPr>
          <w:rFonts w:hint="eastAsia" w:asciiTheme="majorEastAsia" w:hAnsiTheme="majorEastAsia" w:eastAsiaTheme="majorEastAsia"/>
          <w:sz w:val="32"/>
          <w:szCs w:val="24"/>
        </w:rPr>
        <w:t>部门机构设置情况</w:t>
      </w:r>
    </w:p>
    <w:tbl>
      <w:tblPr>
        <w:tblStyle w:val="10"/>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单位名称</w:t>
            </w:r>
          </w:p>
        </w:tc>
        <w:tc>
          <w:tcPr>
            <w:tcW w:w="1588"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单位性质</w:t>
            </w:r>
          </w:p>
        </w:tc>
        <w:tc>
          <w:tcPr>
            <w:tcW w:w="1787"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单位规格</w:t>
            </w:r>
          </w:p>
        </w:tc>
        <w:tc>
          <w:tcPr>
            <w:tcW w:w="4063"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heme="majorEastAsia" w:hAnsiTheme="majorEastAsia" w:eastAsiaTheme="majorEastAsia"/>
                <w:sz w:val="32"/>
                <w:szCs w:val="32"/>
              </w:rPr>
            </w:pPr>
          </w:p>
        </w:tc>
        <w:tc>
          <w:tcPr>
            <w:tcW w:w="1588" w:type="dxa"/>
            <w:vMerge w:val="continue"/>
            <w:vAlign w:val="center"/>
          </w:tcPr>
          <w:p>
            <w:pPr>
              <w:spacing w:line="300" w:lineRule="exact"/>
              <w:jc w:val="left"/>
              <w:outlineLvl w:val="0"/>
              <w:rPr>
                <w:rFonts w:asciiTheme="majorEastAsia" w:hAnsiTheme="majorEastAsia" w:eastAsiaTheme="majorEastAsia"/>
                <w:sz w:val="32"/>
                <w:szCs w:val="32"/>
              </w:rPr>
            </w:pPr>
          </w:p>
        </w:tc>
        <w:tc>
          <w:tcPr>
            <w:tcW w:w="1787" w:type="dxa"/>
            <w:vMerge w:val="continue"/>
            <w:vAlign w:val="center"/>
          </w:tcPr>
          <w:p>
            <w:pPr>
              <w:spacing w:line="300" w:lineRule="exact"/>
              <w:jc w:val="left"/>
              <w:outlineLvl w:val="0"/>
              <w:rPr>
                <w:rFonts w:asciiTheme="majorEastAsia" w:hAnsiTheme="majorEastAsia" w:eastAsiaTheme="majorEastAsia"/>
                <w:sz w:val="32"/>
                <w:szCs w:val="32"/>
              </w:rPr>
            </w:pPr>
          </w:p>
        </w:tc>
        <w:tc>
          <w:tcPr>
            <w:tcW w:w="4063" w:type="dxa"/>
            <w:vMerge w:val="continue"/>
            <w:vAlign w:val="center"/>
          </w:tcPr>
          <w:p>
            <w:pPr>
              <w:spacing w:line="300" w:lineRule="exact"/>
              <w:jc w:val="left"/>
              <w:outlineLvl w:val="0"/>
              <w:rPr>
                <w:rFonts w:asciiTheme="majorEastAsia" w:hAnsiTheme="majorEastAsia" w:eastAsiaTheme="majorEastAsia"/>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寿山寺乡人民政府</w:t>
            </w:r>
          </w:p>
        </w:tc>
        <w:tc>
          <w:tcPr>
            <w:tcW w:w="1588"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行政</w:t>
            </w:r>
          </w:p>
        </w:tc>
        <w:tc>
          <w:tcPr>
            <w:tcW w:w="1787"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寿山寺乡党委</w:t>
            </w:r>
          </w:p>
        </w:tc>
        <w:tc>
          <w:tcPr>
            <w:tcW w:w="1588"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行政</w:t>
            </w:r>
          </w:p>
        </w:tc>
        <w:tc>
          <w:tcPr>
            <w:tcW w:w="1787"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寿山寺乡计生站</w:t>
            </w:r>
          </w:p>
        </w:tc>
        <w:tc>
          <w:tcPr>
            <w:tcW w:w="1588"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事业</w:t>
            </w:r>
          </w:p>
        </w:tc>
        <w:tc>
          <w:tcPr>
            <w:tcW w:w="1787"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bl>
    <w:p>
      <w:pPr>
        <w:rPr>
          <w:rFonts w:asciiTheme="majorEastAsia" w:hAnsiTheme="majorEastAsia" w:eastAsiaTheme="majorEastAsia"/>
        </w:rPr>
      </w:pPr>
    </w:p>
    <w:p>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二、部门预算安排的总体情况</w:t>
      </w:r>
    </w:p>
    <w:p>
      <w:pPr>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按照预算管理有关规定，目前我县部门预算的编制实行综合预算制度，即全部收入和支出都反映在预算中。馆陶县寿山寺乡人民政府及所属事业单位的收支包含在部门预算中。</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1</w:t>
      </w:r>
      <w:r>
        <w:rPr>
          <w:rFonts w:hint="eastAsia" w:asciiTheme="majorEastAsia" w:hAnsiTheme="majorEastAsia" w:eastAsiaTheme="majorEastAsia"/>
          <w:sz w:val="32"/>
          <w:szCs w:val="32"/>
        </w:rPr>
        <w:t>、收入说明</w:t>
      </w:r>
    </w:p>
    <w:p>
      <w:pPr>
        <w:ind w:firstLine="640"/>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反映本部门当年全部收入。</w:t>
      </w:r>
      <w:r>
        <w:rPr>
          <w:rFonts w:hint="eastAsia" w:asciiTheme="majorEastAsia" w:hAnsiTheme="majorEastAsia" w:eastAsiaTheme="majorEastAsia"/>
          <w:sz w:val="32"/>
          <w:szCs w:val="32"/>
          <w:lang w:val="en-US" w:eastAsia="zh-CN"/>
        </w:rPr>
        <w:t>2021</w:t>
      </w:r>
      <w:r>
        <w:rPr>
          <w:rFonts w:hint="eastAsia" w:asciiTheme="majorEastAsia" w:hAnsiTheme="majorEastAsia" w:eastAsiaTheme="majorEastAsia"/>
          <w:sz w:val="32"/>
          <w:szCs w:val="32"/>
        </w:rPr>
        <w:t>年预算收入</w:t>
      </w:r>
      <w:r>
        <w:rPr>
          <w:rFonts w:hint="eastAsia" w:asciiTheme="majorEastAsia" w:hAnsiTheme="majorEastAsia" w:eastAsiaTheme="majorEastAsia"/>
          <w:sz w:val="32"/>
          <w:szCs w:val="32"/>
          <w:lang w:val="en-US" w:eastAsia="zh-CN"/>
        </w:rPr>
        <w:t>6303.58</w:t>
      </w:r>
      <w:r>
        <w:rPr>
          <w:rFonts w:hint="eastAsia" w:asciiTheme="majorEastAsia" w:hAnsiTheme="majorEastAsia" w:eastAsiaTheme="majorEastAsia"/>
          <w:sz w:val="32"/>
          <w:szCs w:val="32"/>
        </w:rPr>
        <w:t>万元，其中：一般公共预算收入</w:t>
      </w:r>
      <w:r>
        <w:rPr>
          <w:rFonts w:hint="eastAsia" w:asciiTheme="majorEastAsia" w:hAnsiTheme="majorEastAsia" w:eastAsiaTheme="majorEastAsia"/>
          <w:sz w:val="32"/>
          <w:szCs w:val="32"/>
          <w:lang w:val="en-US" w:eastAsia="zh-CN"/>
        </w:rPr>
        <w:t>2778.5</w:t>
      </w:r>
      <w:r>
        <w:rPr>
          <w:rFonts w:hint="eastAsia" w:asciiTheme="majorEastAsia" w:hAnsiTheme="majorEastAsia" w:eastAsiaTheme="majorEastAsia"/>
          <w:sz w:val="32"/>
          <w:szCs w:val="32"/>
        </w:rPr>
        <w:t>万元，基金预算收入</w:t>
      </w:r>
      <w:r>
        <w:rPr>
          <w:rFonts w:hint="eastAsia" w:asciiTheme="majorEastAsia" w:hAnsiTheme="majorEastAsia" w:eastAsiaTheme="majorEastAsia"/>
          <w:sz w:val="32"/>
          <w:szCs w:val="32"/>
          <w:lang w:val="en-US" w:eastAsia="zh-CN"/>
        </w:rPr>
        <w:t>3525.08</w:t>
      </w:r>
      <w:r>
        <w:rPr>
          <w:rFonts w:hint="eastAsia" w:asciiTheme="majorEastAsia" w:hAnsiTheme="majorEastAsia" w:eastAsiaTheme="majorEastAsia"/>
          <w:sz w:val="32"/>
          <w:szCs w:val="32"/>
        </w:rPr>
        <w:t>万元</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财政专户核拨收入0万元，其他来源收入0万元。</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2</w:t>
      </w:r>
      <w:r>
        <w:rPr>
          <w:rFonts w:hint="eastAsia" w:asciiTheme="majorEastAsia" w:hAnsiTheme="majorEastAsia" w:eastAsiaTheme="majorEastAsia"/>
          <w:sz w:val="32"/>
          <w:szCs w:val="32"/>
        </w:rPr>
        <w:t>、支出说明</w:t>
      </w:r>
    </w:p>
    <w:p>
      <w:pPr>
        <w:ind w:firstLine="640"/>
        <w:rPr>
          <w:rFonts w:hint="default" w:asciiTheme="majorEastAsia" w:hAnsiTheme="majorEastAsia" w:eastAsiaTheme="majorEastAsia"/>
          <w:sz w:val="32"/>
          <w:szCs w:val="32"/>
          <w:lang w:val="en-US" w:eastAsia="zh-CN"/>
        </w:rPr>
      </w:pPr>
      <w:r>
        <w:rPr>
          <w:rFonts w:hint="eastAsia" w:ascii="Times New Roman" w:hAnsi="Times New Roman" w:eastAsia="仿宋" w:cs="Times New Roman"/>
          <w:sz w:val="32"/>
          <w:szCs w:val="32"/>
        </w:rPr>
        <w:t>收</w:t>
      </w:r>
      <w:r>
        <w:rPr>
          <w:rFonts w:hint="eastAsia" w:asciiTheme="majorEastAsia" w:hAnsiTheme="majorEastAsia" w:eastAsiaTheme="majorEastAsia"/>
          <w:sz w:val="32"/>
          <w:szCs w:val="32"/>
        </w:rPr>
        <w:t>支预算总表支出栏、基本支出表、项目支出表按经济分类和支出功能分类科目编制，反映</w:t>
      </w:r>
      <w:r>
        <w:rPr>
          <w:rFonts w:hint="eastAsia" w:asciiTheme="majorEastAsia" w:hAnsiTheme="majorEastAsia" w:eastAsiaTheme="majorEastAsia"/>
          <w:sz w:val="32"/>
          <w:szCs w:val="32"/>
          <w:lang w:eastAsia="zh-CN"/>
        </w:rPr>
        <w:t>寿山寺乡政府</w:t>
      </w:r>
      <w:r>
        <w:rPr>
          <w:rFonts w:hint="eastAsia" w:asciiTheme="majorEastAsia" w:hAnsiTheme="majorEastAsia" w:eastAsiaTheme="majorEastAsia"/>
          <w:sz w:val="32"/>
          <w:szCs w:val="32"/>
        </w:rPr>
        <w:t>年度部门预算中支出预算的总体情况。收支预算总表支出栏、基本支出表、项目支出表按经济分类和支出功能分类科目编制，反映省财馆陶县寿山寺乡人民政府部门预算中支出预算的总体情况。</w:t>
      </w:r>
      <w:r>
        <w:rPr>
          <w:rFonts w:hint="eastAsia" w:asciiTheme="majorEastAsia" w:hAnsiTheme="majorEastAsia" w:eastAsiaTheme="majorEastAsia"/>
          <w:sz w:val="32"/>
          <w:szCs w:val="32"/>
          <w:lang w:val="en-US" w:eastAsia="zh-CN"/>
        </w:rPr>
        <w:t>2021</w:t>
      </w:r>
      <w:r>
        <w:rPr>
          <w:rFonts w:hint="eastAsia" w:asciiTheme="majorEastAsia" w:hAnsiTheme="majorEastAsia" w:eastAsiaTheme="majorEastAsia"/>
          <w:sz w:val="32"/>
          <w:szCs w:val="32"/>
        </w:rPr>
        <w:t>年支出预算</w:t>
      </w:r>
      <w:r>
        <w:rPr>
          <w:rFonts w:hint="eastAsia" w:asciiTheme="majorEastAsia" w:hAnsiTheme="majorEastAsia" w:eastAsiaTheme="majorEastAsia"/>
          <w:sz w:val="32"/>
          <w:szCs w:val="32"/>
          <w:lang w:val="en-US" w:eastAsia="zh-CN"/>
        </w:rPr>
        <w:t>6303.58</w:t>
      </w:r>
      <w:r>
        <w:rPr>
          <w:rFonts w:hint="eastAsia" w:asciiTheme="majorEastAsia" w:hAnsiTheme="majorEastAsia" w:eastAsiaTheme="majorEastAsia"/>
          <w:sz w:val="32"/>
          <w:szCs w:val="32"/>
        </w:rPr>
        <w:t>万元，其中基本支出</w:t>
      </w:r>
      <w:r>
        <w:rPr>
          <w:rFonts w:hint="eastAsia" w:asciiTheme="majorEastAsia" w:hAnsiTheme="majorEastAsia" w:eastAsiaTheme="majorEastAsia"/>
          <w:sz w:val="32"/>
          <w:szCs w:val="32"/>
          <w:lang w:val="en-US" w:eastAsia="zh-CN"/>
        </w:rPr>
        <w:t>557.5</w:t>
      </w:r>
      <w:r>
        <w:rPr>
          <w:rFonts w:hint="eastAsia" w:asciiTheme="majorEastAsia" w:hAnsiTheme="majorEastAsia" w:eastAsiaTheme="majorEastAsia"/>
          <w:sz w:val="32"/>
          <w:szCs w:val="32"/>
        </w:rPr>
        <w:t>万元，包括人员经费</w:t>
      </w:r>
      <w:r>
        <w:rPr>
          <w:rFonts w:hint="eastAsia" w:asciiTheme="majorEastAsia" w:hAnsiTheme="majorEastAsia" w:eastAsiaTheme="majorEastAsia"/>
          <w:sz w:val="32"/>
          <w:szCs w:val="32"/>
          <w:lang w:val="en-US" w:eastAsia="zh-CN"/>
        </w:rPr>
        <w:t>501.5</w:t>
      </w:r>
      <w:r>
        <w:rPr>
          <w:rFonts w:hint="eastAsia" w:asciiTheme="majorEastAsia" w:hAnsiTheme="majorEastAsia" w:eastAsiaTheme="majorEastAsia"/>
          <w:sz w:val="32"/>
          <w:szCs w:val="32"/>
        </w:rPr>
        <w:t>万元和日常公用经费</w:t>
      </w:r>
      <w:r>
        <w:rPr>
          <w:rFonts w:hint="eastAsia" w:asciiTheme="majorEastAsia" w:hAnsiTheme="majorEastAsia" w:eastAsiaTheme="majorEastAsia"/>
          <w:sz w:val="32"/>
          <w:szCs w:val="32"/>
          <w:lang w:val="en-US" w:eastAsia="zh-CN"/>
        </w:rPr>
        <w:t>56</w:t>
      </w:r>
      <w:r>
        <w:rPr>
          <w:rFonts w:hint="eastAsia" w:asciiTheme="majorEastAsia" w:hAnsiTheme="majorEastAsia" w:eastAsiaTheme="majorEastAsia"/>
          <w:sz w:val="32"/>
          <w:szCs w:val="32"/>
        </w:rPr>
        <w:t>万元；项目支出</w:t>
      </w:r>
      <w:r>
        <w:rPr>
          <w:rFonts w:hint="eastAsia" w:asciiTheme="majorEastAsia" w:hAnsiTheme="majorEastAsia" w:eastAsiaTheme="majorEastAsia"/>
          <w:sz w:val="32"/>
          <w:szCs w:val="32"/>
          <w:lang w:val="en-US" w:eastAsia="zh-CN"/>
        </w:rPr>
        <w:t>5746.08</w:t>
      </w:r>
      <w:r>
        <w:rPr>
          <w:rFonts w:hint="eastAsia" w:asciiTheme="majorEastAsia" w:hAnsiTheme="majorEastAsia" w:eastAsiaTheme="majorEastAsia"/>
          <w:sz w:val="32"/>
          <w:szCs w:val="32"/>
        </w:rPr>
        <w:t>万元，主要</w:t>
      </w:r>
      <w:r>
        <w:rPr>
          <w:rFonts w:hint="eastAsia" w:asciiTheme="majorEastAsia" w:hAnsiTheme="majorEastAsia" w:eastAsiaTheme="majorEastAsia"/>
          <w:sz w:val="32"/>
          <w:szCs w:val="32"/>
          <w:lang w:eastAsia="zh-CN"/>
        </w:rPr>
        <w:t>原因项目占地补偿资金增加</w:t>
      </w:r>
      <w:r>
        <w:rPr>
          <w:rFonts w:hint="eastAsia" w:asciiTheme="majorEastAsia" w:hAnsiTheme="majorEastAsia" w:eastAsiaTheme="majorEastAsia"/>
          <w:sz w:val="32"/>
          <w:szCs w:val="32"/>
        </w:rPr>
        <w:t>。</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3</w:t>
      </w:r>
      <w:r>
        <w:rPr>
          <w:rFonts w:hint="eastAsia" w:asciiTheme="majorEastAsia" w:hAnsiTheme="majorEastAsia" w:eastAsiaTheme="majorEastAsia"/>
          <w:sz w:val="32"/>
          <w:szCs w:val="32"/>
        </w:rPr>
        <w:t>、比上年增减情况</w:t>
      </w:r>
    </w:p>
    <w:p>
      <w:pPr>
        <w:ind w:firstLine="640"/>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2021</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eastAsia="zh-CN"/>
        </w:rPr>
        <w:t>部门</w:t>
      </w:r>
      <w:r>
        <w:rPr>
          <w:rFonts w:hint="eastAsia" w:asciiTheme="majorEastAsia" w:hAnsiTheme="majorEastAsia" w:eastAsiaTheme="majorEastAsia"/>
          <w:sz w:val="32"/>
          <w:szCs w:val="32"/>
        </w:rPr>
        <w:t>预算收支安排</w:t>
      </w:r>
      <w:r>
        <w:rPr>
          <w:rFonts w:hint="eastAsia" w:asciiTheme="majorEastAsia" w:hAnsiTheme="majorEastAsia" w:eastAsiaTheme="majorEastAsia"/>
          <w:sz w:val="32"/>
          <w:szCs w:val="32"/>
          <w:lang w:val="en-US" w:eastAsia="zh-CN"/>
        </w:rPr>
        <w:t>6303.58</w:t>
      </w:r>
      <w:r>
        <w:rPr>
          <w:rFonts w:hint="eastAsia" w:asciiTheme="majorEastAsia" w:hAnsiTheme="majorEastAsia" w:eastAsiaTheme="majorEastAsia"/>
          <w:sz w:val="32"/>
          <w:szCs w:val="32"/>
        </w:rPr>
        <w:t>万元，较</w:t>
      </w:r>
      <w:r>
        <w:rPr>
          <w:rFonts w:hint="eastAsia" w:asciiTheme="majorEastAsia" w:hAnsiTheme="majorEastAsia" w:eastAsiaTheme="majorEastAsia"/>
          <w:sz w:val="32"/>
          <w:szCs w:val="32"/>
          <w:lang w:val="en-US" w:eastAsia="zh-CN"/>
        </w:rPr>
        <w:t>2020</w:t>
      </w:r>
      <w:r>
        <w:rPr>
          <w:rFonts w:hint="eastAsia" w:asciiTheme="majorEastAsia" w:hAnsiTheme="majorEastAsia" w:eastAsiaTheme="majorEastAsia"/>
          <w:sz w:val="32"/>
          <w:szCs w:val="32"/>
        </w:rPr>
        <w:t>年预算增加</w:t>
      </w:r>
      <w:r>
        <w:rPr>
          <w:rFonts w:hint="eastAsia" w:asciiTheme="majorEastAsia" w:hAnsiTheme="majorEastAsia" w:eastAsiaTheme="majorEastAsia"/>
          <w:sz w:val="32"/>
          <w:szCs w:val="32"/>
          <w:lang w:val="en-US" w:eastAsia="zh-CN"/>
        </w:rPr>
        <w:t>2331.95</w:t>
      </w:r>
      <w:r>
        <w:rPr>
          <w:rFonts w:hint="eastAsia" w:asciiTheme="majorEastAsia" w:hAnsiTheme="majorEastAsia" w:eastAsiaTheme="majorEastAsia"/>
          <w:sz w:val="32"/>
          <w:szCs w:val="32"/>
        </w:rPr>
        <w:t>万元，其中：基本支出增加</w:t>
      </w:r>
      <w:r>
        <w:rPr>
          <w:rFonts w:hint="eastAsia" w:asciiTheme="majorEastAsia" w:hAnsiTheme="majorEastAsia" w:eastAsiaTheme="majorEastAsia"/>
          <w:sz w:val="32"/>
          <w:szCs w:val="32"/>
          <w:lang w:val="en-US" w:eastAsia="zh-CN"/>
        </w:rPr>
        <w:t>46.2</w:t>
      </w:r>
      <w:r>
        <w:rPr>
          <w:rFonts w:hint="eastAsia" w:asciiTheme="majorEastAsia" w:hAnsiTheme="majorEastAsia" w:eastAsiaTheme="majorEastAsia"/>
          <w:sz w:val="32"/>
          <w:szCs w:val="32"/>
        </w:rPr>
        <w:t>万元，</w:t>
      </w:r>
      <w:r>
        <w:rPr>
          <w:rFonts w:hint="eastAsia" w:asciiTheme="minorEastAsia" w:hAnsiTheme="minorEastAsia" w:eastAsiaTheme="minorEastAsia"/>
          <w:sz w:val="32"/>
          <w:szCs w:val="32"/>
        </w:rPr>
        <w:t>原因是我单位新增人员，增加日常公用经费</w:t>
      </w:r>
      <w:r>
        <w:rPr>
          <w:rFonts w:hint="eastAsia" w:asciiTheme="minorEastAsia" w:hAnsiTheme="minorEastAsia" w:eastAsiaTheme="minorEastAsia"/>
          <w:sz w:val="32"/>
          <w:szCs w:val="32"/>
          <w:lang w:eastAsia="zh-CN"/>
        </w:rPr>
        <w:t>。</w:t>
      </w:r>
      <w:r>
        <w:rPr>
          <w:rFonts w:hint="eastAsia" w:asciiTheme="majorEastAsia" w:hAnsiTheme="majorEastAsia" w:eastAsiaTheme="majorEastAsia"/>
          <w:sz w:val="32"/>
          <w:szCs w:val="32"/>
        </w:rPr>
        <w:t>项目支出增加</w:t>
      </w:r>
      <w:r>
        <w:rPr>
          <w:rFonts w:hint="eastAsia" w:asciiTheme="majorEastAsia" w:hAnsiTheme="majorEastAsia" w:eastAsiaTheme="majorEastAsia"/>
          <w:sz w:val="32"/>
          <w:szCs w:val="32"/>
          <w:lang w:val="en-US" w:eastAsia="zh-CN"/>
        </w:rPr>
        <w:t>2285.75</w:t>
      </w:r>
      <w:r>
        <w:rPr>
          <w:rFonts w:hint="eastAsia" w:asciiTheme="majorEastAsia" w:hAnsiTheme="majorEastAsia" w:eastAsiaTheme="majorEastAsia"/>
          <w:sz w:val="32"/>
          <w:szCs w:val="32"/>
        </w:rPr>
        <w:t>万元，主要</w:t>
      </w:r>
      <w:r>
        <w:rPr>
          <w:rFonts w:hint="eastAsia" w:asciiTheme="majorEastAsia" w:hAnsiTheme="majorEastAsia" w:eastAsiaTheme="majorEastAsia"/>
          <w:sz w:val="32"/>
          <w:szCs w:val="32"/>
          <w:lang w:eastAsia="zh-CN"/>
        </w:rPr>
        <w:t>原因</w:t>
      </w:r>
      <w:r>
        <w:rPr>
          <w:rFonts w:hint="eastAsia" w:asciiTheme="majorEastAsia" w:hAnsiTheme="majorEastAsia" w:eastAsiaTheme="majorEastAsia"/>
          <w:sz w:val="32"/>
          <w:szCs w:val="32"/>
        </w:rPr>
        <w:t>为</w:t>
      </w:r>
      <w:r>
        <w:rPr>
          <w:rFonts w:hint="eastAsia" w:asciiTheme="majorEastAsia" w:hAnsiTheme="majorEastAsia" w:eastAsiaTheme="majorEastAsia"/>
          <w:sz w:val="32"/>
          <w:szCs w:val="32"/>
          <w:lang w:eastAsia="zh-CN"/>
        </w:rPr>
        <w:t>项目占地资金增加</w:t>
      </w:r>
      <w:r>
        <w:rPr>
          <w:rFonts w:hint="eastAsia" w:asciiTheme="majorEastAsia" w:hAnsiTheme="majorEastAsia" w:eastAsiaTheme="majorEastAsia"/>
          <w:sz w:val="32"/>
          <w:szCs w:val="32"/>
        </w:rPr>
        <w:t>。</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三、机关运行经费安排情况</w:t>
      </w:r>
    </w:p>
    <w:p>
      <w:pPr>
        <w:autoSpaceDE w:val="0"/>
        <w:autoSpaceDN w:val="0"/>
        <w:adjustRightInd w:val="0"/>
        <w:ind w:left="198" w:firstLine="640" w:firstLineChars="200"/>
        <w:jc w:val="left"/>
        <w:rPr>
          <w:rFonts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2021</w:t>
      </w:r>
      <w:r>
        <w:rPr>
          <w:rFonts w:hint="eastAsia" w:asciiTheme="majorEastAsia" w:hAnsiTheme="majorEastAsia" w:eastAsiaTheme="majorEastAsia"/>
          <w:sz w:val="32"/>
          <w:szCs w:val="32"/>
        </w:rPr>
        <w:t>年，馆陶县寿山寺乡机关运行经费共计安排</w:t>
      </w:r>
      <w:r>
        <w:rPr>
          <w:rFonts w:hint="eastAsia" w:asciiTheme="majorEastAsia" w:hAnsiTheme="majorEastAsia" w:eastAsiaTheme="majorEastAsia"/>
          <w:sz w:val="32"/>
          <w:szCs w:val="32"/>
          <w:lang w:val="en-US" w:eastAsia="zh-CN"/>
        </w:rPr>
        <w:t>56</w:t>
      </w:r>
      <w:r>
        <w:rPr>
          <w:rFonts w:hint="eastAsia" w:asciiTheme="majorEastAsia" w:hAnsiTheme="majorEastAsia" w:eastAsiaTheme="majorEastAsia"/>
          <w:sz w:val="32"/>
          <w:szCs w:val="32"/>
        </w:rPr>
        <w:t>万元，主要用于办公费、</w:t>
      </w:r>
      <w:r>
        <w:rPr>
          <w:rFonts w:hint="eastAsia" w:asciiTheme="majorEastAsia" w:hAnsiTheme="majorEastAsia" w:eastAsiaTheme="majorEastAsia"/>
          <w:sz w:val="32"/>
          <w:szCs w:val="32"/>
          <w:lang w:eastAsia="zh-CN"/>
        </w:rPr>
        <w:t>水费、电费、</w:t>
      </w:r>
      <w:r>
        <w:rPr>
          <w:rFonts w:hint="eastAsia" w:asciiTheme="majorEastAsia" w:hAnsiTheme="majorEastAsia" w:eastAsiaTheme="majorEastAsia"/>
          <w:sz w:val="32"/>
          <w:szCs w:val="32"/>
        </w:rPr>
        <w:t>印刷费、邮电费、公务交通补贴等日常运行支出。</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四、财政拨款“三公”经费预算情况及增减变化原因</w:t>
      </w:r>
    </w:p>
    <w:p>
      <w:pPr>
        <w:autoSpaceDE w:val="0"/>
        <w:autoSpaceDN w:val="0"/>
        <w:adjustRightInd w:val="0"/>
        <w:ind w:left="198" w:firstLine="640" w:firstLineChars="200"/>
        <w:jc w:val="left"/>
        <w:rPr>
          <w:rFonts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2021</w:t>
      </w:r>
      <w:r>
        <w:rPr>
          <w:rFonts w:hint="eastAsia" w:asciiTheme="majorEastAsia" w:hAnsiTheme="majorEastAsia" w:eastAsiaTheme="majorEastAsia"/>
          <w:sz w:val="32"/>
          <w:szCs w:val="32"/>
        </w:rPr>
        <w:t>年，馆陶县寿山寺乡财政拨款“三公”经费预算安排</w:t>
      </w:r>
      <w:r>
        <w:rPr>
          <w:rFonts w:hint="eastAsia" w:asciiTheme="majorEastAsia" w:hAnsiTheme="majorEastAsia" w:eastAsiaTheme="majorEastAsia"/>
          <w:sz w:val="32"/>
          <w:szCs w:val="32"/>
          <w:lang w:val="en-US" w:eastAsia="zh-CN"/>
        </w:rPr>
        <w:t>0</w:t>
      </w:r>
      <w:r>
        <w:rPr>
          <w:rFonts w:hint="eastAsia" w:asciiTheme="majorEastAsia" w:hAnsiTheme="majorEastAsia" w:eastAsiaTheme="majorEastAsia"/>
          <w:sz w:val="32"/>
          <w:szCs w:val="32"/>
        </w:rPr>
        <w:t>万元，</w:t>
      </w:r>
      <w:r>
        <w:rPr>
          <w:rFonts w:hint="eastAsia" w:asciiTheme="majorEastAsia" w:hAnsiTheme="majorEastAsia" w:eastAsiaTheme="majorEastAsia"/>
          <w:sz w:val="32"/>
          <w:szCs w:val="32"/>
          <w:lang w:eastAsia="zh-CN"/>
        </w:rPr>
        <w:t>较</w:t>
      </w:r>
      <w:r>
        <w:rPr>
          <w:rFonts w:hint="eastAsia" w:asciiTheme="majorEastAsia" w:hAnsiTheme="majorEastAsia" w:eastAsiaTheme="majorEastAsia"/>
          <w:sz w:val="32"/>
          <w:szCs w:val="32"/>
          <w:lang w:val="en-US" w:eastAsia="zh-CN"/>
        </w:rPr>
        <w:t>2020年减少0万元，</w:t>
      </w:r>
      <w:r>
        <w:rPr>
          <w:rFonts w:hint="eastAsia" w:asciiTheme="majorEastAsia" w:hAnsiTheme="majorEastAsia" w:eastAsiaTheme="majorEastAsia"/>
          <w:sz w:val="32"/>
          <w:szCs w:val="32"/>
        </w:rPr>
        <w:t>主要原因是我单位</w:t>
      </w:r>
      <w:r>
        <w:rPr>
          <w:rFonts w:hint="eastAsia" w:asciiTheme="majorEastAsia" w:hAnsiTheme="majorEastAsia" w:eastAsiaTheme="majorEastAsia"/>
          <w:sz w:val="32"/>
          <w:szCs w:val="32"/>
          <w:lang w:val="zh-CN"/>
        </w:rPr>
        <w:t>厉行节约，</w:t>
      </w:r>
      <w:r>
        <w:rPr>
          <w:rFonts w:hint="eastAsia" w:cs="仿宋_GB2312" w:asciiTheme="majorEastAsia" w:hAnsiTheme="majorEastAsia" w:eastAsiaTheme="majorEastAsia"/>
          <w:color w:val="000000"/>
          <w:sz w:val="32"/>
          <w:szCs w:val="32"/>
        </w:rPr>
        <w:t>严格执行八项规定</w:t>
      </w:r>
      <w:r>
        <w:rPr>
          <w:rFonts w:hint="eastAsia" w:asciiTheme="majorEastAsia" w:hAnsiTheme="majorEastAsia" w:eastAsiaTheme="majorEastAsia"/>
          <w:sz w:val="32"/>
          <w:szCs w:val="32"/>
        </w:rPr>
        <w:t>。</w:t>
      </w:r>
    </w:p>
    <w:p>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五、绩效预算信息</w:t>
      </w:r>
      <w:bookmarkStart w:id="3" w:name="_GoBack"/>
      <w:bookmarkEnd w:id="3"/>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color w:val="000000"/>
          <w:sz w:val="32"/>
          <w:shd w:val="clear" w:color="auto" w:fill="FFFFFF"/>
        </w:rPr>
      </w:pPr>
      <w:r>
        <w:rPr>
          <w:rFonts w:hint="eastAsia" w:ascii="Times New Roman" w:hAnsi="Times New Roman" w:eastAsia="方正仿宋_GBK" w:cs="Times New Roman"/>
          <w:b/>
          <w:sz w:val="32"/>
          <w:szCs w:val="32"/>
        </w:rPr>
        <w:t>（一）总体绩效目标</w:t>
      </w:r>
      <w:r>
        <w:rPr>
          <w:rFonts w:hint="eastAsia" w:ascii="黑体" w:hAnsi="黑体" w:eastAsia="黑体" w:cs="黑体"/>
          <w:b w:val="0"/>
          <w:sz w:val="32"/>
          <w:u w:val="none"/>
          <w:lang w:val="en-US" w:eastAsia="zh-CN"/>
        </w:rPr>
        <w:t xml:space="preserve">  </w:t>
      </w:r>
      <w:r>
        <w:rPr>
          <w:rFonts w:ascii="仿宋" w:hAnsi="仿宋" w:eastAsia="仿宋"/>
          <w:color w:val="000000"/>
          <w:sz w:val="32"/>
          <w:shd w:val="clear" w:color="auto" w:fill="FFFFFF"/>
        </w:rPr>
        <w:t xml:space="preserve"> </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ind w:firstLine="640" w:firstLineChars="200"/>
        <w:textAlignment w:val="auto"/>
        <w:rPr>
          <w:rFonts w:ascii="仿宋" w:hAnsi="仿宋" w:eastAsia="仿宋"/>
          <w:sz w:val="32"/>
        </w:rPr>
      </w:pPr>
      <w:r>
        <w:rPr>
          <w:rFonts w:ascii="仿宋" w:hAnsi="仿宋" w:eastAsia="仿宋"/>
          <w:color w:val="000000"/>
          <w:sz w:val="32"/>
          <w:shd w:val="clear" w:color="auto" w:fill="FFFFFF"/>
        </w:rPr>
        <w:t>2021年，是</w:t>
      </w:r>
      <w:r>
        <w:rPr>
          <w:rFonts w:hint="eastAsia" w:ascii="仿宋" w:hAnsi="仿宋" w:eastAsia="仿宋"/>
          <w:color w:val="000000"/>
          <w:sz w:val="32"/>
          <w:shd w:val="clear" w:color="auto" w:fill="FFFFFF"/>
        </w:rPr>
        <w:t>“十四五”规划</w:t>
      </w:r>
      <w:r>
        <w:rPr>
          <w:rFonts w:ascii="仿宋" w:hAnsi="仿宋" w:eastAsia="仿宋"/>
          <w:color w:val="000000"/>
          <w:sz w:val="32"/>
          <w:shd w:val="clear" w:color="auto" w:fill="FFFFFF"/>
        </w:rPr>
        <w:t>开启之年，是全面建成小康社会收官之年，是开启建设现代化强国的奋进之年。做好明年经济社会发展各项工作，责任重大，使命光荣.</w:t>
      </w:r>
      <w:r>
        <w:rPr>
          <w:rFonts w:ascii="仿宋" w:hAnsi="仿宋" w:eastAsia="仿宋"/>
          <w:sz w:val="32"/>
        </w:rPr>
        <w:t>一、筑根基，突出“一个引领”，打造党建战斗堡垒,</w:t>
      </w:r>
      <w:r>
        <w:rPr>
          <w:rFonts w:ascii="仿宋" w:hAnsi="仿宋" w:eastAsia="仿宋"/>
          <w:color w:val="000000"/>
          <w:sz w:val="32"/>
          <w:shd w:val="clear" w:color="auto" w:fill="FFFFFF"/>
        </w:rPr>
        <w:t>抓实村“两委”换届,壮大村级集体经济,整顿软弱涣散党支部,实施素质提升工程,突出“两室”阵地作用,规范党员发展机制,全面推行村“两委”干部近亲属入.</w:t>
      </w:r>
      <w:r>
        <w:rPr>
          <w:rFonts w:ascii="仿宋" w:hAnsi="仿宋" w:eastAsia="仿宋"/>
          <w:sz w:val="32"/>
        </w:rPr>
        <w:t xml:space="preserve">二、守底线，突出“三项保障”，促进社会稳定和谐 把好稳定关,把好疫情关,全镇按区、按村进行属地网格化管理,把好环保关。三、快发展，突出“四轮驱动”，激活镇域发展引擎 </w:t>
      </w:r>
      <w:r>
        <w:rPr>
          <w:rFonts w:ascii="仿宋" w:hAnsi="仿宋" w:eastAsia="仿宋"/>
          <w:color w:val="000000"/>
          <w:sz w:val="32"/>
          <w:shd w:val="clear" w:color="auto" w:fill="FFFFFF"/>
        </w:rPr>
        <w:t>抓好招商引资</w:t>
      </w:r>
      <w:r>
        <w:rPr>
          <w:rFonts w:ascii="仿宋" w:hAnsi="仿宋" w:eastAsia="仿宋"/>
          <w:sz w:val="32"/>
        </w:rPr>
        <w:t>,</w:t>
      </w:r>
      <w:r>
        <w:rPr>
          <w:rFonts w:ascii="仿宋" w:hAnsi="仿宋" w:eastAsia="仿宋"/>
          <w:color w:val="000000"/>
          <w:sz w:val="32"/>
          <w:shd w:val="clear" w:color="auto" w:fill="FFFFFF"/>
        </w:rPr>
        <w:t>抓好新区项目建设征地</w:t>
      </w:r>
      <w:r>
        <w:rPr>
          <w:rFonts w:ascii="仿宋" w:hAnsi="仿宋" w:eastAsia="仿宋"/>
          <w:sz w:val="32"/>
        </w:rPr>
        <w:t>,</w:t>
      </w:r>
      <w:r>
        <w:rPr>
          <w:rFonts w:ascii="仿宋" w:hAnsi="仿宋" w:eastAsia="仿宋"/>
          <w:color w:val="000000"/>
          <w:sz w:val="32"/>
          <w:shd w:val="clear" w:color="auto" w:fill="FFFFFF"/>
        </w:rPr>
        <w:t>抓好农业产业化</w:t>
      </w:r>
      <w:r>
        <w:rPr>
          <w:rFonts w:ascii="仿宋" w:hAnsi="仿宋" w:eastAsia="仿宋"/>
          <w:sz w:val="32"/>
        </w:rPr>
        <w:t>,</w:t>
      </w:r>
      <w:r>
        <w:rPr>
          <w:rFonts w:ascii="仿宋" w:hAnsi="仿宋" w:eastAsia="仿宋"/>
          <w:color w:val="000000"/>
          <w:sz w:val="32"/>
          <w:shd w:val="clear" w:color="auto" w:fill="FFFFFF"/>
        </w:rPr>
        <w:t>抓好乡村振兴。</w:t>
      </w:r>
      <w:r>
        <w:rPr>
          <w:rFonts w:ascii="仿宋" w:hAnsi="仿宋" w:eastAsia="仿宋"/>
          <w:sz w:val="32"/>
        </w:rPr>
        <w:t>2021年我们站在新的起点，在县委、县政府的坚强领导下，我们不忘初心、牢记使命，我们只争朝夕、不负韶华。</w:t>
      </w:r>
    </w:p>
    <w:p>
      <w:pPr>
        <w:pStyle w:val="18"/>
        <w:widowControl/>
        <w:spacing w:line="600" w:lineRule="exact"/>
        <w:ind w:firstLine="640"/>
        <w:rPr>
          <w:rFonts w:hint="eastAsia" w:ascii="Times New Roman" w:hAnsi="Times New Roman" w:eastAsia="方正仿宋_GBK" w:cs="Times New Roman"/>
          <w:b/>
          <w:sz w:val="32"/>
          <w:szCs w:val="32"/>
        </w:rPr>
      </w:pP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1" w:name="_Toc29484629"/>
      <w:r>
        <w:rPr>
          <w:rFonts w:hint="eastAsia" w:ascii="Times New Roman" w:hAnsi="Times New Roman" w:eastAsia="方正仿宋_GBK" w:cs="Times New Roman"/>
          <w:b/>
          <w:sz w:val="32"/>
          <w:szCs w:val="32"/>
        </w:rPr>
        <w:instrText xml:space="preserve">分项绩效目标</w:instrText>
      </w:r>
      <w:bookmarkEnd w:id="1"/>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政务管理。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承办党委交办的其他事项，协调各办公室的工作关系。依法依规履行机关日常管理事务，确保机关工作正常运行。</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绩效指标：日常事务完成率，党委事务完成率</w:t>
      </w:r>
    </w:p>
    <w:p>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、推动经济发展，完善基础设施，惠及民生。</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rPr>
          <w:rFonts w:ascii="Times New Roman" w:hAnsi="Times New Roman" w:cs="Times New Roman"/>
          <w:kern w:val="0"/>
          <w:sz w:val="32"/>
          <w:szCs w:val="32"/>
        </w:rPr>
        <w:t>,</w:t>
      </w:r>
      <w:r>
        <w:rPr>
          <w:rFonts w:hint="eastAsia" w:ascii="仿宋_GB2312" w:hAnsi="仿宋_GB2312" w:eastAsia="仿宋_GB2312" w:cs="仿宋_GB2312"/>
          <w:kern w:val="0"/>
          <w:sz w:val="32"/>
          <w:szCs w:val="32"/>
        </w:rPr>
        <w:t>动态管理。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绩效指标：农村居民各项补贴发放完成率，安全生产达标率。</w:t>
      </w:r>
    </w:p>
    <w:p>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、政策落实。提供各类计划生育技术服务，建立利益导向机制，开展出生人口性别比治理以及流动人口计划生育管理等各项工作。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稳定适度的低生育水平，有效保障计划生育家庭生活水平，提高妇女生殖健康水平，降低出生缺陷的发生，有效遏制出生人口性别比偏高问题。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cs="Times New Roman"/>
          <w:sz w:val="32"/>
          <w:szCs w:val="32"/>
        </w:rPr>
        <w:t>绩效指标：人口性别比率</w:t>
      </w:r>
    </w:p>
    <w:p>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 xml:space="preserve">、维护社会稳定和国家安全，负责本乡建设的总体规划。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绩效指标：</w:t>
      </w:r>
      <w:r>
        <w:rPr>
          <w:rFonts w:hint="eastAsia" w:ascii="仿宋_GB2312" w:hAnsi="仿宋_GB2312" w:eastAsia="仿宋_GB2312" w:cs="仿宋_GB2312"/>
          <w:kern w:val="0"/>
          <w:sz w:val="32"/>
          <w:szCs w:val="32"/>
        </w:rPr>
        <w:t>不稳定隐患、群体性事件和突发事件发生率</w:t>
      </w:r>
    </w:p>
    <w:p>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、财政业务管理。财政财务预算、涉农资金及项目管理等。</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保证镇机关正常运转，合理安排支出，规范村级财务管理，监督管理涉农资金兑付落实，加强国有资产管理，杜绝增加政府债务，提高预算完整性，做好项目绩效评价。</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cs="Times New Roman"/>
          <w:sz w:val="32"/>
          <w:szCs w:val="32"/>
        </w:rPr>
        <w:t>绩效指标：项目建设完成率，项目建设质量达标率。</w:t>
      </w:r>
    </w:p>
    <w:p>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、农业科技支撑和公共服务，推动文化发展。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ascii="Times New Roman" w:hAnsi="Times New Roman" w:eastAsia="方正仿宋_GBK" w:cs="Times New Roman"/>
          <w:b/>
          <w:sz w:val="32"/>
          <w:szCs w:val="32"/>
        </w:rPr>
      </w:pPr>
      <w:r>
        <w:rPr>
          <w:rFonts w:hint="eastAsia" w:ascii="Times New Roman" w:hAnsi="Times New Roman" w:eastAsia="仿宋" w:cs="Times New Roman"/>
          <w:sz w:val="32"/>
          <w:szCs w:val="32"/>
        </w:rPr>
        <w:t>绩效指标：</w:t>
      </w:r>
      <w:r>
        <w:rPr>
          <w:rFonts w:hint="eastAsia" w:ascii="仿宋_GB2312" w:hAnsi="仿宋_GB2312" w:eastAsia="仿宋_GB2312" w:cs="仿宋_GB2312"/>
          <w:kern w:val="0"/>
          <w:sz w:val="32"/>
          <w:szCs w:val="32"/>
        </w:rPr>
        <w:t>农业劳动生产率</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宋体" w:hAnsi="宋体" w:eastAsia="宋体" w:cs="Times New Roman"/>
          <w:sz w:val="32"/>
        </w:rPr>
      </w:pPr>
      <w:r>
        <w:rPr>
          <w:rFonts w:hint="eastAsia" w:ascii="Times New Roman" w:hAnsi="Times New Roman" w:eastAsia="方正仿宋_GBK" w:cs="Times New Roman"/>
          <w:b/>
          <w:sz w:val="32"/>
          <w:szCs w:val="32"/>
        </w:rPr>
        <w:t>（三）工作保障措施</w:t>
      </w:r>
    </w:p>
    <w:p>
      <w:pPr>
        <w:pStyle w:val="18"/>
        <w:widowControl/>
        <w:spacing w:line="600" w:lineRule="exact"/>
        <w:rPr>
          <w:rFonts w:ascii="Times New Roman" w:hAnsi="Times New Roman" w:eastAsia="Times New Roman"/>
          <w:sz w:val="32"/>
        </w:rPr>
      </w:pPr>
      <w:r>
        <w:rPr>
          <w:rFonts w:ascii="宋体" w:hAnsi="宋体" w:eastAsia="宋体"/>
          <w:sz w:val="32"/>
        </w:rPr>
        <w:t xml:space="preserve">  </w:t>
      </w:r>
      <w:r>
        <w:rPr>
          <w:rFonts w:ascii="黑体" w:hAnsi="黑体" w:eastAsia="黑体"/>
          <w:sz w:val="32"/>
        </w:rPr>
        <w:t>一、加强组织领导。</w:t>
      </w:r>
      <w:r>
        <w:rPr>
          <w:rFonts w:ascii="新宋体" w:hAnsi="新宋体" w:eastAsia="新宋体"/>
          <w:sz w:val="32"/>
        </w:rPr>
        <w:t>乡领导及全体工作人员要严格落实政府对乡居民的安全负责的要求，纳入当地国民经济和社会发展规划，合理确定相关部门建设任务，及时研究解决保障体系建设中的重大问题，明确任务分工和进度安排，按计划、由步骤地抓好各项工作落实。</w:t>
      </w:r>
    </w:p>
    <w:p>
      <w:pPr>
        <w:pStyle w:val="18"/>
        <w:widowControl/>
        <w:spacing w:line="600" w:lineRule="exact"/>
        <w:rPr>
          <w:rFonts w:ascii="Times New Roman" w:hAnsi="Times New Roman" w:eastAsia="Times New Roman"/>
          <w:sz w:val="32"/>
        </w:rPr>
      </w:pPr>
      <w:r>
        <w:rPr>
          <w:rFonts w:ascii="宋体" w:hAnsi="宋体" w:eastAsia="宋体"/>
          <w:sz w:val="32"/>
        </w:rPr>
        <w:t xml:space="preserve">    </w:t>
      </w:r>
      <w:r>
        <w:rPr>
          <w:rFonts w:ascii="黑体" w:hAnsi="黑体" w:eastAsia="黑体"/>
          <w:sz w:val="32"/>
        </w:rPr>
        <w:t>二、完善政策措施。</w:t>
      </w:r>
      <w:r>
        <w:rPr>
          <w:rFonts w:ascii="新宋体" w:hAnsi="新宋体" w:eastAsia="新宋体"/>
          <w:sz w:val="32"/>
        </w:rPr>
        <w:t>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w:t>
      </w:r>
    </w:p>
    <w:p>
      <w:pPr>
        <w:pStyle w:val="18"/>
        <w:widowControl/>
        <w:spacing w:line="600" w:lineRule="exact"/>
        <w:rPr>
          <w:rFonts w:ascii="Times New Roman" w:hAnsi="Times New Roman" w:eastAsia="Times New Roman"/>
          <w:sz w:val="32"/>
        </w:rPr>
      </w:pPr>
      <w:r>
        <w:rPr>
          <w:rFonts w:ascii="宋体" w:hAnsi="宋体" w:eastAsia="宋体"/>
          <w:sz w:val="32"/>
        </w:rPr>
        <w:t xml:space="preserve">    </w:t>
      </w:r>
      <w:r>
        <w:rPr>
          <w:rFonts w:ascii="黑体" w:hAnsi="黑体" w:eastAsia="黑体"/>
          <w:sz w:val="32"/>
        </w:rPr>
        <w:t>三、保障经费投入。</w:t>
      </w:r>
      <w:r>
        <w:rPr>
          <w:rFonts w:ascii="新宋体" w:hAnsi="新宋体" w:eastAsia="新宋体"/>
          <w:sz w:val="32"/>
        </w:rPr>
        <w:t>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w:t>
      </w:r>
    </w:p>
    <w:p>
      <w:pPr>
        <w:pStyle w:val="18"/>
        <w:widowControl/>
        <w:spacing w:line="600" w:lineRule="exact"/>
        <w:ind w:firstLine="640"/>
        <w:rPr>
          <w:rFonts w:ascii="新宋体" w:hAnsi="新宋体" w:eastAsia="新宋体"/>
          <w:sz w:val="32"/>
        </w:rPr>
      </w:pPr>
      <w:r>
        <w:rPr>
          <w:rFonts w:ascii="黑体" w:hAnsi="黑体" w:eastAsia="黑体"/>
          <w:sz w:val="32"/>
        </w:rPr>
        <w:t>四、加强督导工作。</w:t>
      </w:r>
      <w:r>
        <w:rPr>
          <w:rFonts w:ascii="新宋体" w:hAnsi="新宋体" w:eastAsia="新宋体"/>
          <w:sz w:val="32"/>
        </w:rPr>
        <w:t>切实发挥本规划对我乡职能的指导作用，督促检查各项建设任务全面落实。</w:t>
      </w:r>
    </w:p>
    <w:p>
      <w:pPr>
        <w:pStyle w:val="18"/>
        <w:widowControl/>
        <w:numPr>
          <w:ilvl w:val="0"/>
          <w:numId w:val="4"/>
        </w:numPr>
        <w:spacing w:line="600" w:lineRule="exact"/>
        <w:rPr>
          <w:rFonts w:hint="eastAsia"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 xml:space="preserve"> 预算项目绩效目标</w:t>
      </w:r>
    </w:p>
    <w:bookmarkEnd w:id="0"/>
    <w:p>
      <w:pPr>
        <w:autoSpaceDE w:val="0"/>
        <w:autoSpaceDN w:val="0"/>
        <w:adjustRightInd w:val="0"/>
        <w:ind w:firstLine="960" w:firstLineChars="300"/>
        <w:jc w:val="left"/>
        <w:rPr>
          <w:rFonts w:hint="eastAsia" w:ascii="黑体" w:hAnsi="黑体" w:eastAsia="黑体" w:cs="Times New Roman"/>
          <w:sz w:val="32"/>
          <w:szCs w:val="32"/>
        </w:rPr>
      </w:pPr>
    </w:p>
    <w:p>
      <w:pPr>
        <w:pStyle w:val="18"/>
        <w:widowControl/>
        <w:numPr>
          <w:ilvl w:val="0"/>
          <w:numId w:val="0"/>
        </w:numPr>
        <w:spacing w:line="600" w:lineRule="exact"/>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1、村级组织办公经费绩效目标</w:t>
      </w:r>
    </w:p>
    <w:tbl>
      <w:tblPr>
        <w:tblStyle w:val="10"/>
        <w:tblW w:w="9720" w:type="dxa"/>
        <w:tblInd w:w="93" w:type="dxa"/>
        <w:shd w:val="clear" w:color="auto" w:fill="auto"/>
        <w:tblLayout w:type="autofit"/>
        <w:tblCellMar>
          <w:top w:w="0" w:type="dxa"/>
          <w:left w:w="108" w:type="dxa"/>
          <w:bottom w:w="0" w:type="dxa"/>
          <w:right w:w="108" w:type="dxa"/>
        </w:tblCellMar>
      </w:tblPr>
      <w:tblGrid>
        <w:gridCol w:w="1050"/>
        <w:gridCol w:w="1710"/>
        <w:gridCol w:w="1544"/>
        <w:gridCol w:w="3703"/>
        <w:gridCol w:w="1383"/>
        <w:gridCol w:w="550"/>
        <w:gridCol w:w="880"/>
        <w:gridCol w:w="1550"/>
        <w:gridCol w:w="1711"/>
      </w:tblGrid>
      <w:tr>
        <w:tblPrEx>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资金按时全额发放到村级组织，确保村级组织办公及日常运行维护。</w:t>
            </w:r>
          </w:p>
        </w:tc>
      </w:tr>
      <w:tr>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资金发放覆盖率达到100%。</w:t>
            </w:r>
          </w:p>
        </w:tc>
      </w:tr>
      <w:tr>
        <w:tblPrEx>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经费发放村个数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符合政策，给予发放村级组织个数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实际发放村组织办公经费占计划发放经费的比率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村级组织经费发放及时率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每个村级组织发放金额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促进村级经济发展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促进村级经济发展，提升经济增长率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村级运转改善情况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村级办公及维护改善的情况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问卷调查经费发放村群众满意程度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走访群众，调查问卷</w:t>
            </w:r>
          </w:p>
        </w:tc>
      </w:tr>
    </w:tbl>
    <w:p>
      <w:pPr>
        <w:pStyle w:val="18"/>
        <w:widowControl/>
        <w:numPr>
          <w:ilvl w:val="0"/>
          <w:numId w:val="0"/>
        </w:numPr>
        <w:spacing w:line="600" w:lineRule="exact"/>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2、农村两委干部职务补贴资金绩效目标</w:t>
      </w:r>
    </w:p>
    <w:tbl>
      <w:tblPr>
        <w:tblStyle w:val="10"/>
        <w:tblW w:w="9720" w:type="dxa"/>
        <w:tblInd w:w="93" w:type="dxa"/>
        <w:shd w:val="clear" w:color="auto" w:fill="auto"/>
        <w:tblLayout w:type="autofit"/>
        <w:tblCellMar>
          <w:top w:w="0" w:type="dxa"/>
          <w:left w:w="108" w:type="dxa"/>
          <w:bottom w:w="0" w:type="dxa"/>
          <w:right w:w="108" w:type="dxa"/>
        </w:tblCellMar>
      </w:tblPr>
      <w:tblGrid>
        <w:gridCol w:w="1006"/>
        <w:gridCol w:w="1632"/>
        <w:gridCol w:w="1475"/>
        <w:gridCol w:w="4622"/>
        <w:gridCol w:w="1322"/>
        <w:gridCol w:w="532"/>
        <w:gridCol w:w="845"/>
        <w:gridCol w:w="1481"/>
        <w:gridCol w:w="1166"/>
      </w:tblGrid>
      <w:tr>
        <w:tblPrEx>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将全县村“两委”干部补贴分四个季度发放，按照县级部门审核的村“两委”干部考核结果发放，奖优罚劣，切实解决“干多干少、干好干坏一个样”的问题。</w:t>
            </w:r>
          </w:p>
        </w:tc>
      </w:tr>
      <w:tr>
        <w:tblPrEx>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及时足额发放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补贴数量（人）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补助金每季度按时发放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补助人员改善情况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农村两委干部生活，工作改善情况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补助人员履行职能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补助人员履行职能改善情况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通过问卷调查，满意和较满意的受益对象占全部调研对象的比例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bl>
    <w:p>
      <w:p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3、计生专项资金绩效目标</w:t>
      </w:r>
    </w:p>
    <w:tbl>
      <w:tblPr>
        <w:tblStyle w:val="10"/>
        <w:tblW w:w="14144" w:type="dxa"/>
        <w:tblInd w:w="30" w:type="dxa"/>
        <w:shd w:val="clear" w:color="auto" w:fill="auto"/>
        <w:tblLayout w:type="fixed"/>
        <w:tblCellMar>
          <w:top w:w="0" w:type="dxa"/>
          <w:left w:w="108" w:type="dxa"/>
          <w:bottom w:w="0" w:type="dxa"/>
          <w:right w:w="108" w:type="dxa"/>
        </w:tblCellMar>
      </w:tblPr>
      <w:tblGrid>
        <w:gridCol w:w="1150"/>
        <w:gridCol w:w="1777"/>
        <w:gridCol w:w="1874"/>
        <w:gridCol w:w="3184"/>
        <w:gridCol w:w="1443"/>
        <w:gridCol w:w="914"/>
        <w:gridCol w:w="914"/>
        <w:gridCol w:w="1619"/>
        <w:gridCol w:w="1269"/>
      </w:tblGrid>
      <w:tr>
        <w:tblPrEx>
          <w:shd w:val="clear" w:color="auto" w:fill="auto"/>
          <w:tblCellMar>
            <w:top w:w="0" w:type="dxa"/>
            <w:left w:w="108" w:type="dxa"/>
            <w:bottom w:w="0" w:type="dxa"/>
            <w:right w:w="108" w:type="dxa"/>
          </w:tblCellMar>
        </w:tblPrEx>
        <w:trPr>
          <w:trHeight w:val="270" w:hRule="atLeast"/>
        </w:trPr>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112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按时发放计生补贴</w:t>
            </w:r>
          </w:p>
        </w:tc>
      </w:tr>
      <w:tr>
        <w:tblPrEx>
          <w:tblCellMar>
            <w:top w:w="0" w:type="dxa"/>
            <w:left w:w="108" w:type="dxa"/>
            <w:bottom w:w="0" w:type="dxa"/>
            <w:right w:w="108" w:type="dxa"/>
          </w:tblCellMar>
        </w:tblPrEx>
        <w:trPr>
          <w:trHeight w:val="300" w:hRule="atLeast"/>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1121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足额发放计生补贴</w:t>
            </w:r>
          </w:p>
        </w:tc>
      </w:tr>
      <w:tr>
        <w:tblPrEx>
          <w:tblCellMar>
            <w:top w:w="0" w:type="dxa"/>
            <w:left w:w="108" w:type="dxa"/>
            <w:bottom w:w="0" w:type="dxa"/>
            <w:right w:w="108" w:type="dxa"/>
          </w:tblCellMar>
        </w:tblPrEx>
        <w:trPr>
          <w:trHeight w:val="300" w:hRule="atLeast"/>
        </w:trPr>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34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7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3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补助个人数量（人）</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三定方案</w:t>
            </w:r>
          </w:p>
        </w:tc>
      </w:tr>
      <w:tr>
        <w:tblPrEx>
          <w:tblCellMar>
            <w:top w:w="0" w:type="dxa"/>
            <w:left w:w="108" w:type="dxa"/>
            <w:bottom w:w="0" w:type="dxa"/>
            <w:right w:w="108" w:type="dxa"/>
          </w:tblCellMar>
        </w:tblPrEx>
        <w:trPr>
          <w:trHeight w:val="270" w:hRule="atLeast"/>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工资发放到位率</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保障工资发放到位</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补助金发放及时率(%)</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补助金按时发放情况</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工资金额</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工资金额（季）</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17500.00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补助人群生活条件与原来相比改善情况</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人员稳定率</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保证计生人员稳定</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保证计生人员稳定</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群众满意数量占总数的比例</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bl>
    <w:p>
      <w:p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4、离任农村支部书记、主任退休补助资金绩效目标</w:t>
      </w:r>
    </w:p>
    <w:tbl>
      <w:tblPr>
        <w:tblStyle w:val="10"/>
        <w:tblW w:w="9720" w:type="dxa"/>
        <w:tblInd w:w="93" w:type="dxa"/>
        <w:shd w:val="clear" w:color="auto" w:fill="auto"/>
        <w:tblLayout w:type="autofit"/>
        <w:tblCellMar>
          <w:top w:w="0" w:type="dxa"/>
          <w:left w:w="108" w:type="dxa"/>
          <w:bottom w:w="0" w:type="dxa"/>
          <w:right w:w="108" w:type="dxa"/>
        </w:tblCellMar>
      </w:tblPr>
      <w:tblGrid>
        <w:gridCol w:w="981"/>
        <w:gridCol w:w="1587"/>
        <w:gridCol w:w="1893"/>
        <w:gridCol w:w="4484"/>
        <w:gridCol w:w="1287"/>
        <w:gridCol w:w="523"/>
        <w:gridCol w:w="750"/>
        <w:gridCol w:w="1441"/>
        <w:gridCol w:w="1135"/>
      </w:tblGrid>
      <w:tr>
        <w:tblPrEx>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按时足额发放离任村支部书记、主任退休补贴资金</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补助资金发放率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每名离任村干部补贴资金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每名离任支部书记、主任补助金额（年）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补助人群稳定，促进社会和谐。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通过问卷调查，满意和较满意的受益对象占全部调研对象的比例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调查问卷</w:t>
            </w:r>
          </w:p>
        </w:tc>
      </w:tr>
    </w:tbl>
    <w:p>
      <w:p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5、村支书养老、医疗、人身意外保险资金绩效目标</w:t>
      </w:r>
    </w:p>
    <w:tbl>
      <w:tblPr>
        <w:tblStyle w:val="10"/>
        <w:tblW w:w="9720" w:type="dxa"/>
        <w:tblInd w:w="93" w:type="dxa"/>
        <w:shd w:val="clear" w:color="auto" w:fill="auto"/>
        <w:tblLayout w:type="autofit"/>
        <w:tblCellMar>
          <w:top w:w="0" w:type="dxa"/>
          <w:left w:w="108" w:type="dxa"/>
          <w:bottom w:w="0" w:type="dxa"/>
          <w:right w:w="108" w:type="dxa"/>
        </w:tblCellMar>
      </w:tblPr>
      <w:tblGrid>
        <w:gridCol w:w="991"/>
        <w:gridCol w:w="1605"/>
        <w:gridCol w:w="1760"/>
        <w:gridCol w:w="4538"/>
        <w:gridCol w:w="1301"/>
        <w:gridCol w:w="526"/>
        <w:gridCol w:w="756"/>
        <w:gridCol w:w="1456"/>
        <w:gridCol w:w="1148"/>
      </w:tblGrid>
      <w:tr>
        <w:tblPrEx>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村支书养老、医疗、人身意外保险资金按时发放到位，保证村级工作正常运转</w:t>
            </w:r>
          </w:p>
        </w:tc>
      </w:tr>
      <w:tr>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全覆盖</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社保缴纳数量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缴纳养老、医疗、人身意外保险的人数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社保缴纳率(%)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实际申请的资金金额占计划缴纳金额的比率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社保费按时缴纳率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社保费按时缴纳率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缴纳社保金额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每名村支书缴纳社保金额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村支书家庭收入增长率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减少个人社保费缴纳，增加养老金收入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缴纳人群生活改善情况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缴纳人群在生活、医疗、护理、教育等方面的改善情况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政策依据</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通过问卷调查，满意和较满意的受益对象占全部调研对象的比例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bl>
    <w:p>
      <w:p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6、服务群众专项经费绩效目标</w:t>
      </w:r>
    </w:p>
    <w:tbl>
      <w:tblPr>
        <w:tblStyle w:val="10"/>
        <w:tblW w:w="9720" w:type="dxa"/>
        <w:tblInd w:w="93" w:type="dxa"/>
        <w:shd w:val="clear" w:color="auto" w:fill="auto"/>
        <w:tblLayout w:type="autofit"/>
        <w:tblCellMar>
          <w:top w:w="0" w:type="dxa"/>
          <w:left w:w="108" w:type="dxa"/>
          <w:bottom w:w="0" w:type="dxa"/>
          <w:right w:w="108" w:type="dxa"/>
        </w:tblCellMar>
      </w:tblPr>
      <w:tblGrid>
        <w:gridCol w:w="1073"/>
        <w:gridCol w:w="1752"/>
        <w:gridCol w:w="2093"/>
        <w:gridCol w:w="3458"/>
        <w:gridCol w:w="1415"/>
        <w:gridCol w:w="559"/>
        <w:gridCol w:w="899"/>
        <w:gridCol w:w="1587"/>
        <w:gridCol w:w="1245"/>
      </w:tblGrid>
      <w:tr>
        <w:tblPrEx>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进一步加强村级组织运转经费保障工作，提高服务群众水平</w:t>
            </w:r>
          </w:p>
        </w:tc>
      </w:tr>
      <w:tr>
        <w:tblPrEx>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服务群众满意程度达到95%</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保障村数量（个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实际拨付资金村数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上级文件规定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实际拨付服务群众专项资金到位率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按时拨付服务群众专项资金率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拨付每个村服务群众专项资金数额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促进乡村经济发展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保障村级经济组织正常运转，服务群众质量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村级发展和服务群众情况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辖区群众服务水平提高比例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对象满意程度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乡镇分税制财政体制补助资金绩效目标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980"/>
        <w:gridCol w:w="1584"/>
        <w:gridCol w:w="1879"/>
        <w:gridCol w:w="3527"/>
        <w:gridCol w:w="1389"/>
        <w:gridCol w:w="891"/>
        <w:gridCol w:w="808"/>
        <w:gridCol w:w="1797"/>
        <w:gridCol w:w="122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寿山寺乡分税制财政体制补助资金每月一次，年底前发放完毕，保证补助资金的发放及时到位。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充分调动乡镇发展经济、培植财源的积极性，增强乡镇自我积累和自我发展的能力，大力开展招生引资，引进高科技、具有发展潜力的项目。助推县域经济高质量发展</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新上马企业（个）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落户乡镇企业数量较上年增加（个）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资金拨付覆盖率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资金拨付覆盖率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资金按时拨放率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资金每月按时拨放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资金每月25日前拨放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完成工作需要费用成本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完成工作需要费用成本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税收增长率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税收增长率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社会服务能力提升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经济发展所带来的乡镇服务社会能力提升情况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106国道绕城征地拆迁工作经费绩效目标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1033"/>
        <w:gridCol w:w="1680"/>
        <w:gridCol w:w="1842"/>
        <w:gridCol w:w="4120"/>
        <w:gridCol w:w="1359"/>
        <w:gridCol w:w="543"/>
        <w:gridCol w:w="785"/>
        <w:gridCol w:w="1523"/>
        <w:gridCol w:w="119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拆除房屋50余处</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发放拆迁机械费及人工费</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每人补助资金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每人补助资金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补助人员满意程度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南郑村广场占地及附属物补偿资金绩效目标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1033"/>
        <w:gridCol w:w="1680"/>
        <w:gridCol w:w="1842"/>
        <w:gridCol w:w="4120"/>
        <w:gridCol w:w="1359"/>
        <w:gridCol w:w="543"/>
        <w:gridCol w:w="785"/>
        <w:gridCol w:w="1523"/>
        <w:gridCol w:w="119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乡镇振兴（城乡融合）示范区占地补偿资金绩效目标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1027"/>
        <w:gridCol w:w="1670"/>
        <w:gridCol w:w="1832"/>
        <w:gridCol w:w="4094"/>
        <w:gridCol w:w="1351"/>
        <w:gridCol w:w="541"/>
        <w:gridCol w:w="862"/>
        <w:gridCol w:w="1514"/>
        <w:gridCol w:w="1190"/>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确保农户占地补偿款发放到位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确保农户占地款及时发放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征用群众土地面积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征用群众土地亩数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实际发放的补助金时效情况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autoSpaceDE w:val="0"/>
        <w:autoSpaceDN w:val="0"/>
        <w:adjustRightInd w:val="0"/>
        <w:ind w:firstLine="960" w:firstLineChars="300"/>
        <w:jc w:val="left"/>
        <w:rPr>
          <w:rFonts w:hint="eastAsia" w:ascii="黑体" w:hAnsi="黑体" w:eastAsia="黑体" w:cs="Times New Roman"/>
          <w:sz w:val="32"/>
          <w:szCs w:val="32"/>
        </w:rPr>
      </w:pPr>
    </w:p>
    <w:tbl>
      <w:tblPr>
        <w:tblStyle w:val="10"/>
        <w:tblW w:w="14081" w:type="dxa"/>
        <w:tblInd w:w="93" w:type="dxa"/>
        <w:shd w:val="clear" w:color="auto" w:fill="auto"/>
        <w:tblLayout w:type="autofit"/>
        <w:tblCellMar>
          <w:top w:w="0" w:type="dxa"/>
          <w:left w:w="108" w:type="dxa"/>
          <w:bottom w:w="0" w:type="dxa"/>
          <w:right w:w="108" w:type="dxa"/>
        </w:tblCellMar>
      </w:tblPr>
      <w:tblGrid>
        <w:gridCol w:w="1027"/>
        <w:gridCol w:w="1670"/>
        <w:gridCol w:w="1832"/>
        <w:gridCol w:w="4094"/>
        <w:gridCol w:w="1351"/>
        <w:gridCol w:w="541"/>
        <w:gridCol w:w="862"/>
        <w:gridCol w:w="1514"/>
        <w:gridCol w:w="1190"/>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征用群众土地面积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征用群众土地亩数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补助金发放及时率(%)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实际发放的补助金时效情况</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autoSpaceDE w:val="0"/>
        <w:autoSpaceDN w:val="0"/>
        <w:adjustRightInd w:val="0"/>
        <w:ind w:firstLine="960" w:firstLineChars="300"/>
        <w:jc w:val="left"/>
        <w:rPr>
          <w:rFonts w:hint="eastAsia" w:ascii="黑体" w:hAnsi="黑体" w:eastAsia="黑体" w:cs="Times New Roman"/>
          <w:sz w:val="32"/>
          <w:szCs w:val="32"/>
        </w:rPr>
      </w:pPr>
    </w:p>
    <w:tbl>
      <w:tblPr>
        <w:tblStyle w:val="10"/>
        <w:tblW w:w="14081" w:type="dxa"/>
        <w:tblInd w:w="93" w:type="dxa"/>
        <w:shd w:val="clear" w:color="auto" w:fill="auto"/>
        <w:tblLayout w:type="autofit"/>
        <w:tblCellMar>
          <w:top w:w="0" w:type="dxa"/>
          <w:left w:w="108" w:type="dxa"/>
          <w:bottom w:w="0" w:type="dxa"/>
          <w:right w:w="108" w:type="dxa"/>
        </w:tblCellMar>
      </w:tblPr>
      <w:tblGrid>
        <w:gridCol w:w="1027"/>
        <w:gridCol w:w="1670"/>
        <w:gridCol w:w="1832"/>
        <w:gridCol w:w="4094"/>
        <w:gridCol w:w="1351"/>
        <w:gridCol w:w="541"/>
        <w:gridCol w:w="862"/>
        <w:gridCol w:w="1514"/>
        <w:gridCol w:w="1190"/>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征用土地亩数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征用群众土地亩数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实际发放的补助金时效情况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309国道两侧50米绿化拓宽占地补偿资金绩效目标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881"/>
        <w:gridCol w:w="1409"/>
        <w:gridCol w:w="1541"/>
        <w:gridCol w:w="3396"/>
        <w:gridCol w:w="3396"/>
        <w:gridCol w:w="482"/>
        <w:gridCol w:w="680"/>
        <w:gridCol w:w="1280"/>
        <w:gridCol w:w="101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振兴路两侧30米绿化带占地补偿资金绩效目标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881"/>
        <w:gridCol w:w="1409"/>
        <w:gridCol w:w="1541"/>
        <w:gridCol w:w="3396"/>
        <w:gridCol w:w="3396"/>
        <w:gridCol w:w="482"/>
        <w:gridCol w:w="680"/>
        <w:gridCol w:w="1280"/>
        <w:gridCol w:w="101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朝阳路东侧100米绿化占地补偿资金绩效目标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1033"/>
        <w:gridCol w:w="1680"/>
        <w:gridCol w:w="1842"/>
        <w:gridCol w:w="4120"/>
        <w:gridCol w:w="1359"/>
        <w:gridCol w:w="543"/>
        <w:gridCol w:w="785"/>
        <w:gridCol w:w="1523"/>
        <w:gridCol w:w="119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已补助占地亩数占应补助占地亩数比率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前宁堡漆树种植占地补偿资金绩效目标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881"/>
        <w:gridCol w:w="1409"/>
        <w:gridCol w:w="1541"/>
        <w:gridCol w:w="3396"/>
        <w:gridCol w:w="3396"/>
        <w:gridCol w:w="482"/>
        <w:gridCol w:w="680"/>
        <w:gridCol w:w="1280"/>
        <w:gridCol w:w="101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补助的人数或户数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寿山寺乡失地保障资金绩效目标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850"/>
        <w:gridCol w:w="1353"/>
        <w:gridCol w:w="2047"/>
        <w:gridCol w:w="3247"/>
        <w:gridCol w:w="3247"/>
        <w:gridCol w:w="470"/>
        <w:gridCol w:w="658"/>
        <w:gridCol w:w="1231"/>
        <w:gridCol w:w="978"/>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补助个人（家庭）数量（人/户）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补助的人数或户数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补助的人数或户数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失地保障金每户发放金额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失地保障金每户发放金额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翟庄公共设施占地补偿资金绩效目标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881"/>
        <w:gridCol w:w="1409"/>
        <w:gridCol w:w="1541"/>
        <w:gridCol w:w="3396"/>
        <w:gridCol w:w="3396"/>
        <w:gridCol w:w="482"/>
        <w:gridCol w:w="680"/>
        <w:gridCol w:w="1280"/>
        <w:gridCol w:w="101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化工园区占地补偿资金绩效目标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1033"/>
        <w:gridCol w:w="1680"/>
        <w:gridCol w:w="1842"/>
        <w:gridCol w:w="4120"/>
        <w:gridCol w:w="1359"/>
        <w:gridCol w:w="543"/>
        <w:gridCol w:w="785"/>
        <w:gridCol w:w="1523"/>
        <w:gridCol w:w="119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振兴路停车场周围绿化带占地补偿资金绩效目标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881"/>
        <w:gridCol w:w="1409"/>
        <w:gridCol w:w="1541"/>
        <w:gridCol w:w="3396"/>
        <w:gridCol w:w="3396"/>
        <w:gridCol w:w="482"/>
        <w:gridCol w:w="680"/>
        <w:gridCol w:w="1280"/>
        <w:gridCol w:w="101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环村林带、塔头、南董固占地补偿、麦苗补偿资金绩效目标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881"/>
        <w:gridCol w:w="1409"/>
        <w:gridCol w:w="1541"/>
        <w:gridCol w:w="3396"/>
        <w:gridCol w:w="3396"/>
        <w:gridCol w:w="482"/>
        <w:gridCol w:w="680"/>
        <w:gridCol w:w="1280"/>
        <w:gridCol w:w="1016"/>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保证该项目占用农户土地占地补偿款发放到位</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保证该项目占地款及时发放</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补助个人数量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补助的占地亩数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已补助人数占应补助人群的比率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实际发放的补助金金额占计划发放金额的比率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占地补助单价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占地每亩单价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补助人群生活改善情况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补助人群在生活、医疗、护理、教育等方面的改善情况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占地农民满意程度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w:t>
            </w:r>
          </w:p>
        </w:tc>
      </w:tr>
    </w:tbl>
    <w:p>
      <w:pPr>
        <w:numPr>
          <w:ilvl w:val="0"/>
          <w:numId w:val="5"/>
        </w:numPr>
        <w:autoSpaceDE w:val="0"/>
        <w:autoSpaceDN w:val="0"/>
        <w:adjustRightInd w:val="0"/>
        <w:jc w:val="left"/>
        <w:rPr>
          <w:rFonts w:hint="eastAsia" w:ascii="黑体" w:hAnsi="黑体" w:eastAsia="黑体" w:cs="Times New Roman"/>
          <w:sz w:val="32"/>
          <w:szCs w:val="32"/>
        </w:rPr>
      </w:pPr>
      <w:r>
        <w:rPr>
          <w:rFonts w:hint="eastAsia" w:ascii="Times New Roman" w:hAnsi="Times New Roman" w:eastAsia="方正仿宋_GBK" w:cs="Times New Roman"/>
          <w:b/>
          <w:sz w:val="32"/>
          <w:szCs w:val="32"/>
          <w:lang w:val="en-US" w:eastAsia="zh-CN"/>
        </w:rPr>
        <w:t>村党组织活动经费绩效目标</w:t>
      </w:r>
    </w:p>
    <w:tbl>
      <w:tblPr>
        <w:tblStyle w:val="10"/>
        <w:tblW w:w="14081" w:type="dxa"/>
        <w:tblInd w:w="93" w:type="dxa"/>
        <w:shd w:val="clear" w:color="auto" w:fill="auto"/>
        <w:tblLayout w:type="autofit"/>
        <w:tblCellMar>
          <w:top w:w="0" w:type="dxa"/>
          <w:left w:w="108" w:type="dxa"/>
          <w:bottom w:w="0" w:type="dxa"/>
          <w:right w:w="108" w:type="dxa"/>
        </w:tblCellMar>
      </w:tblPr>
      <w:tblGrid>
        <w:gridCol w:w="1132"/>
        <w:gridCol w:w="1855"/>
        <w:gridCol w:w="2037"/>
        <w:gridCol w:w="3128"/>
        <w:gridCol w:w="1496"/>
        <w:gridCol w:w="584"/>
        <w:gridCol w:w="855"/>
        <w:gridCol w:w="1679"/>
        <w:gridCol w:w="1315"/>
      </w:tblGrid>
      <w:tr>
        <w:tblPrEx>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及时足额发放村党组织活动经费</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及时足额发放村党组织活动经费</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村党组织个数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实际发放经费占计划发放经费的比率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政策规定</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村党组织发放金额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每个村党组织发放金额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经费发放村党组织领导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经费发放村党组织领导核心作用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经费发放村党组织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经费发放村党组织为民服务能力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问卷调查经费发放村人群满意程度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调查研究</w:t>
            </w:r>
          </w:p>
        </w:tc>
      </w:tr>
    </w:tbl>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仿宋" w:cs="Times New Roman"/>
          <w:sz w:val="32"/>
          <w:szCs w:val="24"/>
        </w:rPr>
      </w:pPr>
      <w:r>
        <w:rPr>
          <w:rFonts w:ascii="Times New Roman" w:hAnsi="Times New Roman" w:eastAsia="仿宋" w:cs="Times New Roman"/>
          <w:sz w:val="32"/>
          <w:szCs w:val="24"/>
        </w:rPr>
        <w:t>20</w:t>
      </w:r>
      <w:r>
        <w:rPr>
          <w:rFonts w:hint="eastAsia" w:ascii="Times New Roman" w:hAnsi="Times New Roman" w:eastAsia="仿宋" w:cs="Times New Roman"/>
          <w:sz w:val="32"/>
          <w:szCs w:val="24"/>
        </w:rPr>
        <w:t>2</w:t>
      </w:r>
      <w:r>
        <w:rPr>
          <w:rFonts w:hint="eastAsia" w:ascii="Times New Roman" w:hAnsi="Times New Roman" w:eastAsia="仿宋" w:cs="Times New Roman"/>
          <w:sz w:val="32"/>
          <w:szCs w:val="24"/>
          <w:lang w:val="en-US" w:eastAsia="zh-CN"/>
        </w:rPr>
        <w:t>1</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lang w:val="en-US" w:eastAsia="zh-CN"/>
        </w:rPr>
        <w:t>2</w:t>
      </w:r>
      <w:r>
        <w:rPr>
          <w:rFonts w:ascii="Times New Roman" w:hAnsi="Times New Roman" w:eastAsia="仿宋" w:cs="Times New Roman"/>
          <w:sz w:val="32"/>
          <w:szCs w:val="24"/>
        </w:rPr>
        <w:t>万元。具体内容见下表。</w:t>
      </w: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2" w:name="_Toc28848395"/>
      <w:r>
        <w:rPr>
          <w:rFonts w:hint="eastAsia" w:ascii="方正小标宋_GBK" w:eastAsia="方正小标宋_GBK"/>
          <w:sz w:val="32"/>
        </w:rPr>
        <w:instrText xml:space="preserve">部门政府采购预算</w:instrText>
      </w:r>
      <w:bookmarkEnd w:id="2"/>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p>
      <w:pPr>
        <w:ind w:firstLine="420" w:firstLineChars="200"/>
        <w:jc w:val="center"/>
        <w:outlineLvl w:val="0"/>
        <w:rPr>
          <w:rFonts w:ascii="Times New Roman" w:hAnsi="宋体"/>
          <w:sz w:val="32"/>
        </w:rPr>
      </w:pP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部门政府采购预算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10"/>
        <w:tblW w:w="10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883"/>
        <w:gridCol w:w="734"/>
        <w:gridCol w:w="916"/>
        <w:gridCol w:w="512"/>
        <w:gridCol w:w="650"/>
        <w:gridCol w:w="850"/>
        <w:gridCol w:w="883"/>
        <w:gridCol w:w="967"/>
        <w:gridCol w:w="700"/>
        <w:gridCol w:w="767"/>
        <w:gridCol w:w="766"/>
        <w:gridCol w:w="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8" w:hRule="atLeast"/>
          <w:tblHeader/>
          <w:jc w:val="center"/>
        </w:trPr>
        <w:tc>
          <w:tcPr>
            <w:tcW w:w="53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545馆陶县寿山寺乡人民政府</w:t>
            </w:r>
          </w:p>
        </w:tc>
        <w:tc>
          <w:tcPr>
            <w:tcW w:w="4733"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33"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73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16"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12"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65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4733"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83"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734" w:type="dxa"/>
            <w:vMerge w:val="continue"/>
            <w:vAlign w:val="center"/>
          </w:tcPr>
          <w:p>
            <w:pPr>
              <w:spacing w:line="300" w:lineRule="exact"/>
              <w:jc w:val="left"/>
              <w:outlineLvl w:val="0"/>
              <w:rPr>
                <w:rFonts w:ascii="Times New Roman" w:eastAsia="方正仿宋_GBK"/>
                <w:sz w:val="28"/>
              </w:rPr>
            </w:pPr>
          </w:p>
        </w:tc>
        <w:tc>
          <w:tcPr>
            <w:tcW w:w="916" w:type="dxa"/>
            <w:vMerge w:val="continue"/>
            <w:vAlign w:val="center"/>
          </w:tcPr>
          <w:p>
            <w:pPr>
              <w:spacing w:line="300" w:lineRule="exact"/>
              <w:jc w:val="left"/>
              <w:outlineLvl w:val="0"/>
              <w:rPr>
                <w:rFonts w:ascii="Times New Roman" w:eastAsia="方正仿宋_GBK"/>
                <w:sz w:val="28"/>
              </w:rPr>
            </w:pPr>
          </w:p>
        </w:tc>
        <w:tc>
          <w:tcPr>
            <w:tcW w:w="512" w:type="dxa"/>
            <w:vMerge w:val="continue"/>
            <w:vAlign w:val="center"/>
          </w:tcPr>
          <w:p>
            <w:pPr>
              <w:spacing w:line="300" w:lineRule="exact"/>
              <w:jc w:val="left"/>
              <w:outlineLvl w:val="0"/>
              <w:rPr>
                <w:rFonts w:ascii="Times New Roman" w:eastAsia="方正仿宋_GBK"/>
                <w:sz w:val="28"/>
              </w:rPr>
            </w:pPr>
          </w:p>
        </w:tc>
        <w:tc>
          <w:tcPr>
            <w:tcW w:w="650" w:type="dxa"/>
            <w:vMerge w:val="continue"/>
            <w:vAlign w:val="center"/>
          </w:tcPr>
          <w:p>
            <w:pPr>
              <w:spacing w:line="300" w:lineRule="exact"/>
              <w:jc w:val="left"/>
              <w:outlineLvl w:val="0"/>
              <w:rPr>
                <w:rFonts w:ascii="Times New Roman" w:eastAsia="方正仿宋_GBK"/>
                <w:sz w:val="28"/>
              </w:rPr>
            </w:pPr>
          </w:p>
        </w:tc>
        <w:tc>
          <w:tcPr>
            <w:tcW w:w="850" w:type="dxa"/>
            <w:vMerge w:val="continue"/>
            <w:vAlign w:val="center"/>
          </w:tcPr>
          <w:p>
            <w:pPr>
              <w:spacing w:line="300" w:lineRule="exact"/>
              <w:jc w:val="left"/>
              <w:outlineLvl w:val="0"/>
              <w:rPr>
                <w:rFonts w:ascii="Times New Roman" w:eastAsia="方正仿宋_GBK"/>
                <w:sz w:val="28"/>
              </w:rPr>
            </w:pPr>
          </w:p>
        </w:tc>
        <w:tc>
          <w:tcPr>
            <w:tcW w:w="88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7"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00"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67"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76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50"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883" w:type="dxa"/>
            <w:vAlign w:val="center"/>
          </w:tcPr>
          <w:p>
            <w:pPr>
              <w:spacing w:line="300" w:lineRule="exact"/>
              <w:jc w:val="right"/>
              <w:rPr>
                <w:rFonts w:ascii="方正书宋_GBK" w:eastAsia="方正书宋_GBK"/>
                <w:b/>
              </w:rPr>
            </w:pPr>
          </w:p>
        </w:tc>
        <w:tc>
          <w:tcPr>
            <w:tcW w:w="734" w:type="dxa"/>
            <w:vAlign w:val="center"/>
          </w:tcPr>
          <w:p>
            <w:pPr>
              <w:spacing w:line="300" w:lineRule="exact"/>
              <w:jc w:val="left"/>
              <w:rPr>
                <w:rFonts w:ascii="方正书宋_GBK" w:eastAsia="方正书宋_GBK"/>
                <w:b/>
              </w:rPr>
            </w:pPr>
          </w:p>
        </w:tc>
        <w:tc>
          <w:tcPr>
            <w:tcW w:w="916" w:type="dxa"/>
            <w:vAlign w:val="center"/>
          </w:tcPr>
          <w:p>
            <w:pPr>
              <w:spacing w:line="300" w:lineRule="exact"/>
              <w:jc w:val="left"/>
              <w:rPr>
                <w:rFonts w:ascii="方正书宋_GBK" w:eastAsia="方正书宋_GBK"/>
                <w:b/>
              </w:rPr>
            </w:pPr>
          </w:p>
        </w:tc>
        <w:tc>
          <w:tcPr>
            <w:tcW w:w="512" w:type="dxa"/>
            <w:vAlign w:val="center"/>
          </w:tcPr>
          <w:p>
            <w:pPr>
              <w:spacing w:line="300" w:lineRule="exact"/>
              <w:jc w:val="left"/>
              <w:rPr>
                <w:rFonts w:ascii="方正书宋_GBK" w:eastAsia="方正书宋_GBK"/>
                <w:b/>
              </w:rPr>
            </w:pPr>
          </w:p>
        </w:tc>
        <w:tc>
          <w:tcPr>
            <w:tcW w:w="650"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83" w:type="dxa"/>
            <w:vAlign w:val="center"/>
          </w:tcPr>
          <w:p>
            <w:pPr>
              <w:adjustRightInd w:val="0"/>
              <w:snapToGrid w:val="0"/>
              <w:jc w:val="right"/>
              <w:rPr>
                <w:rFonts w:hint="eastAsia" w:ascii="方正书宋_GBK" w:hAnsi="宋体" w:eastAsia="方正书宋_GBK" w:cs="宋体"/>
                <w:b/>
                <w:bCs/>
                <w:color w:val="000000"/>
                <w:szCs w:val="21"/>
                <w:lang w:val="en-US" w:eastAsia="zh-CN"/>
              </w:rPr>
            </w:pPr>
            <w:r>
              <w:rPr>
                <w:rFonts w:hint="eastAsia" w:ascii="方正书宋_GBK" w:hAnsi="宋体" w:eastAsia="方正书宋_GBK" w:cs="宋体"/>
                <w:b/>
                <w:bCs/>
                <w:color w:val="000000"/>
                <w:szCs w:val="21"/>
                <w:lang w:val="en-US" w:eastAsia="zh-CN"/>
              </w:rPr>
              <w:t>20000</w:t>
            </w:r>
          </w:p>
        </w:tc>
        <w:tc>
          <w:tcPr>
            <w:tcW w:w="967" w:type="dxa"/>
            <w:vAlign w:val="center"/>
          </w:tcPr>
          <w:p>
            <w:pPr>
              <w:adjustRightInd w:val="0"/>
              <w:snapToGrid w:val="0"/>
              <w:jc w:val="right"/>
              <w:rPr>
                <w:rFonts w:hint="eastAsia" w:ascii="方正书宋_GBK" w:hAnsi="宋体" w:eastAsia="方正书宋_GBK" w:cs="宋体"/>
                <w:b/>
                <w:bCs/>
                <w:color w:val="000000"/>
                <w:szCs w:val="21"/>
                <w:lang w:val="en-US" w:eastAsia="zh-CN"/>
              </w:rPr>
            </w:pPr>
            <w:r>
              <w:rPr>
                <w:rFonts w:hint="eastAsia" w:ascii="方正书宋_GBK" w:hAnsi="宋体" w:eastAsia="方正书宋_GBK" w:cs="宋体"/>
                <w:b/>
                <w:bCs/>
                <w:color w:val="000000"/>
                <w:szCs w:val="21"/>
                <w:lang w:val="en-US" w:eastAsia="zh-CN"/>
              </w:rPr>
              <w:t>20000</w:t>
            </w:r>
          </w:p>
        </w:tc>
        <w:tc>
          <w:tcPr>
            <w:tcW w:w="700" w:type="dxa"/>
            <w:vAlign w:val="center"/>
          </w:tcPr>
          <w:p>
            <w:pPr>
              <w:spacing w:line="300" w:lineRule="exact"/>
              <w:jc w:val="right"/>
              <w:rPr>
                <w:rFonts w:ascii="方正书宋_GBK" w:eastAsia="方正书宋_GBK"/>
                <w:b/>
              </w:rPr>
            </w:pPr>
          </w:p>
        </w:tc>
        <w:tc>
          <w:tcPr>
            <w:tcW w:w="767" w:type="dxa"/>
            <w:vAlign w:val="center"/>
          </w:tcPr>
          <w:p>
            <w:pPr>
              <w:spacing w:line="300" w:lineRule="exact"/>
              <w:jc w:val="right"/>
              <w:rPr>
                <w:rFonts w:ascii="方正书宋_GBK" w:eastAsia="方正书宋_GBK"/>
                <w:b/>
              </w:rPr>
            </w:pPr>
          </w:p>
        </w:tc>
        <w:tc>
          <w:tcPr>
            <w:tcW w:w="766" w:type="dxa"/>
            <w:vAlign w:val="center"/>
          </w:tcPr>
          <w:p>
            <w:pPr>
              <w:spacing w:line="300" w:lineRule="exact"/>
              <w:jc w:val="right"/>
              <w:rPr>
                <w:rFonts w:ascii="方正书宋_GBK" w:eastAsia="方正书宋_GBK"/>
                <w:b/>
              </w:rPr>
            </w:pPr>
          </w:p>
        </w:tc>
        <w:tc>
          <w:tcPr>
            <w:tcW w:w="65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jc w:val="center"/>
        </w:trPr>
        <w:tc>
          <w:tcPr>
            <w:tcW w:w="850"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83"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14000</w:t>
            </w:r>
          </w:p>
        </w:tc>
        <w:tc>
          <w:tcPr>
            <w:tcW w:w="734"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台式计算机</w:t>
            </w:r>
          </w:p>
        </w:tc>
        <w:tc>
          <w:tcPr>
            <w:tcW w:w="916" w:type="dxa"/>
            <w:vAlign w:val="center"/>
          </w:tcPr>
          <w:p>
            <w:pPr>
              <w:spacing w:line="300" w:lineRule="exact"/>
              <w:jc w:val="left"/>
              <w:rPr>
                <w:rFonts w:ascii="方正书宋_GBK" w:eastAsia="方正书宋_GBK"/>
              </w:rPr>
            </w:pPr>
            <w:r>
              <w:rPr>
                <w:rFonts w:hint="eastAsia" w:ascii="方正书宋_GBK" w:eastAsia="方正书宋_GBK"/>
              </w:rPr>
              <w:t>[A02010104]</w:t>
            </w:r>
          </w:p>
        </w:tc>
        <w:tc>
          <w:tcPr>
            <w:tcW w:w="512"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650"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4.00</w:t>
            </w:r>
          </w:p>
          <w:p>
            <w:pPr>
              <w:spacing w:line="300" w:lineRule="exact"/>
              <w:jc w:val="right"/>
              <w:rPr>
                <w:rFonts w:hint="eastAsia" w:ascii="方正书宋_GBK" w:eastAsia="方正书宋_GBK"/>
                <w:lang w:val="en-US" w:eastAsia="zh-CN"/>
              </w:rPr>
            </w:pPr>
          </w:p>
        </w:tc>
        <w:tc>
          <w:tcPr>
            <w:tcW w:w="850" w:type="dxa"/>
            <w:vAlign w:val="center"/>
          </w:tcPr>
          <w:p>
            <w:pPr>
              <w:spacing w:line="300" w:lineRule="exact"/>
              <w:jc w:val="right"/>
              <w:rPr>
                <w:rFonts w:ascii="方正书宋_GBK" w:eastAsia="方正书宋_GBK"/>
              </w:rPr>
            </w:pPr>
            <w:r>
              <w:rPr>
                <w:rFonts w:hint="eastAsia" w:ascii="方正书宋_GBK" w:eastAsia="方正书宋_GBK"/>
                <w:lang w:val="en-US" w:eastAsia="zh-CN"/>
              </w:rPr>
              <w:t>3500</w:t>
            </w:r>
            <w:r>
              <w:rPr>
                <w:rFonts w:ascii="方正书宋_GBK" w:eastAsia="方正书宋_GBK"/>
              </w:rPr>
              <w:t>0</w:t>
            </w:r>
          </w:p>
        </w:tc>
        <w:tc>
          <w:tcPr>
            <w:tcW w:w="883"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14000</w:t>
            </w:r>
          </w:p>
        </w:tc>
        <w:tc>
          <w:tcPr>
            <w:tcW w:w="967" w:type="dxa"/>
            <w:vAlign w:val="center"/>
          </w:tcPr>
          <w:p>
            <w:pPr>
              <w:spacing w:line="300" w:lineRule="exact"/>
              <w:jc w:val="right"/>
              <w:rPr>
                <w:rFonts w:ascii="方正书宋_GBK" w:eastAsia="方正书宋_GBK"/>
              </w:rPr>
            </w:pPr>
            <w:r>
              <w:rPr>
                <w:rFonts w:hint="eastAsia" w:ascii="方正书宋_GBK" w:eastAsia="方正书宋_GBK"/>
                <w:lang w:val="en-US" w:eastAsia="zh-CN"/>
              </w:rPr>
              <w:t>14000</w:t>
            </w:r>
          </w:p>
        </w:tc>
        <w:tc>
          <w:tcPr>
            <w:tcW w:w="700" w:type="dxa"/>
            <w:vAlign w:val="center"/>
          </w:tcPr>
          <w:p>
            <w:pPr>
              <w:spacing w:line="300" w:lineRule="exact"/>
              <w:jc w:val="right"/>
              <w:rPr>
                <w:rFonts w:ascii="方正书宋_GBK" w:eastAsia="方正书宋_GBK"/>
              </w:rPr>
            </w:pPr>
          </w:p>
        </w:tc>
        <w:tc>
          <w:tcPr>
            <w:tcW w:w="767" w:type="dxa"/>
            <w:vAlign w:val="center"/>
          </w:tcPr>
          <w:p>
            <w:pPr>
              <w:spacing w:line="300" w:lineRule="exact"/>
              <w:jc w:val="right"/>
              <w:rPr>
                <w:rFonts w:ascii="方正书宋_GBK" w:eastAsia="方正书宋_GBK"/>
              </w:rPr>
            </w:pPr>
          </w:p>
        </w:tc>
        <w:tc>
          <w:tcPr>
            <w:tcW w:w="766" w:type="dxa"/>
            <w:vAlign w:val="center"/>
          </w:tcPr>
          <w:p>
            <w:pPr>
              <w:spacing w:line="300" w:lineRule="exact"/>
              <w:jc w:val="right"/>
              <w:rPr>
                <w:rFonts w:ascii="方正书宋_GBK" w:eastAsia="方正书宋_GBK"/>
              </w:rPr>
            </w:pPr>
          </w:p>
        </w:tc>
        <w:tc>
          <w:tcPr>
            <w:tcW w:w="65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5" w:hRule="atLeast"/>
          <w:jc w:val="center"/>
        </w:trPr>
        <w:tc>
          <w:tcPr>
            <w:tcW w:w="850"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883"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6000</w:t>
            </w:r>
          </w:p>
        </w:tc>
        <w:tc>
          <w:tcPr>
            <w:tcW w:w="734"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喷墨打印机</w:t>
            </w:r>
          </w:p>
        </w:tc>
        <w:tc>
          <w:tcPr>
            <w:tcW w:w="916" w:type="dxa"/>
            <w:vAlign w:val="center"/>
          </w:tcPr>
          <w:p>
            <w:pPr>
              <w:spacing w:line="300" w:lineRule="exact"/>
              <w:jc w:val="left"/>
              <w:rPr>
                <w:rFonts w:ascii="方正书宋_GBK" w:eastAsia="方正书宋_GBK"/>
              </w:rPr>
            </w:pPr>
            <w:r>
              <w:rPr>
                <w:rFonts w:hint="eastAsia" w:ascii="方正书宋_GBK" w:eastAsia="方正书宋_GBK"/>
              </w:rPr>
              <w:t>[A0201060101]</w:t>
            </w:r>
          </w:p>
        </w:tc>
        <w:tc>
          <w:tcPr>
            <w:tcW w:w="512"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650" w:type="dxa"/>
            <w:vAlign w:val="center"/>
          </w:tcPr>
          <w:p>
            <w:pPr>
              <w:spacing w:line="300" w:lineRule="exact"/>
              <w:jc w:val="right"/>
              <w:rPr>
                <w:rFonts w:ascii="方正书宋_GBK" w:eastAsia="方正书宋_GBK"/>
              </w:rPr>
            </w:pPr>
            <w:r>
              <w:rPr>
                <w:rFonts w:hint="eastAsia" w:ascii="方正书宋_GBK" w:eastAsia="方正书宋_GBK"/>
                <w:lang w:val="en-US" w:eastAsia="zh-CN"/>
              </w:rPr>
              <w:t>2</w:t>
            </w:r>
            <w:r>
              <w:rPr>
                <w:rFonts w:ascii="方正书宋_GBK" w:eastAsia="方正书宋_GBK"/>
              </w:rPr>
              <w:t>.00</w:t>
            </w:r>
          </w:p>
        </w:tc>
        <w:tc>
          <w:tcPr>
            <w:tcW w:w="850"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3000</w:t>
            </w:r>
          </w:p>
          <w:p>
            <w:pPr>
              <w:spacing w:line="300" w:lineRule="exact"/>
              <w:jc w:val="right"/>
              <w:rPr>
                <w:rFonts w:ascii="方正书宋_GBK" w:eastAsia="方正书宋_GBK"/>
              </w:rPr>
            </w:pPr>
          </w:p>
        </w:tc>
        <w:tc>
          <w:tcPr>
            <w:tcW w:w="883"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6000</w:t>
            </w:r>
          </w:p>
        </w:tc>
        <w:tc>
          <w:tcPr>
            <w:tcW w:w="967" w:type="dxa"/>
            <w:vAlign w:val="center"/>
          </w:tcPr>
          <w:p>
            <w:pPr>
              <w:spacing w:line="300" w:lineRule="exact"/>
              <w:jc w:val="right"/>
              <w:rPr>
                <w:rFonts w:ascii="方正书宋_GBK" w:eastAsia="方正书宋_GBK"/>
              </w:rPr>
            </w:pPr>
            <w:r>
              <w:rPr>
                <w:rFonts w:hint="eastAsia" w:ascii="方正书宋_GBK" w:eastAsia="方正书宋_GBK"/>
                <w:lang w:val="en-US" w:eastAsia="zh-CN"/>
              </w:rPr>
              <w:t>6000</w:t>
            </w:r>
          </w:p>
        </w:tc>
        <w:tc>
          <w:tcPr>
            <w:tcW w:w="700" w:type="dxa"/>
            <w:vAlign w:val="center"/>
          </w:tcPr>
          <w:p>
            <w:pPr>
              <w:spacing w:line="300" w:lineRule="exact"/>
              <w:jc w:val="right"/>
              <w:rPr>
                <w:rFonts w:ascii="方正书宋_GBK" w:eastAsia="方正书宋_GBK"/>
              </w:rPr>
            </w:pPr>
          </w:p>
        </w:tc>
        <w:tc>
          <w:tcPr>
            <w:tcW w:w="767" w:type="dxa"/>
            <w:vAlign w:val="center"/>
          </w:tcPr>
          <w:p>
            <w:pPr>
              <w:spacing w:line="300" w:lineRule="exact"/>
              <w:jc w:val="right"/>
              <w:rPr>
                <w:rFonts w:ascii="方正书宋_GBK" w:eastAsia="方正书宋_GBK"/>
              </w:rPr>
            </w:pPr>
          </w:p>
        </w:tc>
        <w:tc>
          <w:tcPr>
            <w:tcW w:w="766" w:type="dxa"/>
            <w:vAlign w:val="center"/>
          </w:tcPr>
          <w:p>
            <w:pPr>
              <w:spacing w:line="300" w:lineRule="exact"/>
              <w:jc w:val="right"/>
              <w:rPr>
                <w:rFonts w:ascii="方正书宋_GBK" w:eastAsia="方正书宋_GBK"/>
              </w:rPr>
            </w:pPr>
          </w:p>
        </w:tc>
        <w:tc>
          <w:tcPr>
            <w:tcW w:w="650" w:type="dxa"/>
            <w:vAlign w:val="center"/>
          </w:tcPr>
          <w:p>
            <w:pPr>
              <w:spacing w:line="300" w:lineRule="exact"/>
              <w:jc w:val="right"/>
              <w:rPr>
                <w:rFonts w:ascii="方正书宋_GBK" w:eastAsia="方正书宋_GBK"/>
              </w:rPr>
            </w:pPr>
          </w:p>
        </w:tc>
      </w:tr>
    </w:tbl>
    <w:p>
      <w:pPr>
        <w:autoSpaceDE w:val="0"/>
        <w:autoSpaceDN w:val="0"/>
        <w:adjustRightInd w:val="0"/>
        <w:jc w:val="left"/>
        <w:rPr>
          <w:rFonts w:hint="eastAsia" w:asciiTheme="majorEastAsia" w:hAnsiTheme="majorEastAsia" w:eastAsiaTheme="majorEastAsia"/>
          <w:b/>
          <w:sz w:val="32"/>
          <w:szCs w:val="32"/>
        </w:rPr>
      </w:pPr>
    </w:p>
    <w:p>
      <w:pPr>
        <w:autoSpaceDE w:val="0"/>
        <w:autoSpaceDN w:val="0"/>
        <w:adjustRightInd w:val="0"/>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寿山寺乡2020</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lang w:val="en-US" w:eastAsia="zh-CN"/>
        </w:rPr>
        <w:t>119.94</w:t>
      </w:r>
      <w:r>
        <w:rPr>
          <w:rFonts w:ascii="Times New Roman" w:hAnsi="Times New Roman" w:eastAsia="仿宋" w:cs="Times New Roman"/>
          <w:color w:val="000000"/>
          <w:sz w:val="32"/>
          <w:szCs w:val="32"/>
        </w:rPr>
        <w:t>万元（详见下表），本年度拟购置固定资产</w:t>
      </w:r>
      <w:r>
        <w:rPr>
          <w:rFonts w:hint="eastAsia" w:ascii="Times New Roman" w:hAnsi="Times New Roman" w:eastAsia="仿宋" w:cs="Times New Roman"/>
          <w:color w:val="000000"/>
          <w:sz w:val="32"/>
          <w:szCs w:val="32"/>
        </w:rPr>
        <w:t>总额为</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万元，主要为计算机、打印机，已列入政府采购预算表</w:t>
      </w:r>
      <w:r>
        <w:rPr>
          <w:rFonts w:hint="eastAsia" w:ascii="Times New Roman" w:hAnsi="Times New Roman" w:eastAsia="仿宋" w:cs="Times New Roman"/>
          <w:color w:val="000000"/>
          <w:sz w:val="32"/>
          <w:szCs w:val="32"/>
        </w:rPr>
        <w:t>，详见政府采购预算表。</w:t>
      </w:r>
    </w:p>
    <w:tbl>
      <w:tblPr>
        <w:tblStyle w:val="10"/>
        <w:tblW w:w="8068" w:type="dxa"/>
        <w:jc w:val="center"/>
        <w:tblLayout w:type="fixed"/>
        <w:tblCellMar>
          <w:top w:w="15" w:type="dxa"/>
          <w:left w:w="15" w:type="dxa"/>
          <w:bottom w:w="15" w:type="dxa"/>
          <w:right w:w="15" w:type="dxa"/>
        </w:tblCellMar>
      </w:tblPr>
      <w:tblGrid>
        <w:gridCol w:w="3835"/>
        <w:gridCol w:w="2216"/>
        <w:gridCol w:w="2017"/>
      </w:tblGrid>
      <w:tr>
        <w:tblPrEx>
          <w:tblCellMar>
            <w:top w:w="15" w:type="dxa"/>
            <w:left w:w="15" w:type="dxa"/>
            <w:bottom w:w="15" w:type="dxa"/>
            <w:right w:w="15" w:type="dxa"/>
          </w:tblCellMar>
        </w:tblPrEx>
        <w:trPr>
          <w:trHeight w:val="540" w:hRule="atLeast"/>
          <w:jc w:val="center"/>
        </w:trPr>
        <w:tc>
          <w:tcPr>
            <w:tcW w:w="8068" w:type="dxa"/>
            <w:gridSpan w:val="3"/>
            <w:vAlign w:val="bottom"/>
          </w:tcPr>
          <w:p>
            <w:pPr>
              <w:widowControl/>
              <w:jc w:val="center"/>
              <w:textAlignment w:val="bottom"/>
              <w:rPr>
                <w:rFonts w:cs="宋体" w:asciiTheme="majorEastAsia" w:hAnsiTheme="majorEastAsia" w:eastAsiaTheme="majorEastAsia"/>
                <w:b/>
                <w:color w:val="000000"/>
                <w:sz w:val="32"/>
                <w:szCs w:val="32"/>
              </w:rPr>
            </w:pPr>
            <w:r>
              <w:rPr>
                <w:rFonts w:hint="eastAsia" w:cs="宋体" w:asciiTheme="majorEastAsia" w:hAnsiTheme="majorEastAsia" w:eastAsiaTheme="majorEastAsia"/>
                <w:b/>
                <w:color w:val="000000"/>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3835" w:type="dxa"/>
            <w:vAlign w:val="bottom"/>
          </w:tcPr>
          <w:p>
            <w:pPr>
              <w:rPr>
                <w:rFonts w:cs="Arial" w:asciiTheme="majorEastAsia" w:hAnsiTheme="majorEastAsia" w:eastAsiaTheme="majorEastAsia"/>
                <w:color w:val="000000"/>
                <w:sz w:val="20"/>
                <w:szCs w:val="20"/>
              </w:rPr>
            </w:pPr>
            <w:r>
              <w:rPr>
                <w:rFonts w:hint="eastAsia" w:cs="宋体" w:asciiTheme="majorEastAsia" w:hAnsiTheme="majorEastAsia" w:eastAsiaTheme="majorEastAsia"/>
                <w:color w:val="000000"/>
                <w:kern w:val="0"/>
                <w:sz w:val="22"/>
                <w:szCs w:val="22"/>
              </w:rPr>
              <w:t>编制单位：馆陶县寿山寺乡人民政府</w:t>
            </w:r>
          </w:p>
        </w:tc>
        <w:tc>
          <w:tcPr>
            <w:tcW w:w="4233" w:type="dxa"/>
            <w:gridSpan w:val="2"/>
            <w:vAlign w:val="bottom"/>
          </w:tcPr>
          <w:p>
            <w:pPr>
              <w:ind w:firstLine="880" w:firstLineChars="400"/>
              <w:rPr>
                <w:rFonts w:cs="Arial" w:asciiTheme="majorEastAsia" w:hAnsiTheme="majorEastAsia" w:eastAsiaTheme="majorEastAsia"/>
                <w:color w:val="000000"/>
                <w:sz w:val="20"/>
                <w:szCs w:val="20"/>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30</w:t>
            </w:r>
            <w:r>
              <w:rPr>
                <w:rFonts w:hint="eastAsia" w:ascii="Times New Roman" w:hAnsi="Times New Roman" w:eastAsia="仿宋" w:cs="仿宋"/>
                <w:kern w:val="0"/>
                <w:sz w:val="22"/>
                <w:szCs w:val="22"/>
              </w:rPr>
              <w:t>日</w:t>
            </w:r>
          </w:p>
        </w:tc>
      </w:tr>
      <w:tr>
        <w:tblPrEx>
          <w:tblCellMar>
            <w:top w:w="15" w:type="dxa"/>
            <w:left w:w="15" w:type="dxa"/>
            <w:bottom w:w="15" w:type="dxa"/>
            <w:right w:w="15" w:type="dxa"/>
          </w:tblCellMar>
        </w:tblPrEx>
        <w:trPr>
          <w:trHeight w:val="285"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b/>
                <w:bCs/>
                <w:color w:val="000000"/>
                <w:sz w:val="24"/>
                <w:szCs w:val="24"/>
              </w:rPr>
            </w:pPr>
            <w:r>
              <w:rPr>
                <w:rFonts w:hint="eastAsia" w:cs="宋体" w:asciiTheme="majorEastAsia" w:hAnsiTheme="majorEastAsia" w:eastAsiaTheme="majorEastAsia"/>
                <w:b/>
                <w:bCs/>
                <w:color w:val="000000"/>
                <w:kern w:val="0"/>
                <w:sz w:val="22"/>
              </w:rPr>
              <w:t>项　　目</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Arial" w:asciiTheme="majorEastAsia" w:hAnsiTheme="majorEastAsia" w:eastAsiaTheme="majorEastAsia"/>
                <w:b/>
                <w:bCs/>
                <w:color w:val="000000"/>
                <w:sz w:val="20"/>
                <w:szCs w:val="20"/>
              </w:rPr>
            </w:pPr>
            <w:r>
              <w:rPr>
                <w:rFonts w:hint="eastAsia" w:cs="宋体" w:asciiTheme="majorEastAsia" w:hAnsiTheme="majorEastAsia" w:eastAsiaTheme="majorEastAsia"/>
                <w:b/>
                <w:bCs/>
                <w:color w:val="000000"/>
                <w:kern w:val="0"/>
                <w:sz w:val="22"/>
              </w:rPr>
              <w:t>数量</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Arial" w:asciiTheme="majorEastAsia" w:hAnsiTheme="majorEastAsia" w:eastAsiaTheme="majorEastAsia"/>
                <w:b/>
                <w:bCs/>
                <w:color w:val="000000"/>
                <w:sz w:val="20"/>
                <w:szCs w:val="20"/>
                <w:lang w:eastAsia="zh-CN"/>
              </w:rPr>
            </w:pPr>
            <w:r>
              <w:rPr>
                <w:rFonts w:hint="eastAsia" w:cs="宋体" w:asciiTheme="majorEastAsia" w:hAnsiTheme="majorEastAsia" w:eastAsiaTheme="majorEastAsia"/>
                <w:b/>
                <w:bCs/>
                <w:color w:val="000000"/>
                <w:kern w:val="0"/>
                <w:sz w:val="22"/>
              </w:rPr>
              <w:t>价值</w:t>
            </w:r>
            <w:r>
              <w:rPr>
                <w:rFonts w:hint="eastAsia" w:cs="宋体" w:asciiTheme="majorEastAsia" w:hAnsiTheme="majorEastAsia" w:eastAsiaTheme="majorEastAsia"/>
                <w:b/>
                <w:bCs/>
                <w:color w:val="000000"/>
                <w:kern w:val="0"/>
                <w:sz w:val="22"/>
                <w:lang w:eastAsia="zh-CN"/>
              </w:rPr>
              <w:t>（金额：万元）</w:t>
            </w:r>
          </w:p>
        </w:tc>
      </w:tr>
      <w:tr>
        <w:tblPrEx>
          <w:tblCellMar>
            <w:top w:w="15" w:type="dxa"/>
            <w:left w:w="15" w:type="dxa"/>
            <w:bottom w:w="15" w:type="dxa"/>
            <w:right w:w="15" w:type="dxa"/>
          </w:tblCellMar>
        </w:tblPrEx>
        <w:trPr>
          <w:trHeight w:val="457" w:hRule="atLeast"/>
          <w:jc w:val="center"/>
        </w:trPr>
        <w:tc>
          <w:tcPr>
            <w:tcW w:w="3835" w:type="dxa"/>
            <w:tcBorders>
              <w:top w:val="single" w:color="000000" w:sz="4" w:space="0"/>
              <w:left w:val="single" w:color="000000" w:sz="4" w:space="0"/>
              <w:right w:val="single" w:color="000000" w:sz="4" w:space="0"/>
            </w:tcBorders>
            <w:vAlign w:val="center"/>
          </w:tcPr>
          <w:p>
            <w:pPr>
              <w:jc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资产总额</w:t>
            </w:r>
          </w:p>
        </w:tc>
        <w:tc>
          <w:tcPr>
            <w:tcW w:w="2216" w:type="dxa"/>
            <w:tcBorders>
              <w:top w:val="single" w:color="000000" w:sz="4" w:space="0"/>
              <w:left w:val="single" w:color="000000" w:sz="4" w:space="0"/>
              <w:right w:val="single" w:color="000000" w:sz="4" w:space="0"/>
            </w:tcBorders>
            <w:vAlign w:val="center"/>
          </w:tcPr>
          <w:p>
            <w:pPr>
              <w:widowControl/>
              <w:jc w:val="center"/>
              <w:textAlignment w:val="center"/>
              <w:rPr>
                <w:rFonts w:hint="default" w:cs="宋体" w:asciiTheme="majorEastAsia" w:hAnsiTheme="majorEastAsia" w:eastAsiaTheme="majorEastAsia"/>
                <w:color w:val="000000"/>
                <w:sz w:val="22"/>
                <w:lang w:val="en-US" w:eastAsia="zh-CN"/>
              </w:rPr>
            </w:pPr>
            <w:r>
              <w:rPr>
                <w:rFonts w:hint="eastAsia" w:cs="宋体" w:asciiTheme="majorEastAsia" w:hAnsiTheme="majorEastAsia" w:eastAsiaTheme="majorEastAsia"/>
                <w:color w:val="000000"/>
                <w:sz w:val="22"/>
                <w:lang w:val="en-US" w:eastAsia="zh-CN"/>
              </w:rPr>
              <w:t>---</w:t>
            </w: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asciiTheme="majorEastAsia" w:hAnsiTheme="majorEastAsia" w:eastAsiaTheme="majorEastAsia"/>
                <w:color w:val="000000"/>
                <w:sz w:val="22"/>
                <w:lang w:val="en-US"/>
              </w:rPr>
            </w:pPr>
            <w:r>
              <w:rPr>
                <w:rFonts w:hint="eastAsia" w:cs="Arial"/>
                <w:color w:val="000000"/>
                <w:sz w:val="22"/>
                <w:lang w:val="en-US" w:eastAsia="zh-CN"/>
              </w:rPr>
              <w:t>119.94</w:t>
            </w:r>
          </w:p>
        </w:tc>
      </w:tr>
      <w:tr>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1</w:t>
            </w:r>
            <w:r>
              <w:rPr>
                <w:rFonts w:hint="eastAsia" w:cs="宋体" w:asciiTheme="majorEastAsia" w:hAnsiTheme="majorEastAsia" w:eastAsiaTheme="majorEastAsia"/>
                <w:color w:val="000000"/>
                <w:kern w:val="0"/>
                <w:sz w:val="22"/>
              </w:rPr>
              <w:t>、房屋（平方米）</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r>
              <w:rPr>
                <w:rFonts w:hint="eastAsia" w:cs="Arial"/>
                <w:color w:val="000000"/>
                <w:sz w:val="22"/>
              </w:rPr>
              <w:t>3,230.00</w:t>
            </w: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Arial"/>
                <w:color w:val="000000"/>
                <w:sz w:val="22"/>
                <w:lang w:val="en-US" w:eastAsia="zh-CN"/>
              </w:rPr>
            </w:pPr>
            <w:r>
              <w:rPr>
                <w:rFonts w:hint="eastAsia" w:cs="Arial"/>
                <w:color w:val="000000"/>
                <w:sz w:val="22"/>
                <w:lang w:val="en-US" w:eastAsia="zh-CN"/>
              </w:rPr>
              <w:t>73.54</w:t>
            </w:r>
          </w:p>
        </w:tc>
      </w:tr>
      <w:tr>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1.</w:t>
            </w:r>
            <w:r>
              <w:rPr>
                <w:rFonts w:hint="eastAsia" w:cs="宋体" w:asciiTheme="majorEastAsia" w:hAnsiTheme="majorEastAsia" w:eastAsiaTheme="majorEastAsia"/>
                <w:color w:val="000000"/>
                <w:kern w:val="0"/>
                <w:sz w:val="22"/>
              </w:rPr>
              <w:t>办公用房</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rPr>
              <w:t>3,230.00</w:t>
            </w: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Arial"/>
                <w:color w:val="000000"/>
                <w:sz w:val="22"/>
                <w:lang w:val="en-US" w:eastAsia="zh-CN"/>
              </w:rPr>
            </w:pPr>
            <w:r>
              <w:rPr>
                <w:rFonts w:hint="eastAsia" w:cs="Arial"/>
                <w:color w:val="000000"/>
                <w:sz w:val="22"/>
                <w:lang w:val="en-US" w:eastAsia="zh-CN"/>
              </w:rPr>
              <w:t>73.54</w:t>
            </w:r>
          </w:p>
        </w:tc>
      </w:tr>
      <w:tr>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　　</w:t>
            </w:r>
            <w:r>
              <w:rPr>
                <w:rFonts w:cs="宋体" w:asciiTheme="majorEastAsia" w:hAnsiTheme="majorEastAsia" w:eastAsiaTheme="majorEastAsia"/>
                <w:color w:val="000000"/>
                <w:kern w:val="0"/>
                <w:sz w:val="22"/>
              </w:rPr>
              <w:t xml:space="preserve">    2.</w:t>
            </w:r>
            <w:r>
              <w:rPr>
                <w:rFonts w:hint="eastAsia" w:cs="宋体" w:asciiTheme="majorEastAsia" w:hAnsiTheme="majorEastAsia" w:eastAsiaTheme="majorEastAsia"/>
                <w:color w:val="000000"/>
                <w:kern w:val="0"/>
                <w:sz w:val="22"/>
              </w:rPr>
              <w:t>业务用房</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p>
        </w:tc>
      </w:tr>
      <w:tr>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　</w:t>
            </w:r>
            <w:r>
              <w:rPr>
                <w:rFonts w:cs="宋体" w:asciiTheme="majorEastAsia" w:hAnsiTheme="majorEastAsia" w:eastAsiaTheme="majorEastAsia"/>
                <w:color w:val="000000"/>
                <w:kern w:val="0"/>
                <w:sz w:val="22"/>
              </w:rPr>
              <w:t xml:space="preserve"> </w:t>
            </w:r>
            <w:r>
              <w:rPr>
                <w:rFonts w:hint="eastAsia" w:cs="宋体" w:asciiTheme="majorEastAsia" w:hAnsiTheme="majorEastAsia" w:eastAsiaTheme="majorEastAsia"/>
                <w:color w:val="000000"/>
                <w:kern w:val="0"/>
                <w:sz w:val="22"/>
              </w:rPr>
              <w:t>　</w:t>
            </w:r>
            <w:r>
              <w:rPr>
                <w:rFonts w:cs="宋体" w:asciiTheme="majorEastAsia" w:hAnsiTheme="majorEastAsia" w:eastAsiaTheme="majorEastAsia"/>
                <w:color w:val="000000"/>
                <w:kern w:val="0"/>
                <w:sz w:val="22"/>
              </w:rPr>
              <w:t xml:space="preserve">   3.</w:t>
            </w:r>
            <w:r>
              <w:rPr>
                <w:rFonts w:hint="eastAsia" w:cs="宋体" w:asciiTheme="majorEastAsia" w:hAnsiTheme="majorEastAsia" w:eastAsiaTheme="majorEastAsia"/>
                <w:color w:val="000000"/>
                <w:kern w:val="0"/>
                <w:sz w:val="22"/>
              </w:rPr>
              <w:t>其他（不含构筑物）</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r>
      <w:tr>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2</w:t>
            </w:r>
            <w:r>
              <w:rPr>
                <w:rFonts w:hint="eastAsia" w:cs="宋体" w:asciiTheme="majorEastAsia" w:hAnsiTheme="majorEastAsia" w:eastAsiaTheme="majorEastAsia"/>
                <w:color w:val="000000"/>
                <w:kern w:val="0"/>
                <w:sz w:val="22"/>
              </w:rPr>
              <w:t>、车辆（台、辆）</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r>
              <w:rPr>
                <w:rFonts w:hint="eastAsia" w:cs="宋体" w:asciiTheme="majorEastAsia" w:hAnsiTheme="majorEastAsia" w:eastAsiaTheme="majorEastAsia"/>
                <w:color w:val="000000"/>
                <w:sz w:val="22"/>
              </w:rPr>
              <w:t>1</w:t>
            </w: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asciiTheme="majorEastAsia" w:hAnsiTheme="majorEastAsia" w:eastAsiaTheme="majorEastAsia"/>
                <w:color w:val="000000"/>
                <w:sz w:val="22"/>
                <w:lang w:val="en-US" w:eastAsia="zh-CN"/>
              </w:rPr>
            </w:pPr>
            <w:r>
              <w:rPr>
                <w:rFonts w:hint="eastAsia" w:cs="宋体" w:asciiTheme="majorEastAsia" w:hAnsiTheme="majorEastAsia" w:eastAsiaTheme="majorEastAsia"/>
                <w:color w:val="000000"/>
                <w:sz w:val="22"/>
                <w:lang w:val="en-US" w:eastAsia="zh-CN"/>
              </w:rPr>
              <w:t>10.00</w:t>
            </w:r>
          </w:p>
        </w:tc>
      </w:tr>
      <w:tr>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3</w:t>
            </w:r>
            <w:r>
              <w:rPr>
                <w:rFonts w:hint="eastAsia" w:cs="宋体" w:asciiTheme="majorEastAsia" w:hAnsiTheme="majorEastAsia" w:eastAsiaTheme="majorEastAsia"/>
                <w:color w:val="000000"/>
                <w:kern w:val="0"/>
                <w:sz w:val="22"/>
              </w:rPr>
              <w:t>、单价</w:t>
            </w:r>
            <w:r>
              <w:rPr>
                <w:rFonts w:cs="宋体" w:asciiTheme="majorEastAsia" w:hAnsiTheme="majorEastAsia" w:eastAsiaTheme="majorEastAsia"/>
                <w:color w:val="000000"/>
                <w:kern w:val="0"/>
                <w:sz w:val="22"/>
              </w:rPr>
              <w:t>50</w:t>
            </w:r>
            <w:r>
              <w:rPr>
                <w:rFonts w:hint="eastAsia" w:cs="宋体" w:asciiTheme="majorEastAsia" w:hAnsiTheme="majorEastAsia" w:eastAsiaTheme="majorEastAsia"/>
                <w:color w:val="000000"/>
                <w:kern w:val="0"/>
                <w:sz w:val="22"/>
              </w:rPr>
              <w:t>万元（含）以上的通用设备（台、套…）</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r>
      <w:tr>
        <w:tblPrEx>
          <w:tblCellMar>
            <w:top w:w="15" w:type="dxa"/>
            <w:left w:w="15" w:type="dxa"/>
            <w:bottom w:w="15" w:type="dxa"/>
            <w:right w:w="15" w:type="dxa"/>
          </w:tblCellMar>
        </w:tblPrEx>
        <w:trPr>
          <w:trHeight w:val="300"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4</w:t>
            </w:r>
            <w:r>
              <w:rPr>
                <w:rFonts w:hint="eastAsia" w:cs="宋体" w:asciiTheme="majorEastAsia" w:hAnsiTheme="majorEastAsia" w:eastAsiaTheme="majorEastAsia"/>
                <w:color w:val="000000"/>
                <w:kern w:val="0"/>
                <w:sz w:val="22"/>
              </w:rPr>
              <w:t>、单价</w:t>
            </w:r>
            <w:r>
              <w:rPr>
                <w:rFonts w:cs="宋体" w:asciiTheme="majorEastAsia" w:hAnsiTheme="majorEastAsia" w:eastAsiaTheme="majorEastAsia"/>
                <w:color w:val="000000"/>
                <w:kern w:val="0"/>
                <w:sz w:val="22"/>
              </w:rPr>
              <w:t>100</w:t>
            </w:r>
            <w:r>
              <w:rPr>
                <w:rFonts w:hint="eastAsia" w:cs="宋体" w:asciiTheme="majorEastAsia" w:hAnsiTheme="majorEastAsia" w:eastAsiaTheme="majorEastAsia"/>
                <w:color w:val="000000"/>
                <w:kern w:val="0"/>
                <w:sz w:val="22"/>
              </w:rPr>
              <w:t>万元（含）以上的专用设备（台、套…）</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r>
      <w:tr>
        <w:tblPrEx>
          <w:tblCellMar>
            <w:top w:w="15" w:type="dxa"/>
            <w:left w:w="15" w:type="dxa"/>
            <w:bottom w:w="15" w:type="dxa"/>
            <w:right w:w="15" w:type="dxa"/>
          </w:tblCellMar>
        </w:tblPrEx>
        <w:trPr>
          <w:trHeight w:val="739" w:hRule="atLeast"/>
          <w:jc w:val="center"/>
        </w:trPr>
        <w:tc>
          <w:tcPr>
            <w:tcW w:w="3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5</w:t>
            </w:r>
            <w:r>
              <w:rPr>
                <w:rFonts w:hint="eastAsia" w:cs="宋体" w:asciiTheme="majorEastAsia" w:hAnsiTheme="majorEastAsia" w:eastAsiaTheme="majorEastAsia"/>
                <w:color w:val="000000"/>
                <w:kern w:val="0"/>
                <w:sz w:val="22"/>
              </w:rPr>
              <w:t>、其他固定资产</w:t>
            </w:r>
          </w:p>
        </w:tc>
        <w:tc>
          <w:tcPr>
            <w:tcW w:w="22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w:t>
            </w:r>
          </w:p>
        </w:tc>
        <w:tc>
          <w:tcPr>
            <w:tcW w:w="201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asciiTheme="majorEastAsia" w:hAnsiTheme="majorEastAsia" w:eastAsiaTheme="majorEastAsia"/>
                <w:color w:val="000000"/>
                <w:sz w:val="22"/>
                <w:lang w:val="en-US"/>
              </w:rPr>
            </w:pPr>
            <w:r>
              <w:rPr>
                <w:rFonts w:hint="eastAsia" w:cs="Arial"/>
                <w:color w:val="000000"/>
                <w:sz w:val="22"/>
                <w:lang w:val="en-US" w:eastAsia="zh-CN"/>
              </w:rPr>
              <w:t>36.4</w:t>
            </w:r>
          </w:p>
        </w:tc>
      </w:tr>
    </w:tbl>
    <w:p>
      <w:pPr>
        <w:autoSpaceDE w:val="0"/>
        <w:autoSpaceDN w:val="0"/>
        <w:adjustRightInd w:val="0"/>
        <w:ind w:left="198" w:firstLine="640" w:firstLineChars="200"/>
        <w:jc w:val="left"/>
        <w:rPr>
          <w:rFonts w:asciiTheme="majorEastAsia" w:hAnsiTheme="majorEastAsia" w:eastAsiaTheme="majorEastAsia"/>
          <w:sz w:val="32"/>
          <w:szCs w:val="32"/>
        </w:rPr>
      </w:pP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八、名词解释</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1</w:t>
      </w:r>
      <w:r>
        <w:rPr>
          <w:rFonts w:hint="eastAsia" w:asciiTheme="majorEastAsia" w:hAnsiTheme="majorEastAsia" w:eastAsiaTheme="majorEastAsia"/>
          <w:b/>
          <w:sz w:val="32"/>
          <w:szCs w:val="32"/>
        </w:rPr>
        <w:t>、一般公共预算拨款收入：</w:t>
      </w:r>
      <w:r>
        <w:rPr>
          <w:rFonts w:hint="eastAsia" w:asciiTheme="majorEastAsia" w:hAnsiTheme="majorEastAsia" w:eastAsiaTheme="majorEastAsia"/>
          <w:sz w:val="32"/>
          <w:szCs w:val="32"/>
        </w:rPr>
        <w:t>指县级财政当年拨付的资金。</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2</w:t>
      </w:r>
      <w:r>
        <w:rPr>
          <w:rFonts w:hint="eastAsia" w:asciiTheme="majorEastAsia" w:hAnsiTheme="majorEastAsia" w:eastAsiaTheme="majorEastAsia"/>
          <w:b/>
          <w:sz w:val="32"/>
          <w:szCs w:val="32"/>
        </w:rPr>
        <w:t>、事业收入：</w:t>
      </w:r>
      <w:r>
        <w:rPr>
          <w:rFonts w:hint="eastAsia" w:asciiTheme="majorEastAsia" w:hAnsiTheme="majorEastAsia" w:eastAsiaTheme="majorEastAsia"/>
          <w:sz w:val="32"/>
          <w:szCs w:val="32"/>
        </w:rPr>
        <w:t>指事业单位开展专业业务活动及辅助活动所取得的收入。</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3</w:t>
      </w:r>
      <w:r>
        <w:rPr>
          <w:rFonts w:hint="eastAsia" w:asciiTheme="majorEastAsia" w:hAnsiTheme="majorEastAsia" w:eastAsiaTheme="majorEastAsia"/>
          <w:b/>
          <w:sz w:val="32"/>
          <w:szCs w:val="32"/>
        </w:rPr>
        <w:t>、其他收入：</w:t>
      </w:r>
      <w:r>
        <w:rPr>
          <w:rFonts w:hint="eastAsia" w:asciiTheme="majorEastAsia" w:hAnsiTheme="majorEastAsia" w:eastAsiaTheme="majorEastAsia"/>
          <w:sz w:val="32"/>
          <w:szCs w:val="32"/>
        </w:rPr>
        <w:t>指除</w:t>
      </w:r>
      <w:r>
        <w:rPr>
          <w:rFonts w:asciiTheme="majorEastAsia" w:hAnsiTheme="majorEastAsia" w:eastAsiaTheme="majorEastAsia"/>
          <w:sz w:val="32"/>
          <w:szCs w:val="32"/>
        </w:rPr>
        <w:t>“</w:t>
      </w:r>
      <w:r>
        <w:rPr>
          <w:rFonts w:hint="eastAsia" w:asciiTheme="majorEastAsia" w:hAnsiTheme="majorEastAsia" w:eastAsiaTheme="majorEastAsia"/>
          <w:sz w:val="32"/>
          <w:szCs w:val="32"/>
        </w:rPr>
        <w:t>一般公共预算拨款收入</w:t>
      </w:r>
      <w:r>
        <w:rPr>
          <w:rFonts w:asciiTheme="majorEastAsia" w:hAnsiTheme="majorEastAsia" w:eastAsiaTheme="majorEastAsia"/>
          <w:sz w:val="32"/>
          <w:szCs w:val="32"/>
        </w:rPr>
        <w:t>”</w:t>
      </w:r>
      <w:r>
        <w:rPr>
          <w:rFonts w:hint="eastAsia" w:asciiTheme="majorEastAsia" w:hAnsiTheme="majorEastAsia" w:eastAsiaTheme="majorEastAsia"/>
          <w:sz w:val="32"/>
          <w:szCs w:val="32"/>
        </w:rPr>
        <w:t>、</w:t>
      </w:r>
      <w:r>
        <w:rPr>
          <w:rFonts w:asciiTheme="majorEastAsia" w:hAnsiTheme="majorEastAsia" w:eastAsiaTheme="majorEastAsia"/>
          <w:sz w:val="32"/>
          <w:szCs w:val="32"/>
        </w:rPr>
        <w:t>“</w:t>
      </w:r>
      <w:r>
        <w:rPr>
          <w:rFonts w:hint="eastAsia" w:asciiTheme="majorEastAsia" w:hAnsiTheme="majorEastAsia" w:eastAsiaTheme="majorEastAsia"/>
          <w:sz w:val="32"/>
          <w:szCs w:val="32"/>
        </w:rPr>
        <w:t>事业收入</w:t>
      </w:r>
      <w:r>
        <w:rPr>
          <w:rFonts w:asciiTheme="majorEastAsia" w:hAnsiTheme="majorEastAsia" w:eastAsiaTheme="majorEastAsia"/>
          <w:sz w:val="32"/>
          <w:szCs w:val="32"/>
        </w:rPr>
        <w:t>”</w:t>
      </w:r>
      <w:r>
        <w:rPr>
          <w:rFonts w:hint="eastAsia" w:asciiTheme="majorEastAsia" w:hAnsiTheme="majorEastAsia" w:eastAsiaTheme="majorEastAsia"/>
          <w:sz w:val="32"/>
          <w:szCs w:val="32"/>
        </w:rPr>
        <w:t>等以外的收入。主要是按规定动用的租房收入、存款利息收入等。</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4</w:t>
      </w:r>
      <w:r>
        <w:rPr>
          <w:rFonts w:hint="eastAsia" w:asciiTheme="majorEastAsia" w:hAnsiTheme="majorEastAsia" w:eastAsiaTheme="majorEastAsia"/>
          <w:b/>
          <w:sz w:val="32"/>
          <w:szCs w:val="32"/>
        </w:rPr>
        <w:t>、基本支出：</w:t>
      </w:r>
      <w:r>
        <w:rPr>
          <w:rFonts w:hint="eastAsia" w:asciiTheme="majorEastAsia" w:hAnsiTheme="majorEastAsia" w:eastAsiaTheme="majorEastAsia"/>
          <w:sz w:val="32"/>
          <w:szCs w:val="32"/>
        </w:rPr>
        <w:t>指为保障机构正常运转、完成日常工作任务而发生的人员支出和公用支出。</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5</w:t>
      </w:r>
      <w:r>
        <w:rPr>
          <w:rFonts w:hint="eastAsia" w:asciiTheme="majorEastAsia" w:hAnsiTheme="majorEastAsia" w:eastAsiaTheme="majorEastAsia"/>
          <w:b/>
          <w:sz w:val="32"/>
          <w:szCs w:val="32"/>
        </w:rPr>
        <w:t>、项目支出：</w:t>
      </w:r>
      <w:r>
        <w:rPr>
          <w:rFonts w:hint="eastAsia" w:asciiTheme="majorEastAsia" w:hAnsiTheme="majorEastAsia" w:eastAsiaTheme="majorEastAsia"/>
          <w:sz w:val="32"/>
          <w:szCs w:val="32"/>
        </w:rPr>
        <w:t>指在基本支出之外为完成特定行政任务和事业发展目标所发生的支出。</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6</w:t>
      </w:r>
      <w:r>
        <w:rPr>
          <w:rFonts w:hint="eastAsia" w:asciiTheme="majorEastAsia" w:hAnsiTheme="majorEastAsia" w:eastAsiaTheme="majorEastAsia"/>
          <w:b/>
          <w:sz w:val="32"/>
          <w:szCs w:val="32"/>
        </w:rPr>
        <w:t>、</w:t>
      </w:r>
      <w:r>
        <w:rPr>
          <w:rFonts w:asciiTheme="majorEastAsia" w:hAnsiTheme="majorEastAsia" w:eastAsiaTheme="majorEastAsia"/>
          <w:b/>
          <w:sz w:val="32"/>
          <w:szCs w:val="32"/>
        </w:rPr>
        <w:t>“</w:t>
      </w:r>
      <w:r>
        <w:rPr>
          <w:rFonts w:hint="eastAsia" w:asciiTheme="majorEastAsia" w:hAnsiTheme="majorEastAsia" w:eastAsiaTheme="majorEastAsia"/>
          <w:b/>
          <w:sz w:val="32"/>
          <w:szCs w:val="32"/>
        </w:rPr>
        <w:t>三公</w:t>
      </w:r>
      <w:r>
        <w:rPr>
          <w:rFonts w:asciiTheme="majorEastAsia" w:hAnsiTheme="majorEastAsia" w:eastAsiaTheme="majorEastAsia"/>
          <w:b/>
          <w:sz w:val="32"/>
          <w:szCs w:val="32"/>
        </w:rPr>
        <w:t>”</w:t>
      </w:r>
      <w:r>
        <w:rPr>
          <w:rFonts w:hint="eastAsia" w:asciiTheme="majorEastAsia" w:hAnsiTheme="majorEastAsia" w:eastAsiaTheme="majorEastAsia"/>
          <w:b/>
          <w:sz w:val="32"/>
          <w:szCs w:val="32"/>
        </w:rPr>
        <w:t>经费：</w:t>
      </w:r>
      <w:r>
        <w:rPr>
          <w:rFonts w:hint="eastAsia" w:asciiTheme="majorEastAsia" w:hAnsiTheme="majorEastAsia" w:eastAsiaTheme="majorEastAsia"/>
          <w:sz w:val="32"/>
          <w:szCs w:val="32"/>
        </w:rPr>
        <w:t>纳入县级财政预算管理的</w:t>
      </w:r>
      <w:r>
        <w:rPr>
          <w:rFonts w:asciiTheme="majorEastAsia" w:hAnsiTheme="majorEastAsia" w:eastAsiaTheme="majorEastAsia"/>
          <w:sz w:val="32"/>
          <w:szCs w:val="32"/>
        </w:rPr>
        <w:t>“</w:t>
      </w:r>
      <w:r>
        <w:rPr>
          <w:rFonts w:hint="eastAsia" w:asciiTheme="majorEastAsia" w:hAnsiTheme="majorEastAsia" w:eastAsiaTheme="majorEastAsia"/>
          <w:sz w:val="32"/>
          <w:szCs w:val="32"/>
        </w:rPr>
        <w:t>三公</w:t>
      </w:r>
      <w:r>
        <w:rPr>
          <w:rFonts w:asciiTheme="majorEastAsia" w:hAnsiTheme="majorEastAsia" w:eastAsiaTheme="majorEastAsia"/>
          <w:sz w:val="32"/>
          <w:szCs w:val="32"/>
        </w:rPr>
        <w:t>”</w:t>
      </w:r>
      <w:r>
        <w:rPr>
          <w:rFonts w:hint="eastAsia" w:asciiTheme="majorEastAsia" w:hAnsiTheme="majorEastAsia" w:eastAsiaTheme="majorEastAsia"/>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7</w:t>
      </w:r>
      <w:r>
        <w:rPr>
          <w:rFonts w:hint="eastAsia" w:asciiTheme="majorEastAsia" w:hAnsiTheme="majorEastAsia" w:eastAsiaTheme="majorEastAsia"/>
          <w:b/>
          <w:sz w:val="32"/>
          <w:szCs w:val="32"/>
        </w:rPr>
        <w:t>、机关运行费：</w:t>
      </w:r>
      <w:r>
        <w:rPr>
          <w:rFonts w:hint="eastAsia" w:asciiTheme="majorEastAsia" w:hAnsiTheme="majorEastAsia" w:eastAsiaTheme="major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8</w:t>
      </w:r>
      <w:r>
        <w:rPr>
          <w:rFonts w:hint="eastAsia" w:asciiTheme="majorEastAsia" w:hAnsiTheme="majorEastAsia" w:eastAsiaTheme="majorEastAsia"/>
          <w:b/>
          <w:sz w:val="32"/>
          <w:szCs w:val="32"/>
        </w:rPr>
        <w:t>、上年结转：</w:t>
      </w:r>
      <w:r>
        <w:rPr>
          <w:rFonts w:hint="eastAsia" w:asciiTheme="majorEastAsia" w:hAnsiTheme="majorEastAsia" w:eastAsiaTheme="majorEastAsia"/>
          <w:sz w:val="32"/>
          <w:szCs w:val="32"/>
        </w:rPr>
        <w:t>指以前年度尚未完成、结转到本年仍按原规定用途继续使用的资金。</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9</w:t>
      </w:r>
      <w:r>
        <w:rPr>
          <w:rFonts w:hint="eastAsia" w:asciiTheme="majorEastAsia" w:hAnsiTheme="majorEastAsia" w:eastAsiaTheme="majorEastAsia"/>
          <w:b/>
          <w:sz w:val="32"/>
          <w:szCs w:val="32"/>
        </w:rPr>
        <w:t>、事业单位经营支出：</w:t>
      </w:r>
      <w:r>
        <w:rPr>
          <w:rFonts w:hint="eastAsia" w:asciiTheme="majorEastAsia" w:hAnsiTheme="majorEastAsia" w:eastAsiaTheme="majorEastAsia"/>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九、其他需要说明的事项</w:t>
      </w:r>
    </w:p>
    <w:p>
      <w:pPr>
        <w:ind w:firstLine="800" w:firstLineChars="250"/>
        <w:rPr>
          <w:rFonts w:asciiTheme="majorEastAsia" w:hAnsiTheme="majorEastAsia" w:eastAsiaTheme="majorEastAsia"/>
          <w:sz w:val="32"/>
          <w:szCs w:val="32"/>
        </w:rPr>
      </w:pPr>
      <w:r>
        <w:rPr>
          <w:rFonts w:hint="eastAsia" w:asciiTheme="majorEastAsia" w:hAnsiTheme="majorEastAsia" w:eastAsiaTheme="majorEastAsia"/>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icrosoft Sans Serif">
    <w:panose1 w:val="020B0604020202020204"/>
    <w:charset w:val="00"/>
    <w:family w:val="auto"/>
    <w:pitch w:val="default"/>
    <w:sig w:usb0="E1002AFF" w:usb1="C0000002" w:usb2="00000008"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w:t>
    </w:r>
    <w:r>
      <w:fldChar w:fldCharType="begin"/>
    </w:r>
    <w:r>
      <w:instrText xml:space="preserve">PAGE   \* MERGEFORMAT</w:instrText>
    </w:r>
    <w:r>
      <w:fldChar w:fldCharType="separate"/>
    </w:r>
    <w:r>
      <w:rPr>
        <w:lang w:val="zh-CN"/>
      </w:rPr>
      <w:t>11</w:t>
    </w:r>
    <w:r>
      <w:rPr>
        <w:lang w:val="zh-CN"/>
      </w:rPr>
      <w:fldChar w:fldCharType="end"/>
    </w:r>
    <w: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E88D7"/>
    <w:multiLevelType w:val="singleLevel"/>
    <w:tmpl w:val="91AE88D7"/>
    <w:lvl w:ilvl="0" w:tentative="0">
      <w:start w:val="2"/>
      <w:numFmt w:val="chineseCounting"/>
      <w:suff w:val="space"/>
      <w:lvlText w:val="第%1部分"/>
      <w:lvlJc w:val="left"/>
      <w:rPr>
        <w:rFonts w:hint="eastAsia"/>
      </w:rPr>
    </w:lvl>
  </w:abstractNum>
  <w:abstractNum w:abstractNumId="1">
    <w:nsid w:val="00000001"/>
    <w:multiLevelType w:val="multilevel"/>
    <w:tmpl w:val="00000001"/>
    <w:lvl w:ilvl="0" w:tentative="0">
      <w:start w:val="1"/>
      <w:numFmt w:val="decimal"/>
      <w:suff w:val="nothing"/>
      <w:lvlText w:val="%1、"/>
      <w:lvlJc w:val="left"/>
      <w:pPr>
        <w:ind w:firstLine="643"/>
      </w:pPr>
      <w:rPr>
        <w:rFonts w:ascii="仿宋_GB2312" w:hAnsi="仿宋_GB2312" w:eastAsia="仿宋_GB2312"/>
        <w:b/>
        <w:i w:val="0"/>
        <w:strike w:val="0"/>
        <w:color w:val="auto"/>
        <w:position w:val="0"/>
        <w:sz w:val="32"/>
        <w:u w:val="none"/>
        <w:shd w:val="clear" w:color="auto" w:fill="auto"/>
      </w:rPr>
    </w:lvl>
    <w:lvl w:ilvl="1" w:tentative="0">
      <w:start w:val="1"/>
      <w:numFmt w:val="decimal"/>
      <w:suff w:val="nothing"/>
      <w:lvlText w:val="%2"/>
      <w:lvlJc w:val="left"/>
      <w:pPr>
        <w:ind w:firstLine="643"/>
      </w:pPr>
      <w:rPr>
        <w:rFonts w:ascii="Times New Roman" w:hAnsi="Times New Roman" w:cs="Times New Roman"/>
        <w:b/>
        <w:bCs/>
        <w:i w:val="0"/>
        <w:iCs w:val="0"/>
        <w:strike w:val="0"/>
        <w:color w:val="auto"/>
        <w:sz w:val="44"/>
        <w:szCs w:val="44"/>
        <w:u w:val="none"/>
      </w:rPr>
    </w:lvl>
    <w:lvl w:ilvl="2" w:tentative="0">
      <w:start w:val="1"/>
      <w:numFmt w:val="decimal"/>
      <w:suff w:val="nothing"/>
      <w:lvlText w:val="%3"/>
      <w:lvlJc w:val="left"/>
      <w:pPr>
        <w:ind w:firstLine="643"/>
      </w:pPr>
      <w:rPr>
        <w:rFonts w:ascii="Times New Roman" w:hAnsi="Times New Roman" w:cs="Times New Roman"/>
        <w:b/>
        <w:bCs/>
        <w:i w:val="0"/>
        <w:iCs w:val="0"/>
        <w:strike w:val="0"/>
        <w:color w:val="auto"/>
        <w:sz w:val="44"/>
        <w:szCs w:val="44"/>
        <w:u w:val="none"/>
      </w:rPr>
    </w:lvl>
    <w:lvl w:ilvl="3" w:tentative="0">
      <w:start w:val="1"/>
      <w:numFmt w:val="decimal"/>
      <w:suff w:val="nothing"/>
      <w:lvlText w:val="%4"/>
      <w:lvlJc w:val="left"/>
      <w:pPr>
        <w:ind w:firstLine="643"/>
      </w:pPr>
      <w:rPr>
        <w:rFonts w:ascii="Times New Roman" w:hAnsi="Times New Roman" w:cs="Times New Roman"/>
        <w:b/>
        <w:bCs/>
        <w:i w:val="0"/>
        <w:iCs w:val="0"/>
        <w:strike w:val="0"/>
        <w:color w:val="auto"/>
        <w:sz w:val="44"/>
        <w:szCs w:val="44"/>
        <w:u w:val="none"/>
      </w:rPr>
    </w:lvl>
    <w:lvl w:ilvl="4" w:tentative="0">
      <w:start w:val="1"/>
      <w:numFmt w:val="decimal"/>
      <w:suff w:val="nothing"/>
      <w:lvlText w:val="%5"/>
      <w:lvlJc w:val="left"/>
      <w:pPr>
        <w:ind w:firstLine="643"/>
      </w:pPr>
      <w:rPr>
        <w:rFonts w:ascii="Times New Roman" w:hAnsi="Times New Roman" w:cs="Times New Roman"/>
        <w:b/>
        <w:bCs/>
        <w:i w:val="0"/>
        <w:iCs w:val="0"/>
        <w:strike w:val="0"/>
        <w:color w:val="auto"/>
        <w:sz w:val="44"/>
        <w:szCs w:val="44"/>
        <w:u w:val="none"/>
      </w:rPr>
    </w:lvl>
    <w:lvl w:ilvl="5" w:tentative="0">
      <w:start w:val="1"/>
      <w:numFmt w:val="decimal"/>
      <w:suff w:val="nothing"/>
      <w:lvlText w:val="%6"/>
      <w:lvlJc w:val="left"/>
      <w:pPr>
        <w:ind w:firstLine="643"/>
      </w:pPr>
      <w:rPr>
        <w:rFonts w:ascii="Times New Roman" w:hAnsi="Times New Roman" w:cs="Times New Roman"/>
        <w:b/>
        <w:bCs/>
        <w:i w:val="0"/>
        <w:iCs w:val="0"/>
        <w:strike w:val="0"/>
        <w:color w:val="auto"/>
        <w:sz w:val="44"/>
        <w:szCs w:val="44"/>
        <w:u w:val="none"/>
      </w:rPr>
    </w:lvl>
    <w:lvl w:ilvl="6" w:tentative="0">
      <w:start w:val="1"/>
      <w:numFmt w:val="decimal"/>
      <w:suff w:val="nothing"/>
      <w:lvlText w:val="%7"/>
      <w:lvlJc w:val="left"/>
      <w:pPr>
        <w:ind w:firstLine="643"/>
      </w:pPr>
      <w:rPr>
        <w:rFonts w:ascii="Times New Roman" w:hAnsi="Times New Roman" w:cs="Times New Roman"/>
        <w:b/>
        <w:bCs/>
        <w:i w:val="0"/>
        <w:iCs w:val="0"/>
        <w:strike w:val="0"/>
        <w:color w:val="auto"/>
        <w:sz w:val="44"/>
        <w:szCs w:val="44"/>
        <w:u w:val="none"/>
      </w:rPr>
    </w:lvl>
    <w:lvl w:ilvl="7" w:tentative="0">
      <w:start w:val="1"/>
      <w:numFmt w:val="decimal"/>
      <w:suff w:val="nothing"/>
      <w:lvlText w:val="%8"/>
      <w:lvlJc w:val="left"/>
      <w:pPr>
        <w:ind w:firstLine="643"/>
      </w:pPr>
      <w:rPr>
        <w:rFonts w:ascii="Times New Roman" w:hAnsi="Times New Roman" w:cs="Times New Roman"/>
        <w:b/>
        <w:bCs/>
        <w:i w:val="0"/>
        <w:iCs w:val="0"/>
        <w:strike w:val="0"/>
        <w:color w:val="auto"/>
        <w:sz w:val="44"/>
        <w:szCs w:val="44"/>
        <w:u w:val="none"/>
      </w:rPr>
    </w:lvl>
    <w:lvl w:ilvl="8" w:tentative="0">
      <w:start w:val="1"/>
      <w:numFmt w:val="decimal"/>
      <w:suff w:val="nothing"/>
      <w:lvlText w:val="%9"/>
      <w:lvlJc w:val="left"/>
      <w:pPr>
        <w:ind w:firstLine="643"/>
      </w:pPr>
      <w:rPr>
        <w:rFonts w:ascii="Times New Roman" w:hAnsi="Times New Roman" w:cs="Times New Roman"/>
        <w:b/>
        <w:bCs/>
        <w:i w:val="0"/>
        <w:iCs w:val="0"/>
        <w:strike w:val="0"/>
        <w:color w:val="auto"/>
        <w:sz w:val="44"/>
        <w:szCs w:val="44"/>
        <w:u w:val="none"/>
      </w:rPr>
    </w:lvl>
  </w:abstractNum>
  <w:abstractNum w:abstractNumId="2">
    <w:nsid w:val="0199D6DD"/>
    <w:multiLevelType w:val="singleLevel"/>
    <w:tmpl w:val="0199D6DD"/>
    <w:lvl w:ilvl="0" w:tentative="0">
      <w:start w:val="7"/>
      <w:numFmt w:val="decimal"/>
      <w:suff w:val="space"/>
      <w:lvlText w:val="%1、"/>
      <w:lvlJc w:val="left"/>
    </w:lvl>
  </w:abstractNum>
  <w:abstractNum w:abstractNumId="3">
    <w:nsid w:val="5ABD1509"/>
    <w:multiLevelType w:val="singleLevel"/>
    <w:tmpl w:val="5ABD1509"/>
    <w:lvl w:ilvl="0" w:tentative="0">
      <w:start w:val="1"/>
      <w:numFmt w:val="chineseCounting"/>
      <w:suff w:val="nothing"/>
      <w:lvlText w:val="（%1）"/>
      <w:lvlJc w:val="left"/>
      <w:rPr>
        <w:rFonts w:cs="Times New Roman"/>
      </w:rPr>
    </w:lvl>
  </w:abstractNum>
  <w:num w:numId="1">
    <w:abstractNumId w:val="3"/>
  </w:num>
  <w:num w:numId="2">
    <w:abstractNumId w:val="1"/>
  </w:num>
  <w:num w:numId="3">
    <w:abstractNumId w:val="1"/>
    <w:lvlOverride w:ilvl="0">
      <w:lvl w:ilvl="0" w:tentative="1">
        <w:start w:val="1"/>
        <w:numFmt w:val="decimal"/>
        <w:suff w:val="nothing"/>
        <w:lvlText w:val="%1"/>
        <w:lvlJc w:val="left"/>
        <w:pPr>
          <w:ind w:firstLine="643"/>
        </w:pPr>
        <w:rPr>
          <w:rFonts w:ascii="仿宋_GB2312" w:hAnsi="Calibri" w:cs="仿宋_GB2312"/>
          <w:b/>
          <w:bCs/>
          <w:i w:val="0"/>
          <w:iCs w:val="0"/>
          <w:strike w:val="0"/>
          <w:color w:val="auto"/>
          <w:sz w:val="32"/>
          <w:szCs w:val="32"/>
          <w:u w:val="none"/>
        </w:rPr>
      </w:lvl>
    </w:lvlOverride>
    <w:lvlOverride w:ilvl="1">
      <w:lvl w:ilvl="1" w:tentative="1">
        <w:start w:val="1"/>
        <w:numFmt w:val="decimal"/>
        <w:suff w:val="nothing"/>
        <w:lvlText w:val="%2"/>
        <w:lvlJc w:val="left"/>
        <w:pPr>
          <w:ind w:firstLine="643"/>
        </w:pPr>
        <w:rPr>
          <w:rFonts w:ascii="Times New Roman" w:hAnsi="Times New Roman" w:cs="Times New Roman"/>
          <w:b/>
          <w:bCs/>
          <w:i w:val="0"/>
          <w:iCs w:val="0"/>
          <w:strike w:val="0"/>
          <w:color w:val="auto"/>
          <w:sz w:val="44"/>
          <w:szCs w:val="44"/>
          <w:u w:val="none"/>
        </w:rPr>
      </w:lvl>
    </w:lvlOverride>
    <w:lvlOverride w:ilvl="2">
      <w:lvl w:ilvl="2" w:tentative="1">
        <w:start w:val="1"/>
        <w:numFmt w:val="decimal"/>
        <w:suff w:val="nothing"/>
        <w:lvlText w:val="%3"/>
        <w:lvlJc w:val="left"/>
        <w:pPr>
          <w:ind w:firstLine="643"/>
        </w:pPr>
        <w:rPr>
          <w:rFonts w:ascii="Times New Roman" w:hAnsi="Times New Roman" w:cs="Times New Roman"/>
          <w:b/>
          <w:bCs/>
          <w:i w:val="0"/>
          <w:iCs w:val="0"/>
          <w:strike w:val="0"/>
          <w:color w:val="auto"/>
          <w:sz w:val="44"/>
          <w:szCs w:val="44"/>
          <w:u w:val="none"/>
        </w:rPr>
      </w:lvl>
    </w:lvlOverride>
    <w:lvlOverride w:ilvl="3">
      <w:lvl w:ilvl="3" w:tentative="1">
        <w:start w:val="1"/>
        <w:numFmt w:val="decimal"/>
        <w:suff w:val="nothing"/>
        <w:lvlText w:val="%4"/>
        <w:lvlJc w:val="left"/>
        <w:pPr>
          <w:ind w:firstLine="643"/>
        </w:pPr>
        <w:rPr>
          <w:rFonts w:ascii="Times New Roman" w:hAnsi="Times New Roman" w:cs="Times New Roman"/>
          <w:b/>
          <w:bCs/>
          <w:i w:val="0"/>
          <w:iCs w:val="0"/>
          <w:strike w:val="0"/>
          <w:color w:val="auto"/>
          <w:sz w:val="44"/>
          <w:szCs w:val="44"/>
          <w:u w:val="none"/>
        </w:rPr>
      </w:lvl>
    </w:lvlOverride>
    <w:lvlOverride w:ilvl="4">
      <w:lvl w:ilvl="4" w:tentative="1">
        <w:start w:val="1"/>
        <w:numFmt w:val="decimal"/>
        <w:suff w:val="nothing"/>
        <w:lvlText w:val="%5"/>
        <w:lvlJc w:val="left"/>
        <w:pPr>
          <w:ind w:firstLine="643"/>
        </w:pPr>
        <w:rPr>
          <w:rFonts w:ascii="Times New Roman" w:hAnsi="Times New Roman" w:cs="Times New Roman"/>
          <w:b/>
          <w:bCs/>
          <w:i w:val="0"/>
          <w:iCs w:val="0"/>
          <w:strike w:val="0"/>
          <w:color w:val="auto"/>
          <w:sz w:val="44"/>
          <w:szCs w:val="44"/>
          <w:u w:val="none"/>
        </w:rPr>
      </w:lvl>
    </w:lvlOverride>
    <w:lvlOverride w:ilvl="5">
      <w:lvl w:ilvl="5" w:tentative="1">
        <w:start w:val="1"/>
        <w:numFmt w:val="decimal"/>
        <w:suff w:val="nothing"/>
        <w:lvlText w:val="%6"/>
        <w:lvlJc w:val="left"/>
        <w:pPr>
          <w:ind w:firstLine="643"/>
        </w:pPr>
        <w:rPr>
          <w:rFonts w:ascii="Times New Roman" w:hAnsi="Times New Roman" w:cs="Times New Roman"/>
          <w:b/>
          <w:bCs/>
          <w:i w:val="0"/>
          <w:iCs w:val="0"/>
          <w:strike w:val="0"/>
          <w:color w:val="auto"/>
          <w:sz w:val="44"/>
          <w:szCs w:val="44"/>
          <w:u w:val="none"/>
        </w:rPr>
      </w:lvl>
    </w:lvlOverride>
    <w:lvlOverride w:ilvl="6">
      <w:lvl w:ilvl="6" w:tentative="1">
        <w:start w:val="1"/>
        <w:numFmt w:val="decimal"/>
        <w:suff w:val="nothing"/>
        <w:lvlText w:val="%7"/>
        <w:lvlJc w:val="left"/>
        <w:pPr>
          <w:ind w:firstLine="643"/>
        </w:pPr>
        <w:rPr>
          <w:rFonts w:ascii="Times New Roman" w:hAnsi="Times New Roman" w:cs="Times New Roman"/>
          <w:b/>
          <w:bCs/>
          <w:i w:val="0"/>
          <w:iCs w:val="0"/>
          <w:strike w:val="0"/>
          <w:color w:val="auto"/>
          <w:sz w:val="44"/>
          <w:szCs w:val="44"/>
          <w:u w:val="none"/>
        </w:rPr>
      </w:lvl>
    </w:lvlOverride>
    <w:lvlOverride w:ilvl="7">
      <w:lvl w:ilvl="7" w:tentative="1">
        <w:start w:val="1"/>
        <w:numFmt w:val="decimal"/>
        <w:suff w:val="nothing"/>
        <w:lvlText w:val="%8"/>
        <w:lvlJc w:val="left"/>
        <w:pPr>
          <w:ind w:firstLine="643"/>
        </w:pPr>
        <w:rPr>
          <w:rFonts w:ascii="Times New Roman" w:hAnsi="Times New Roman" w:cs="Times New Roman"/>
          <w:b/>
          <w:bCs/>
          <w:i w:val="0"/>
          <w:iCs w:val="0"/>
          <w:strike w:val="0"/>
          <w:color w:val="auto"/>
          <w:sz w:val="44"/>
          <w:szCs w:val="44"/>
          <w:u w:val="none"/>
        </w:rPr>
      </w:lvl>
    </w:lvlOverride>
    <w:lvlOverride w:ilvl="8">
      <w:lvl w:ilvl="8" w:tentative="1">
        <w:start w:val="1"/>
        <w:numFmt w:val="decimal"/>
        <w:suff w:val="nothing"/>
        <w:lvlText w:val="%9"/>
        <w:lvlJc w:val="left"/>
        <w:pPr>
          <w:ind w:firstLine="643"/>
        </w:pPr>
        <w:rPr>
          <w:rFonts w:ascii="Times New Roman" w:hAnsi="Times New Roman" w:cs="Times New Roman"/>
          <w:b/>
          <w:bCs/>
          <w:i w:val="0"/>
          <w:iCs w:val="0"/>
          <w:strike w:val="0"/>
          <w:color w:val="auto"/>
          <w:sz w:val="44"/>
          <w:szCs w:val="44"/>
          <w:u w:val="none"/>
        </w:rPr>
      </w:lvl>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66032"/>
    <w:rsid w:val="00002CFD"/>
    <w:rsid w:val="000053CC"/>
    <w:rsid w:val="0000636E"/>
    <w:rsid w:val="00037AF6"/>
    <w:rsid w:val="0004565F"/>
    <w:rsid w:val="00072187"/>
    <w:rsid w:val="00072412"/>
    <w:rsid w:val="00075D5F"/>
    <w:rsid w:val="000A7850"/>
    <w:rsid w:val="000B529B"/>
    <w:rsid w:val="000C24E6"/>
    <w:rsid w:val="000C3A19"/>
    <w:rsid w:val="000D5C0F"/>
    <w:rsid w:val="000E719C"/>
    <w:rsid w:val="001245BB"/>
    <w:rsid w:val="001251A3"/>
    <w:rsid w:val="001643E8"/>
    <w:rsid w:val="001919C4"/>
    <w:rsid w:val="0019723B"/>
    <w:rsid w:val="001E0757"/>
    <w:rsid w:val="001E1CEE"/>
    <w:rsid w:val="001E6DDC"/>
    <w:rsid w:val="001F7873"/>
    <w:rsid w:val="00241FD4"/>
    <w:rsid w:val="00247EED"/>
    <w:rsid w:val="00251B12"/>
    <w:rsid w:val="00265318"/>
    <w:rsid w:val="0027011F"/>
    <w:rsid w:val="002835D7"/>
    <w:rsid w:val="00290FD6"/>
    <w:rsid w:val="00296113"/>
    <w:rsid w:val="002A673A"/>
    <w:rsid w:val="002C1737"/>
    <w:rsid w:val="002C465F"/>
    <w:rsid w:val="002C5E13"/>
    <w:rsid w:val="002C62BC"/>
    <w:rsid w:val="002C63FE"/>
    <w:rsid w:val="002E0EB8"/>
    <w:rsid w:val="002F3E58"/>
    <w:rsid w:val="0030542C"/>
    <w:rsid w:val="00311B7A"/>
    <w:rsid w:val="00313D9C"/>
    <w:rsid w:val="00407AA1"/>
    <w:rsid w:val="00424943"/>
    <w:rsid w:val="0042727E"/>
    <w:rsid w:val="0043175C"/>
    <w:rsid w:val="00437296"/>
    <w:rsid w:val="00451590"/>
    <w:rsid w:val="00451871"/>
    <w:rsid w:val="004706DE"/>
    <w:rsid w:val="00472923"/>
    <w:rsid w:val="00486DCD"/>
    <w:rsid w:val="0048783F"/>
    <w:rsid w:val="004B0C3A"/>
    <w:rsid w:val="004C49A8"/>
    <w:rsid w:val="004D5788"/>
    <w:rsid w:val="004E3066"/>
    <w:rsid w:val="004E419C"/>
    <w:rsid w:val="004E74CD"/>
    <w:rsid w:val="004F6729"/>
    <w:rsid w:val="00524EFD"/>
    <w:rsid w:val="00552597"/>
    <w:rsid w:val="00572067"/>
    <w:rsid w:val="00573562"/>
    <w:rsid w:val="00584CF8"/>
    <w:rsid w:val="00590ECE"/>
    <w:rsid w:val="005F5714"/>
    <w:rsid w:val="00600A07"/>
    <w:rsid w:val="00611D03"/>
    <w:rsid w:val="00614A29"/>
    <w:rsid w:val="00636BDF"/>
    <w:rsid w:val="00643882"/>
    <w:rsid w:val="00673D76"/>
    <w:rsid w:val="006854F0"/>
    <w:rsid w:val="006920B9"/>
    <w:rsid w:val="006B1C4A"/>
    <w:rsid w:val="006B610D"/>
    <w:rsid w:val="006E49F5"/>
    <w:rsid w:val="007013C8"/>
    <w:rsid w:val="00753836"/>
    <w:rsid w:val="0075393C"/>
    <w:rsid w:val="00754592"/>
    <w:rsid w:val="00776C08"/>
    <w:rsid w:val="007910F0"/>
    <w:rsid w:val="007C219A"/>
    <w:rsid w:val="007E1DA8"/>
    <w:rsid w:val="007F6C26"/>
    <w:rsid w:val="00813208"/>
    <w:rsid w:val="00817533"/>
    <w:rsid w:val="008334AE"/>
    <w:rsid w:val="00836FED"/>
    <w:rsid w:val="0083724E"/>
    <w:rsid w:val="00841D53"/>
    <w:rsid w:val="00845CD2"/>
    <w:rsid w:val="00852B0D"/>
    <w:rsid w:val="00864B7F"/>
    <w:rsid w:val="00867445"/>
    <w:rsid w:val="00881692"/>
    <w:rsid w:val="008A6576"/>
    <w:rsid w:val="008B3CC5"/>
    <w:rsid w:val="008B52CD"/>
    <w:rsid w:val="008C7C4D"/>
    <w:rsid w:val="008E4261"/>
    <w:rsid w:val="008E70D4"/>
    <w:rsid w:val="008E7630"/>
    <w:rsid w:val="008F29FA"/>
    <w:rsid w:val="008F4662"/>
    <w:rsid w:val="00905D08"/>
    <w:rsid w:val="00925753"/>
    <w:rsid w:val="009425F4"/>
    <w:rsid w:val="00943BD8"/>
    <w:rsid w:val="00954B2C"/>
    <w:rsid w:val="00966C5C"/>
    <w:rsid w:val="00973104"/>
    <w:rsid w:val="00995BF0"/>
    <w:rsid w:val="009A16D5"/>
    <w:rsid w:val="009A353D"/>
    <w:rsid w:val="009B0B77"/>
    <w:rsid w:val="009B511E"/>
    <w:rsid w:val="009D37D3"/>
    <w:rsid w:val="00A16E6C"/>
    <w:rsid w:val="00A40F60"/>
    <w:rsid w:val="00A44E3D"/>
    <w:rsid w:val="00A455B8"/>
    <w:rsid w:val="00A72D2E"/>
    <w:rsid w:val="00A74447"/>
    <w:rsid w:val="00A74CE5"/>
    <w:rsid w:val="00A77500"/>
    <w:rsid w:val="00A911E7"/>
    <w:rsid w:val="00A939D9"/>
    <w:rsid w:val="00AC6620"/>
    <w:rsid w:val="00AD5259"/>
    <w:rsid w:val="00B01D36"/>
    <w:rsid w:val="00B078CD"/>
    <w:rsid w:val="00B20712"/>
    <w:rsid w:val="00B3715A"/>
    <w:rsid w:val="00B43238"/>
    <w:rsid w:val="00B45DD3"/>
    <w:rsid w:val="00B73582"/>
    <w:rsid w:val="00B75216"/>
    <w:rsid w:val="00B755A2"/>
    <w:rsid w:val="00B9104C"/>
    <w:rsid w:val="00B91D52"/>
    <w:rsid w:val="00B9490F"/>
    <w:rsid w:val="00BA1ACD"/>
    <w:rsid w:val="00BD09F8"/>
    <w:rsid w:val="00BE240E"/>
    <w:rsid w:val="00C005B2"/>
    <w:rsid w:val="00C04A29"/>
    <w:rsid w:val="00C277AB"/>
    <w:rsid w:val="00C4486E"/>
    <w:rsid w:val="00CA7176"/>
    <w:rsid w:val="00CC075E"/>
    <w:rsid w:val="00CC75B0"/>
    <w:rsid w:val="00CD2773"/>
    <w:rsid w:val="00CE01BA"/>
    <w:rsid w:val="00CE143B"/>
    <w:rsid w:val="00D07DBA"/>
    <w:rsid w:val="00D11DF5"/>
    <w:rsid w:val="00D23B49"/>
    <w:rsid w:val="00D27003"/>
    <w:rsid w:val="00D9307A"/>
    <w:rsid w:val="00E167C7"/>
    <w:rsid w:val="00E426E7"/>
    <w:rsid w:val="00E55B78"/>
    <w:rsid w:val="00E76361"/>
    <w:rsid w:val="00EC47F6"/>
    <w:rsid w:val="00EF08C9"/>
    <w:rsid w:val="00EF188F"/>
    <w:rsid w:val="00EF535E"/>
    <w:rsid w:val="00F00165"/>
    <w:rsid w:val="00F14A62"/>
    <w:rsid w:val="00F26EB5"/>
    <w:rsid w:val="00F41371"/>
    <w:rsid w:val="00F471F7"/>
    <w:rsid w:val="00F66032"/>
    <w:rsid w:val="00F83B96"/>
    <w:rsid w:val="00F8441D"/>
    <w:rsid w:val="00F87C1E"/>
    <w:rsid w:val="00F958C2"/>
    <w:rsid w:val="00FA740E"/>
    <w:rsid w:val="00FC06C7"/>
    <w:rsid w:val="00FD2A4D"/>
    <w:rsid w:val="00FD5DB4"/>
    <w:rsid w:val="00FE1724"/>
    <w:rsid w:val="019A2B38"/>
    <w:rsid w:val="01B26945"/>
    <w:rsid w:val="03E20E99"/>
    <w:rsid w:val="053D6574"/>
    <w:rsid w:val="084064B2"/>
    <w:rsid w:val="09927757"/>
    <w:rsid w:val="0A2023C6"/>
    <w:rsid w:val="0B0D0585"/>
    <w:rsid w:val="0B331B7E"/>
    <w:rsid w:val="0B892DE2"/>
    <w:rsid w:val="0C044491"/>
    <w:rsid w:val="0DB32BBD"/>
    <w:rsid w:val="0FB56335"/>
    <w:rsid w:val="10082623"/>
    <w:rsid w:val="11C37B1A"/>
    <w:rsid w:val="125A0266"/>
    <w:rsid w:val="13DB36DD"/>
    <w:rsid w:val="159B7ED7"/>
    <w:rsid w:val="17BA713D"/>
    <w:rsid w:val="1AF93B23"/>
    <w:rsid w:val="1CB85026"/>
    <w:rsid w:val="1FC1447C"/>
    <w:rsid w:val="20AD38DF"/>
    <w:rsid w:val="21613782"/>
    <w:rsid w:val="21EC0606"/>
    <w:rsid w:val="22BD2ECA"/>
    <w:rsid w:val="253017B4"/>
    <w:rsid w:val="26031530"/>
    <w:rsid w:val="29917EED"/>
    <w:rsid w:val="2B9D135F"/>
    <w:rsid w:val="2C846E6C"/>
    <w:rsid w:val="2E0A56D6"/>
    <w:rsid w:val="305D3660"/>
    <w:rsid w:val="31907403"/>
    <w:rsid w:val="31E15395"/>
    <w:rsid w:val="3473676B"/>
    <w:rsid w:val="35A10C17"/>
    <w:rsid w:val="361C0C2E"/>
    <w:rsid w:val="384F4D5C"/>
    <w:rsid w:val="38781EB8"/>
    <w:rsid w:val="3B6840A6"/>
    <w:rsid w:val="3D5F7C13"/>
    <w:rsid w:val="3DE615C8"/>
    <w:rsid w:val="3FB07229"/>
    <w:rsid w:val="405109A3"/>
    <w:rsid w:val="43274E58"/>
    <w:rsid w:val="44F26C59"/>
    <w:rsid w:val="459402C4"/>
    <w:rsid w:val="45FE5EEA"/>
    <w:rsid w:val="47B16D72"/>
    <w:rsid w:val="4A657D63"/>
    <w:rsid w:val="4AA17B70"/>
    <w:rsid w:val="4B102105"/>
    <w:rsid w:val="4C6276E2"/>
    <w:rsid w:val="4EF12B05"/>
    <w:rsid w:val="502942BA"/>
    <w:rsid w:val="51E46731"/>
    <w:rsid w:val="52DE59BB"/>
    <w:rsid w:val="52F53307"/>
    <w:rsid w:val="53071741"/>
    <w:rsid w:val="55952CD4"/>
    <w:rsid w:val="56733828"/>
    <w:rsid w:val="580E34B3"/>
    <w:rsid w:val="5D5A3361"/>
    <w:rsid w:val="5D8C41ED"/>
    <w:rsid w:val="5DCB425A"/>
    <w:rsid w:val="5F81633B"/>
    <w:rsid w:val="60315DEE"/>
    <w:rsid w:val="60466121"/>
    <w:rsid w:val="62AC6848"/>
    <w:rsid w:val="63756E47"/>
    <w:rsid w:val="64FF07E7"/>
    <w:rsid w:val="66047C9F"/>
    <w:rsid w:val="665D136B"/>
    <w:rsid w:val="69C822D4"/>
    <w:rsid w:val="6FA90EE9"/>
    <w:rsid w:val="709C0361"/>
    <w:rsid w:val="71051481"/>
    <w:rsid w:val="716770B7"/>
    <w:rsid w:val="73EA0826"/>
    <w:rsid w:val="7A191E0E"/>
    <w:rsid w:val="7E242906"/>
    <w:rsid w:val="7FD475A4"/>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qFormat/>
    <w:uiPriority w:val="99"/>
    <w:rPr>
      <w:rFonts w:ascii="Times New Roman" w:hAnsi="Times New Roman"/>
      <w:szCs w:val="24"/>
    </w:rPr>
  </w:style>
  <w:style w:type="paragraph" w:styleId="7">
    <w:name w:val="footnote text"/>
    <w:basedOn w:val="1"/>
    <w:link w:val="16"/>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footnote reference"/>
    <w:basedOn w:val="11"/>
    <w:qFormat/>
    <w:uiPriority w:val="99"/>
    <w:rPr>
      <w:rFonts w:cs="Times New Roman"/>
      <w:vertAlign w:val="superscript"/>
    </w:rPr>
  </w:style>
  <w:style w:type="character" w:customStyle="1" w:styleId="13">
    <w:name w:val="批注框文本 Char"/>
    <w:basedOn w:val="11"/>
    <w:link w:val="3"/>
    <w:semiHidden/>
    <w:qFormat/>
    <w:locked/>
    <w:uiPriority w:val="99"/>
    <w:rPr>
      <w:rFonts w:cs="Times New Roman"/>
      <w:sz w:val="18"/>
      <w:szCs w:val="18"/>
    </w:rPr>
  </w:style>
  <w:style w:type="character" w:customStyle="1" w:styleId="14">
    <w:name w:val="页脚 Char"/>
    <w:basedOn w:val="11"/>
    <w:link w:val="4"/>
    <w:qFormat/>
    <w:locked/>
    <w:uiPriority w:val="99"/>
    <w:rPr>
      <w:rFonts w:ascii="Times New Roman" w:hAnsi="Times New Roman" w:eastAsia="宋体" w:cs="Times New Roman"/>
      <w:sz w:val="18"/>
      <w:szCs w:val="18"/>
    </w:rPr>
  </w:style>
  <w:style w:type="character" w:customStyle="1" w:styleId="15">
    <w:name w:val="页眉 Char"/>
    <w:basedOn w:val="11"/>
    <w:link w:val="5"/>
    <w:qFormat/>
    <w:locked/>
    <w:uiPriority w:val="99"/>
    <w:rPr>
      <w:rFonts w:ascii="Times New Roman" w:hAnsi="Times New Roman" w:eastAsia="宋体" w:cs="Times New Roman"/>
      <w:sz w:val="18"/>
      <w:szCs w:val="18"/>
    </w:rPr>
  </w:style>
  <w:style w:type="character" w:customStyle="1" w:styleId="16">
    <w:name w:val="脚注文本 Char"/>
    <w:basedOn w:val="11"/>
    <w:link w:val="7"/>
    <w:semiHidden/>
    <w:qFormat/>
    <w:locked/>
    <w:uiPriority w:val="99"/>
    <w:rPr>
      <w:rFonts w:ascii="Calibri" w:hAnsi="Calibri" w:eastAsia="宋体" w:cs="Times New Roman"/>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Normal]"/>
    <w:qFormat/>
    <w:uiPriority w:val="6"/>
    <w:rPr>
      <w:rFonts w:ascii="宋体" w:hAnsi="宋体" w:eastAsia="宋体" w:cstheme="minorBidi"/>
      <w:color w:val="auto"/>
      <w:position w:val="0"/>
      <w:sz w:val="24"/>
      <w:u w:val="none"/>
      <w:shd w:val="clear" w:color="auto" w:fill="auto"/>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13018</Words>
  <Characters>13936</Characters>
  <Lines>76</Lines>
  <Paragraphs>21</Paragraphs>
  <TotalTime>2</TotalTime>
  <ScaleCrop>false</ScaleCrop>
  <LinksUpToDate>false</LinksUpToDate>
  <CharactersWithSpaces>14092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2024-05-24T08:42:19Z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7137775A1C7149A8AABF5E9EBF5DE3AF</vt:lpwstr>
  </property>
</Properties>
</file>