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sz w:val="44"/>
          <w:szCs w:val="44"/>
        </w:rPr>
      </w:pPr>
      <w:r>
        <w:rPr>
          <w:rFonts w:hint="eastAsia" w:ascii="方正小标宋_GBK" w:hAnsi="Times New Roman" w:eastAsia="方正小标宋_GBK" w:cs="方正小标宋_GBK"/>
          <w:sz w:val="44"/>
          <w:szCs w:val="44"/>
        </w:rPr>
        <w:t>馆陶县市场监督管理局</w:t>
      </w:r>
    </w:p>
    <w:p>
      <w:pPr>
        <w:adjustRightInd w:val="0"/>
        <w:snapToGrid w:val="0"/>
        <w:jc w:val="center"/>
        <w:rPr>
          <w:rFonts w:ascii="方正小标宋_GBK" w:hAnsi="Times New Roman" w:eastAsia="方正小标宋_GBK" w:cs="Times New Roman"/>
          <w:sz w:val="44"/>
          <w:szCs w:val="44"/>
        </w:rPr>
      </w:pPr>
      <w:r>
        <w:rPr>
          <w:rFonts w:ascii="方正小标宋_GBK" w:hAnsi="Times New Roman" w:eastAsia="方正小标宋_GBK" w:cs="方正小标宋_GBK"/>
          <w:sz w:val="44"/>
          <w:szCs w:val="44"/>
        </w:rPr>
        <w:t>202</w:t>
      </w:r>
      <w:r>
        <w:rPr>
          <w:rFonts w:hint="eastAsia" w:ascii="方正小标宋_GBK" w:hAnsi="Times New Roman" w:eastAsia="方正小标宋_GBK" w:cs="方正小标宋_GBK"/>
          <w:sz w:val="44"/>
          <w:szCs w:val="44"/>
          <w:lang w:val="en-US" w:eastAsia="zh-CN"/>
        </w:rPr>
        <w:t>1</w:t>
      </w:r>
      <w:r>
        <w:rPr>
          <w:rFonts w:hint="eastAsia" w:ascii="方正小标宋_GBK" w:hAnsi="Times New Roman" w:eastAsia="方正小标宋_GBK" w:cs="方正小标宋_GBK"/>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w:t>
      </w:r>
      <w:r>
        <w:rPr>
          <w:rFonts w:hint="eastAsia" w:ascii="Times New Roman" w:hAnsi="Times New Roman" w:eastAsia="仿宋" w:cs="仿宋"/>
          <w:sz w:val="32"/>
          <w:szCs w:val="32"/>
          <w:lang w:eastAsia="zh-CN"/>
        </w:rPr>
        <w:t>中华人民共和国</w:t>
      </w:r>
      <w:bookmarkStart w:id="9" w:name="_GoBack"/>
      <w:bookmarkEnd w:id="9"/>
      <w:r>
        <w:rPr>
          <w:rFonts w:hint="eastAsia" w:ascii="Times New Roman" w:hAnsi="Times New Roman" w:eastAsia="仿宋" w:cs="仿宋"/>
          <w:sz w:val="32"/>
          <w:szCs w:val="32"/>
        </w:rPr>
        <w:t>预算法》、《地方预决算公开操作规程》和《河北省省级预算公开办法》规定，现将馆陶县市场监督管理局</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馆陶县市场监督管理局（简称县市场监督管理局）为县政府工作部门，</w:t>
      </w:r>
      <w:r>
        <w:rPr>
          <w:rFonts w:hint="eastAsia" w:ascii="Times New Roman" w:hAnsi="Times New Roman" w:eastAsia="仿宋" w:cs="仿宋"/>
          <w:sz w:val="32"/>
          <w:szCs w:val="32"/>
        </w:rPr>
        <w:t>行使下列职权：</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（一）负责全县市场综合监督管理。组织实施质量强县战略、食品药品安全战略、标准化战略、知识产权战略，规范和维护市场秩序，营造诚实守信、公平竞争的市场环境。</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（二）负责组织和指导全县市场监管综合执法工作。指导全县市场监管综合执法队伍整合和建设，推动实行统一的市场监管。组织查处重大违法案件。规范市场监管行政执法行为。</w:t>
      </w:r>
    </w:p>
    <w:p>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w:t>
      </w:r>
      <w:r>
        <w:rPr>
          <w:rFonts w:hint="eastAsia" w:ascii="仿宋" w:hAnsi="仿宋" w:eastAsia="仿宋" w:cs="仿宋"/>
          <w:color w:val="000000"/>
          <w:sz w:val="32"/>
          <w:szCs w:val="32"/>
        </w:rPr>
        <w:t>指导</w:t>
      </w:r>
      <w:r>
        <w:rPr>
          <w:rFonts w:hint="eastAsia" w:ascii="仿宋" w:hAnsi="仿宋" w:eastAsia="仿宋" w:cs="仿宋"/>
          <w:sz w:val="32"/>
          <w:szCs w:val="32"/>
        </w:rPr>
        <w:t>查处无照生产经营和相关无证生产经营行为；负责维护消费者权益；</w:t>
      </w:r>
      <w:r>
        <w:rPr>
          <w:rFonts w:hint="eastAsia" w:ascii="仿宋" w:hAnsi="仿宋" w:eastAsia="仿宋" w:cs="仿宋"/>
          <w:color w:val="000000"/>
          <w:sz w:val="32"/>
          <w:szCs w:val="32"/>
        </w:rPr>
        <w:t>指导县消费者协会开展消费维权工作。</w:t>
      </w:r>
      <w:r>
        <w:rPr>
          <w:rFonts w:hint="eastAsia" w:ascii="仿宋" w:hAnsi="仿宋" w:eastAsia="仿宋" w:cs="仿宋"/>
          <w:sz w:val="32"/>
          <w:szCs w:val="32"/>
        </w:rPr>
        <w:t>根据上级授权，负责对经营者集中行为进行反垄断审查，负责垄断协议、滥用市场支配地位和滥用行政权力排除、限制竞争等反垄断执法工作。</w:t>
      </w:r>
      <w:r>
        <w:rPr>
          <w:rFonts w:hint="eastAsia" w:ascii="仿宋" w:hAnsi="仿宋" w:eastAsia="仿宋" w:cs="仿宋"/>
          <w:color w:val="000000"/>
          <w:sz w:val="32"/>
          <w:szCs w:val="32"/>
        </w:rPr>
        <w:t>指导企业在国外的反垄断应诉工作。</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（五）负责全县产品质量安全监督管理。承担县级产品质量监督抽查工作。组织实施质量分级制度、质量安全追溯制度。实施工业产品生产许可管理。</w:t>
      </w:r>
      <w:r>
        <w:rPr>
          <w:rFonts w:hint="eastAsia" w:ascii="仿宋" w:hAnsi="仿宋" w:eastAsia="仿宋" w:cs="仿宋"/>
          <w:color w:val="000000"/>
          <w:sz w:val="32"/>
          <w:szCs w:val="32"/>
        </w:rPr>
        <w:t>负责纤维质量监督管理工作。</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（六）负责全县特种设备安全监督管理。综合管理特种设备安全监察、监督工作，监督检查高耗能特种设备节能标准和锅炉环境保护标准的执行情况。</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馆陶县食品安全委员会日常工作。</w:t>
      </w:r>
    </w:p>
    <w:p>
      <w:pPr>
        <w:spacing w:line="600" w:lineRule="exact"/>
        <w:ind w:firstLine="640" w:firstLineChars="200"/>
        <w:rPr>
          <w:rFonts w:ascii="仿宋" w:hAnsi="仿宋" w:eastAsia="仿宋" w:cs="Times New Roman"/>
          <w:color w:val="FF0000"/>
          <w:sz w:val="32"/>
          <w:szCs w:val="32"/>
        </w:rPr>
      </w:pPr>
      <w:r>
        <w:rPr>
          <w:rFonts w:hint="eastAsia" w:ascii="仿宋" w:hAnsi="仿宋" w:eastAsia="仿宋" w:cs="仿宋"/>
          <w:sz w:val="32"/>
          <w:szCs w:val="32"/>
        </w:rP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r>
        <w:rPr>
          <w:rFonts w:hint="eastAsia" w:ascii="仿宋" w:hAnsi="仿宋" w:eastAsia="仿宋" w:cs="仿宋"/>
          <w:color w:val="000000"/>
          <w:sz w:val="32"/>
          <w:szCs w:val="32"/>
        </w:rPr>
        <w:t>负责食盐质量安全监督管理。</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（九）负责统一管理全县计量工作。推行法定计量单位和国家计量制度，管理计量器具及量值传递和比对工作。规范、监督商品量和市场计量行为。</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（十）负责统一管理全县标准化工作。宣传贯彻强制性、推荐性国家标准和行业标准、地方标准。</w:t>
      </w:r>
      <w:r>
        <w:rPr>
          <w:rFonts w:hint="eastAsia" w:ascii="仿宋" w:hAnsi="仿宋" w:eastAsia="仿宋" w:cs="仿宋"/>
          <w:color w:val="000000"/>
          <w:sz w:val="32"/>
          <w:szCs w:val="32"/>
        </w:rPr>
        <w:t>组织开展标准化国际、区域合作和参与制定、</w:t>
      </w:r>
      <w:r>
        <w:rPr>
          <w:rFonts w:hint="eastAsia" w:ascii="仿宋" w:hAnsi="仿宋" w:eastAsia="仿宋" w:cs="仿宋"/>
          <w:sz w:val="32"/>
          <w:szCs w:val="32"/>
        </w:rPr>
        <w:t>采用国际标准工作。</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
          <w:sz w:val="32"/>
          <w:szCs w:val="32"/>
        </w:rPr>
        <w:t>（十一）</w:t>
      </w:r>
      <w:r>
        <w:rPr>
          <w:rFonts w:hint="eastAsia" w:ascii="仿宋" w:hAnsi="仿宋" w:eastAsia="仿宋" w:cs="仿宋"/>
          <w:color w:val="000000"/>
          <w:sz w:val="32"/>
          <w:szCs w:val="32"/>
        </w:rPr>
        <w:t>负责统一管理全县检验检测工作。推进检验检测机构整合和改革，规范检验检测市场，完善检验检测体系，指导协调检验检测行业发展。</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（十二）负责统一管理、监督和协调全县认证认可工作。组织贯彻实施国家、省、市统一的认证认可和合格评定监督管理制度。</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（十三）负责推进全县知识产权管理工作。加强知识产权强县建设。实施强化知识产权创造、保护和运用。</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四）负责保护知识产权。按照国家知识产权保护体系建设方案，推动建设知识产权保护体系。负责指导商标、专利执法工作，负责知识产权争议处理、维权援助和纠纷调处，协调京津冀知识产权执法协作工作。</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（十五）负责促进知识产权运用。规范知识产权</w:t>
      </w:r>
      <w:r>
        <w:rPr>
          <w:rFonts w:hint="eastAsia" w:ascii="仿宋" w:hAnsi="仿宋" w:eastAsia="仿宋" w:cs="仿宋"/>
          <w:color w:val="000000"/>
          <w:sz w:val="32"/>
          <w:szCs w:val="32"/>
        </w:rPr>
        <w:t>交易和</w:t>
      </w:r>
      <w:r>
        <w:rPr>
          <w:rFonts w:hint="eastAsia" w:ascii="仿宋" w:hAnsi="仿宋" w:eastAsia="仿宋" w:cs="仿宋"/>
          <w:sz w:val="32"/>
          <w:szCs w:val="32"/>
        </w:rPr>
        <w:t>运用，促进知识产权转移转化。规范知识产权无形资产评估工作。制定实施知识产权中介服务发展与监管的措施。</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（十六）负责建立知识产权公共服务体系。建设便企利民、互联互通的全县知识产权信息公共服务平台，推动商标、专利等知识产权信息的传播利用。指导全县专利信息服务工作。</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（十七）负责药品</w:t>
      </w:r>
      <w:r>
        <w:rPr>
          <w:rFonts w:hint="eastAsia" w:ascii="仿宋" w:hAnsi="仿宋" w:eastAsia="仿宋" w:cs="仿宋"/>
          <w:color w:val="000000"/>
          <w:sz w:val="32"/>
          <w:szCs w:val="32"/>
        </w:rPr>
        <w:t>（含中药、民族药，下同）</w:t>
      </w:r>
      <w:r>
        <w:rPr>
          <w:rFonts w:hint="eastAsia" w:ascii="仿宋" w:hAnsi="仿宋" w:eastAsia="仿宋" w:cs="仿宋"/>
          <w:sz w:val="32"/>
          <w:szCs w:val="32"/>
        </w:rPr>
        <w:t>、医疗器械和化妆品安全监督管理。贯彻执行</w:t>
      </w:r>
      <w:r>
        <w:rPr>
          <w:rFonts w:hint="eastAsia" w:ascii="仿宋" w:hAnsi="仿宋" w:eastAsia="仿宋" w:cs="仿宋"/>
          <w:color w:val="000000"/>
          <w:sz w:val="32"/>
          <w:szCs w:val="32"/>
        </w:rPr>
        <w:t>国家、省</w:t>
      </w:r>
      <w:r>
        <w:rPr>
          <w:rFonts w:hint="eastAsia" w:ascii="仿宋" w:hAnsi="仿宋" w:eastAsia="仿宋" w:cs="仿宋"/>
          <w:sz w:val="32"/>
          <w:szCs w:val="32"/>
        </w:rPr>
        <w:t>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负责监督实施国家药品、医疗器械、化妆品</w:t>
      </w:r>
      <w:r>
        <w:rPr>
          <w:rFonts w:hint="eastAsia" w:ascii="仿宋" w:hAnsi="仿宋" w:eastAsia="仿宋" w:cs="仿宋"/>
          <w:color w:val="000000"/>
          <w:sz w:val="32"/>
          <w:szCs w:val="32"/>
        </w:rPr>
        <w:t>和中药材地方标准，组织落实分类管理制度。</w:t>
      </w:r>
      <w:r>
        <w:rPr>
          <w:rFonts w:hint="eastAsia" w:ascii="仿宋" w:hAnsi="仿宋" w:eastAsia="仿宋" w:cs="仿宋"/>
          <w:sz w:val="32"/>
          <w:szCs w:val="32"/>
        </w:rPr>
        <w:t>配合实施国家基本药物制度。依职责监督实施经营、使用质量管理规范。依法实施中药品种保护制度。</w:t>
      </w:r>
    </w:p>
    <w:p>
      <w:pPr>
        <w:numPr>
          <w:ilvl w:val="0"/>
          <w:numId w:val="1"/>
        </w:num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pPr>
        <w:numPr>
          <w:ilvl w:val="0"/>
          <w:numId w:val="1"/>
        </w:num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加强全县药品、医疗器械、化妆品监督管理工作。推动落实药品、医疗器械和化妆品安全企业主体责任，监督乡镇履行党政同责，组织实施药品、医疗器械</w:t>
      </w:r>
      <w:r>
        <w:rPr>
          <w:rFonts w:hint="eastAsia" w:ascii="仿宋" w:hAnsi="仿宋" w:eastAsia="仿宋" w:cs="仿宋"/>
          <w:color w:val="000000"/>
          <w:sz w:val="32"/>
          <w:szCs w:val="32"/>
        </w:rPr>
        <w:t>和</w:t>
      </w:r>
      <w:r>
        <w:rPr>
          <w:rFonts w:hint="eastAsia" w:ascii="仿宋" w:hAnsi="仿宋" w:eastAsia="仿宋" w:cs="仿宋"/>
          <w:sz w:val="32"/>
          <w:szCs w:val="32"/>
        </w:rPr>
        <w:t>化妆品安全考核。</w:t>
      </w:r>
    </w:p>
    <w:p>
      <w:pPr>
        <w:spacing w:line="600" w:lineRule="exact"/>
        <w:ind w:firstLine="640" w:firstLineChars="200"/>
        <w:rPr>
          <w:rFonts w:ascii="仿宋" w:hAnsi="仿宋" w:eastAsia="仿宋" w:cs="Times New Roman"/>
          <w:color w:val="000000"/>
          <w:sz w:val="32"/>
          <w:szCs w:val="32"/>
        </w:rPr>
      </w:pPr>
      <w:r>
        <w:rPr>
          <w:rFonts w:hint="eastAsia" w:ascii="仿宋" w:hAnsi="仿宋" w:eastAsia="仿宋" w:cs="仿宋"/>
          <w:sz w:val="32"/>
          <w:szCs w:val="32"/>
        </w:rPr>
        <w:t>（二十）负责全县市场监督管理科技和信息化建设、新闻宣传、</w:t>
      </w:r>
      <w:r>
        <w:rPr>
          <w:rFonts w:hint="eastAsia" w:ascii="仿宋" w:hAnsi="仿宋" w:eastAsia="仿宋" w:cs="仿宋"/>
          <w:color w:val="000000"/>
          <w:sz w:val="32"/>
          <w:szCs w:val="32"/>
        </w:rPr>
        <w:t>对外交流与合作</w:t>
      </w:r>
      <w:r>
        <w:rPr>
          <w:rFonts w:hint="eastAsia" w:ascii="仿宋" w:hAnsi="仿宋" w:eastAsia="仿宋" w:cs="仿宋"/>
          <w:sz w:val="32"/>
          <w:szCs w:val="32"/>
        </w:rPr>
        <w:t>。推动药品</w:t>
      </w:r>
      <w:r>
        <w:rPr>
          <w:rFonts w:hint="eastAsia" w:ascii="仿宋" w:hAnsi="仿宋" w:eastAsia="仿宋" w:cs="仿宋"/>
          <w:color w:val="000000"/>
          <w:sz w:val="32"/>
          <w:szCs w:val="32"/>
        </w:rPr>
        <w:t>检验检测体系、</w:t>
      </w:r>
      <w:r>
        <w:rPr>
          <w:rFonts w:hint="eastAsia" w:ascii="仿宋" w:hAnsi="仿宋" w:eastAsia="仿宋" w:cs="仿宋"/>
          <w:sz w:val="32"/>
          <w:szCs w:val="32"/>
        </w:rPr>
        <w:t>电子监管追溯体系建设。完善全县药品、医疗器械和化妆品安全信息统一公布制度和重大信息直报制度，公布重大安全信息。</w:t>
      </w:r>
      <w:r>
        <w:rPr>
          <w:rFonts w:hint="eastAsia" w:ascii="仿宋" w:hAnsi="仿宋" w:eastAsia="仿宋" w:cs="仿宋"/>
          <w:color w:val="000000"/>
          <w:sz w:val="32"/>
          <w:szCs w:val="32"/>
        </w:rPr>
        <w:t>按规定承担技术性贸易措施有关工作。负责统筹协调涉外知识产权事宜，承担知识产权对外转让审查工作。</w:t>
      </w:r>
    </w:p>
    <w:p>
      <w:pPr>
        <w:spacing w:line="600" w:lineRule="exact"/>
        <w:ind w:firstLine="640" w:firstLineChars="200"/>
        <w:rPr>
          <w:rFonts w:ascii="楷体" w:hAnsi="楷体" w:eastAsia="楷体" w:cs="Times New Roman"/>
          <w:sz w:val="32"/>
          <w:szCs w:val="32"/>
        </w:rPr>
      </w:pPr>
      <w:r>
        <w:rPr>
          <w:rFonts w:hint="eastAsia" w:ascii="仿宋" w:hAnsi="仿宋" w:eastAsia="仿宋" w:cs="仿宋"/>
          <w:sz w:val="32"/>
          <w:szCs w:val="32"/>
        </w:rPr>
        <w:t>（二十一）完成县委、县政府交办的其他任务。</w:t>
      </w:r>
    </w:p>
    <w:p>
      <w:pPr>
        <w:rPr>
          <w:rFonts w:ascii="仿宋" w:hAnsi="仿宋" w:eastAsia="仿宋" w:cs="Times New Roman"/>
          <w:sz w:val="32"/>
          <w:szCs w:val="32"/>
        </w:rPr>
      </w:pP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tblHeader/>
          <w:jc w:val="cent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4417" w:type="dxa"/>
            <w:vAlign w:val="center"/>
          </w:tcPr>
          <w:p>
            <w:pPr>
              <w:spacing w:line="300" w:lineRule="exact"/>
              <w:jc w:val="left"/>
              <w:rPr>
                <w:rFonts w:ascii="Times New Roman" w:hAnsi="Times New Roman" w:eastAsia="方正书宋_GBK" w:cs="Times New Roman"/>
              </w:rPr>
            </w:pPr>
            <w:r>
              <w:rPr>
                <w:rFonts w:hint="eastAsia" w:ascii="方正书宋_GBK" w:eastAsia="方正书宋_GBK" w:cs="方正书宋_GBK"/>
              </w:rPr>
              <w:t>馆陶县市场监督管理局</w:t>
            </w:r>
          </w:p>
        </w:tc>
        <w:tc>
          <w:tcPr>
            <w:tcW w:w="1134"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正科级</w:t>
            </w:r>
          </w:p>
        </w:tc>
        <w:tc>
          <w:tcPr>
            <w:tcW w:w="2902"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财政拨款</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按照预算管理有关规定，目前我部门预算的编制实行综合预算管理，即全部收入和支出都反映的预算中。馆陶县市场监督管理局的收支包含在部门预算中。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623.85</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623.85</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仿宋"/>
          <w:sz w:val="32"/>
          <w:szCs w:val="32"/>
        </w:rPr>
        <w:t>收支预算总表支出栏、基本支出表、项目支出表按经济分类和支出功能分类科目编制，反映馆陶县市场监督管理局年度部门预算中支出预算的总体情况。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623.85</w:t>
      </w:r>
      <w:r>
        <w:rPr>
          <w:rFonts w:hint="eastAsia" w:ascii="Times New Roman" w:hAnsi="Times New Roman" w:eastAsia="仿宋" w:cs="仿宋"/>
          <w:sz w:val="32"/>
          <w:szCs w:val="32"/>
        </w:rPr>
        <w:t>万元，其中基本支出</w:t>
      </w:r>
      <w:r>
        <w:rPr>
          <w:rFonts w:hint="eastAsia" w:ascii="Times New Roman" w:hAnsi="Times New Roman" w:eastAsia="仿宋" w:cs="仿宋"/>
          <w:sz w:val="32"/>
          <w:szCs w:val="32"/>
          <w:lang w:val="en-US" w:eastAsia="zh-CN"/>
        </w:rPr>
        <w:t>2138.85</w:t>
      </w:r>
      <w:r>
        <w:rPr>
          <w:rFonts w:hint="eastAsia" w:ascii="Times New Roman" w:hAnsi="Times New Roman" w:eastAsia="仿宋" w:cs="仿宋"/>
          <w:sz w:val="32"/>
          <w:szCs w:val="32"/>
        </w:rPr>
        <w:t>万元，包括人员经费</w:t>
      </w:r>
      <w:r>
        <w:rPr>
          <w:rFonts w:hint="eastAsia" w:ascii="Times New Roman" w:hAnsi="Times New Roman" w:eastAsia="仿宋" w:cs="仿宋"/>
          <w:sz w:val="32"/>
          <w:szCs w:val="32"/>
          <w:lang w:val="en-US" w:eastAsia="zh-CN"/>
        </w:rPr>
        <w:t>1898.85</w:t>
      </w:r>
      <w:r>
        <w:rPr>
          <w:rFonts w:hint="eastAsia" w:ascii="Times New Roman" w:hAnsi="Times New Roman" w:eastAsia="仿宋" w:cs="仿宋"/>
          <w:sz w:val="32"/>
          <w:szCs w:val="32"/>
        </w:rPr>
        <w:t>万元和日常公用经费</w:t>
      </w:r>
      <w:r>
        <w:rPr>
          <w:rFonts w:hint="eastAsia" w:ascii="Times New Roman" w:hAnsi="Times New Roman" w:eastAsia="仿宋" w:cs="仿宋"/>
          <w:sz w:val="32"/>
          <w:szCs w:val="32"/>
          <w:lang w:val="en-US" w:eastAsia="zh-CN"/>
        </w:rPr>
        <w:t>240</w:t>
      </w:r>
      <w:r>
        <w:rPr>
          <w:rFonts w:hint="eastAsia" w:ascii="Times New Roman" w:hAnsi="Times New Roman" w:eastAsia="仿宋" w:cs="仿宋"/>
          <w:sz w:val="32"/>
          <w:szCs w:val="32"/>
        </w:rPr>
        <w:t>万元；项目支出</w:t>
      </w:r>
      <w:r>
        <w:rPr>
          <w:rFonts w:hint="eastAsia" w:ascii="Times New Roman" w:hAnsi="Times New Roman" w:eastAsia="仿宋" w:cs="仿宋"/>
          <w:sz w:val="32"/>
          <w:szCs w:val="32"/>
          <w:lang w:val="en-US" w:eastAsia="zh-CN"/>
        </w:rPr>
        <w:t>396</w:t>
      </w:r>
      <w:r>
        <w:rPr>
          <w:rFonts w:hint="eastAsia" w:ascii="Times New Roman" w:hAnsi="Times New Roman" w:eastAsia="仿宋" w:cs="仿宋"/>
          <w:sz w:val="32"/>
          <w:szCs w:val="32"/>
        </w:rPr>
        <w:t>万元，主要为食品药品、成品油、煤炭检测资金</w:t>
      </w:r>
      <w:r>
        <w:rPr>
          <w:rFonts w:ascii="Times New Roman" w:hAnsi="Times New Roman" w:eastAsia="仿宋" w:cs="Times New Roman"/>
          <w:sz w:val="32"/>
          <w:szCs w:val="32"/>
        </w:rPr>
        <w:t>60</w:t>
      </w:r>
      <w:r>
        <w:rPr>
          <w:rFonts w:hint="eastAsia" w:ascii="Times New Roman" w:hAnsi="Times New Roman" w:eastAsia="仿宋" w:cs="仿宋"/>
          <w:sz w:val="32"/>
          <w:szCs w:val="32"/>
        </w:rPr>
        <w:t>万元；零成本注册经费项目资金</w:t>
      </w:r>
      <w:r>
        <w:rPr>
          <w:rFonts w:ascii="Times New Roman" w:hAnsi="Times New Roman" w:eastAsia="仿宋" w:cs="Times New Roman"/>
          <w:sz w:val="32"/>
          <w:szCs w:val="32"/>
        </w:rPr>
        <w:t>5</w:t>
      </w:r>
      <w:r>
        <w:rPr>
          <w:rFonts w:hint="eastAsia" w:ascii="Times New Roman" w:hAnsi="Times New Roman" w:eastAsia="仿宋" w:cs="仿宋"/>
          <w:sz w:val="32"/>
          <w:szCs w:val="32"/>
        </w:rPr>
        <w:t>万元；商标注册资金</w:t>
      </w:r>
      <w:r>
        <w:rPr>
          <w:rFonts w:ascii="Times New Roman" w:hAnsi="Times New Roman" w:eastAsia="仿宋" w:cs="Times New Roman"/>
          <w:sz w:val="32"/>
          <w:szCs w:val="32"/>
        </w:rPr>
        <w:t>20</w:t>
      </w:r>
      <w:r>
        <w:rPr>
          <w:rFonts w:hint="eastAsia" w:ascii="Times New Roman" w:hAnsi="Times New Roman" w:eastAsia="仿宋" w:cs="仿宋"/>
          <w:sz w:val="32"/>
          <w:szCs w:val="32"/>
        </w:rPr>
        <w:t>万元；计量检测资金</w:t>
      </w:r>
      <w:r>
        <w:rPr>
          <w:rFonts w:ascii="Times New Roman" w:hAnsi="Times New Roman" w:eastAsia="仿宋" w:cs="Times New Roman"/>
          <w:sz w:val="32"/>
          <w:szCs w:val="32"/>
        </w:rPr>
        <w:t>40</w:t>
      </w:r>
      <w:r>
        <w:rPr>
          <w:rFonts w:hint="eastAsia" w:ascii="Times New Roman" w:hAnsi="Times New Roman" w:eastAsia="仿宋" w:cs="仿宋"/>
          <w:sz w:val="32"/>
          <w:szCs w:val="32"/>
        </w:rPr>
        <w:t>万元；轴承产品质量监督抽查资金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万元；轴承中心运行资金</w:t>
      </w:r>
      <w:r>
        <w:rPr>
          <w:rFonts w:ascii="Times New Roman" w:hAnsi="Times New Roman" w:eastAsia="仿宋" w:cs="Times New Roman"/>
          <w:sz w:val="32"/>
          <w:szCs w:val="32"/>
        </w:rPr>
        <w:t>20</w:t>
      </w:r>
      <w:r>
        <w:rPr>
          <w:rFonts w:hint="eastAsia" w:ascii="Times New Roman" w:hAnsi="Times New Roman" w:eastAsia="仿宋" w:cs="仿宋"/>
          <w:sz w:val="32"/>
          <w:szCs w:val="32"/>
        </w:rPr>
        <w:t>万元；市场监督信息化建设资金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万元；市场监督举报奖励资金</w:t>
      </w:r>
      <w:r>
        <w:rPr>
          <w:rFonts w:ascii="Times New Roman" w:hAnsi="Times New Roman" w:eastAsia="仿宋" w:cs="Times New Roman"/>
          <w:sz w:val="32"/>
          <w:szCs w:val="32"/>
        </w:rPr>
        <w:t>10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市场监督执法车辆购置资金</w:t>
      </w:r>
      <w:r>
        <w:rPr>
          <w:rFonts w:hint="eastAsia" w:ascii="Times New Roman" w:hAnsi="Times New Roman" w:eastAsia="仿宋" w:cs="仿宋"/>
          <w:sz w:val="32"/>
          <w:szCs w:val="32"/>
          <w:lang w:val="en-US" w:eastAsia="zh-CN"/>
        </w:rPr>
        <w:t>120万元；基层分所修缮项目资金80万元；</w:t>
      </w:r>
      <w:r>
        <w:rPr>
          <w:rFonts w:hint="eastAsia" w:ascii="Times New Roman" w:hAnsi="Times New Roman" w:eastAsia="仿宋" w:cs="仿宋"/>
          <w:sz w:val="32"/>
          <w:szCs w:val="32"/>
        </w:rPr>
        <w:t>冀财行</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2020</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162</w:t>
      </w:r>
      <w:r>
        <w:rPr>
          <w:rFonts w:hint="eastAsia" w:ascii="Times New Roman" w:hAnsi="Times New Roman" w:eastAsia="仿宋" w:cs="仿宋"/>
          <w:sz w:val="32"/>
          <w:szCs w:val="32"/>
        </w:rPr>
        <w:t>号关于提前下达</w:t>
      </w:r>
      <w:r>
        <w:rPr>
          <w:rFonts w:ascii="Times New Roman" w:hAnsi="Times New Roman" w:eastAsia="仿宋" w:cs="Times New Roman"/>
          <w:sz w:val="32"/>
          <w:szCs w:val="32"/>
        </w:rPr>
        <w:t>2020</w:t>
      </w:r>
      <w:r>
        <w:rPr>
          <w:rFonts w:hint="eastAsia" w:ascii="Times New Roman" w:hAnsi="Times New Roman" w:eastAsia="仿宋" w:cs="仿宋"/>
          <w:sz w:val="32"/>
          <w:szCs w:val="32"/>
        </w:rPr>
        <w:t>年市场监管专项补助</w:t>
      </w:r>
      <w:r>
        <w:rPr>
          <w:rFonts w:hint="eastAsia" w:ascii="Times New Roman" w:hAnsi="Times New Roman" w:eastAsia="仿宋" w:cs="仿宋"/>
          <w:sz w:val="32"/>
          <w:szCs w:val="32"/>
          <w:lang w:eastAsia="zh-CN"/>
        </w:rPr>
        <w:t>经费</w:t>
      </w:r>
      <w:r>
        <w:rPr>
          <w:rFonts w:hint="eastAsia" w:ascii="Times New Roman" w:hAnsi="Times New Roman" w:eastAsia="仿宋" w:cs="仿宋"/>
          <w:sz w:val="32"/>
          <w:szCs w:val="32"/>
          <w:lang w:val="en-US" w:eastAsia="zh-CN"/>
        </w:rPr>
        <w:t>21万元。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仿宋"/>
          <w:sz w:val="32"/>
          <w:szCs w:val="32"/>
        </w:rPr>
        <w:t>、比上年增减情况</w:t>
      </w:r>
    </w:p>
    <w:p>
      <w:pPr>
        <w:ind w:firstLine="640"/>
        <w:rPr>
          <w:rFonts w:hint="eastAsia" w:ascii="Times New Roman" w:hAnsi="Times New Roman" w:eastAsia="仿宋" w:cs="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仿宋"/>
          <w:color w:val="000000"/>
          <w:sz w:val="32"/>
          <w:szCs w:val="32"/>
          <w:lang w:val="en-US" w:eastAsia="zh-CN"/>
        </w:rPr>
        <w:t>2623.85</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020</w:t>
      </w:r>
      <w:r>
        <w:rPr>
          <w:rFonts w:hint="eastAsia" w:ascii="Times New Roman" w:hAnsi="Times New Roman" w:eastAsia="仿宋" w:cs="仿宋"/>
          <w:sz w:val="32"/>
          <w:szCs w:val="32"/>
        </w:rPr>
        <w:t>年增加</w:t>
      </w:r>
      <w:r>
        <w:rPr>
          <w:rFonts w:hint="eastAsia" w:ascii="Times New Roman" w:hAnsi="Times New Roman" w:eastAsia="仿宋" w:cs="仿宋"/>
          <w:sz w:val="32"/>
          <w:szCs w:val="32"/>
          <w:lang w:val="en-US" w:eastAsia="zh-CN"/>
        </w:rPr>
        <w:t>456.15</w:t>
      </w:r>
      <w:r>
        <w:rPr>
          <w:rFonts w:hint="eastAsia" w:ascii="Times New Roman" w:hAnsi="Times New Roman" w:eastAsia="仿宋" w:cs="仿宋"/>
          <w:sz w:val="32"/>
          <w:szCs w:val="32"/>
        </w:rPr>
        <w:t>万元，其中：基本支出增加</w:t>
      </w:r>
      <w:r>
        <w:rPr>
          <w:rFonts w:hint="eastAsia" w:ascii="Times New Roman" w:hAnsi="Times New Roman" w:eastAsia="仿宋" w:cs="仿宋"/>
          <w:sz w:val="32"/>
          <w:szCs w:val="32"/>
          <w:lang w:val="en-US" w:eastAsia="zh-CN"/>
        </w:rPr>
        <w:t>203.15</w:t>
      </w:r>
      <w:r>
        <w:rPr>
          <w:rFonts w:hint="eastAsia" w:ascii="Times New Roman" w:hAnsi="Times New Roman" w:eastAsia="仿宋" w:cs="仿宋"/>
          <w:sz w:val="32"/>
          <w:szCs w:val="32"/>
        </w:rPr>
        <w:t>万元，主要单位机构合并，人员增加，相应增加人员经费和日常公用经费；项目支出增加</w:t>
      </w:r>
      <w:r>
        <w:rPr>
          <w:rFonts w:hint="eastAsia" w:ascii="Times New Roman" w:hAnsi="Times New Roman" w:eastAsia="仿宋" w:cs="仿宋"/>
          <w:sz w:val="32"/>
          <w:szCs w:val="32"/>
          <w:lang w:val="en-US" w:eastAsia="zh-CN"/>
        </w:rPr>
        <w:t>164</w:t>
      </w:r>
      <w:r>
        <w:rPr>
          <w:rFonts w:hint="eastAsia" w:ascii="Times New Roman" w:hAnsi="Times New Roman" w:eastAsia="仿宋" w:cs="仿宋"/>
          <w:sz w:val="32"/>
          <w:szCs w:val="32"/>
        </w:rPr>
        <w:t>万元，主要是增加</w:t>
      </w:r>
      <w:r>
        <w:rPr>
          <w:rFonts w:hint="eastAsia" w:ascii="Times New Roman" w:hAnsi="Times New Roman" w:eastAsia="仿宋" w:cs="仿宋"/>
          <w:sz w:val="32"/>
          <w:szCs w:val="32"/>
          <w:lang w:eastAsia="zh-CN"/>
        </w:rPr>
        <w:t>市场监督执法车辆购置资金；</w:t>
      </w:r>
      <w:r>
        <w:rPr>
          <w:rFonts w:hint="eastAsia" w:ascii="Times New Roman" w:hAnsi="Times New Roman" w:eastAsia="仿宋" w:cs="仿宋"/>
          <w:sz w:val="32"/>
          <w:szCs w:val="32"/>
          <w:lang w:val="en-US" w:eastAsia="zh-CN"/>
        </w:rPr>
        <w:t>基层分所修缮项目资金。</w:t>
      </w:r>
    </w:p>
    <w:p>
      <w:pPr>
        <w:ind w:firstLine="640"/>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仿宋"/>
          <w:sz w:val="32"/>
          <w:szCs w:val="32"/>
          <w:lang w:val="en-US" w:eastAsia="zh-CN"/>
        </w:rPr>
        <w:t>240</w:t>
      </w:r>
      <w:r>
        <w:rPr>
          <w:rFonts w:hint="eastAsia" w:ascii="Times New Roman" w:hAnsi="Times New Roman" w:eastAsia="仿宋" w:cs="仿宋"/>
          <w:sz w:val="32"/>
          <w:szCs w:val="32"/>
        </w:rPr>
        <w:t>万元，主要用于保证机关正常运转的办公及印刷费、邮电费、差旅费、会议费、福利费、专用材料及一般设备购置费、办公用房水电费、日常维修费、公务车运行维护费等支出。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lang w:val="en-US"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仿宋"/>
          <w:sz w:val="32"/>
          <w:szCs w:val="32"/>
          <w:lang w:val="en-US" w:eastAsia="zh-CN"/>
        </w:rPr>
        <w:t>25.2</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仿宋"/>
          <w:sz w:val="32"/>
          <w:szCs w:val="32"/>
          <w:lang w:val="en-US" w:eastAsia="zh-CN"/>
        </w:rPr>
        <w:t>25.2</w:t>
      </w:r>
      <w:r>
        <w:rPr>
          <w:rFonts w:hint="eastAsia" w:ascii="Times New Roman" w:hAnsi="Times New Roman" w:eastAsia="仿宋" w:cs="仿宋"/>
          <w:sz w:val="32"/>
          <w:szCs w:val="32"/>
        </w:rPr>
        <w:t>万元（其中：公务用车购置费</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万元，公务用车运行维护费</w:t>
      </w:r>
      <w:r>
        <w:rPr>
          <w:rFonts w:ascii="Times New Roman" w:hAnsi="Times New Roman" w:eastAsia="仿宋" w:cs="Times New Roman"/>
          <w:sz w:val="32"/>
          <w:szCs w:val="32"/>
        </w:rPr>
        <w:t>25.2</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w:t>
      </w:r>
      <w:r>
        <w:rPr>
          <w:rFonts w:hint="eastAsia" w:ascii="Times New Roman" w:hAnsi="Times New Roman" w:eastAsia="仿宋" w:cs="仿宋"/>
          <w:sz w:val="32"/>
          <w:szCs w:val="32"/>
          <w:lang w:eastAsia="zh-CN"/>
        </w:rPr>
        <w:t>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方正仿宋_GBK"/>
          <w:b/>
          <w:bCs/>
          <w:sz w:val="32"/>
          <w:szCs w:val="32"/>
        </w:rPr>
        <w:t>第一部分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（一）总体绩效目标</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1" w:name="_Toc29484628"/>
      <w:r>
        <w:rPr>
          <w:rFonts w:hint="eastAsia" w:ascii="Times New Roman" w:hAnsi="Times New Roman" w:eastAsia="方正仿宋_GBK" w:cs="方正仿宋_GBK"/>
          <w:b/>
          <w:bCs/>
          <w:sz w:val="32"/>
          <w:szCs w:val="32"/>
        </w:rPr>
        <w:instrText xml:space="preserve">总体绩效目标</w:instrText>
      </w:r>
      <w:bookmarkEnd w:id="1"/>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jc w:val="left"/>
        <w:rPr>
          <w:rFonts w:ascii="Times New Roman" w:hAnsi="Times New Roman" w:eastAsia="仿宋" w:cs="Times New Roman"/>
          <w:sz w:val="32"/>
          <w:szCs w:val="32"/>
        </w:rPr>
      </w:pPr>
      <w:r>
        <w:rPr>
          <w:rFonts w:hint="eastAsia" w:ascii="Times New Roman" w:hAnsi="Times New Roman" w:eastAsia="仿宋" w:cs="仿宋"/>
          <w:sz w:val="32"/>
          <w:szCs w:val="32"/>
        </w:rPr>
        <w:t>认真贯彻党的十九大精神，以习近平新时代中国特色社会主义思想为指导，坚持稳中求进工作总基调，坚持新发展理念，全面贯彻落实省委省政府的工作部署以及全国、全省、全市市场监管工作会议精神，坚持围绕中心服务大局，坚持推动高质量发展，坚持深化市场化改革，坚持</w:t>
      </w:r>
      <w:r>
        <w:rPr>
          <w:rFonts w:ascii="Times New Roman" w:hAnsi="Times New Roman" w:eastAsia="仿宋" w:cs="Times New Roman"/>
          <w:sz w:val="32"/>
          <w:szCs w:val="32"/>
        </w:rPr>
        <w:t>“</w:t>
      </w:r>
      <w:r>
        <w:rPr>
          <w:rFonts w:hint="eastAsia" w:ascii="Times New Roman" w:hAnsi="Times New Roman" w:eastAsia="仿宋" w:cs="仿宋"/>
          <w:sz w:val="32"/>
          <w:szCs w:val="32"/>
        </w:rPr>
        <w:t>四个最严</w:t>
      </w:r>
      <w:r>
        <w:rPr>
          <w:rFonts w:ascii="Times New Roman" w:hAnsi="Times New Roman" w:eastAsia="仿宋" w:cs="Times New Roman"/>
          <w:sz w:val="32"/>
          <w:szCs w:val="32"/>
        </w:rPr>
        <w:t>”</w:t>
      </w:r>
      <w:r>
        <w:rPr>
          <w:rFonts w:hint="eastAsia" w:ascii="Times New Roman" w:hAnsi="Times New Roman" w:eastAsia="仿宋" w:cs="仿宋"/>
          <w:sz w:val="32"/>
          <w:szCs w:val="32"/>
        </w:rPr>
        <w:t>要求，坚持红线意识和底线思维，全面实施质量提升、食品药品安全提升、市场信用管理、数字市场监管、市场环境净化、人才培育、基层建设提升、服务市场主体等八大工程，当好</w:t>
      </w:r>
      <w:r>
        <w:rPr>
          <w:rFonts w:ascii="Times New Roman" w:hAnsi="Times New Roman" w:eastAsia="仿宋" w:cs="Times New Roman"/>
          <w:sz w:val="32"/>
          <w:szCs w:val="32"/>
        </w:rPr>
        <w:t>“</w:t>
      </w:r>
      <w:r>
        <w:rPr>
          <w:rFonts w:hint="eastAsia" w:ascii="Times New Roman" w:hAnsi="Times New Roman" w:eastAsia="仿宋" w:cs="仿宋"/>
          <w:sz w:val="32"/>
          <w:szCs w:val="32"/>
        </w:rPr>
        <w:t>放管服</w:t>
      </w:r>
      <w:r>
        <w:rPr>
          <w:rFonts w:ascii="Times New Roman" w:hAnsi="Times New Roman" w:eastAsia="仿宋" w:cs="Times New Roman"/>
          <w:sz w:val="32"/>
          <w:szCs w:val="32"/>
        </w:rPr>
        <w:t>”</w:t>
      </w:r>
      <w:r>
        <w:rPr>
          <w:rFonts w:hint="eastAsia" w:ascii="Times New Roman" w:hAnsi="Times New Roman" w:eastAsia="仿宋" w:cs="仿宋"/>
          <w:sz w:val="32"/>
          <w:szCs w:val="32"/>
        </w:rPr>
        <w:t>改革的先行者、市场公平竞争的维护者、安全底线的守护者、消费者权益的保护者、高效监管的实践者、高质量发展的推动者，奋力开创全县市场监管事业新局面，为新时代全面建设富强馆陶做出新贡献。</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（二）分项绩效目标</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2" w:name="_Toc29484629"/>
      <w:r>
        <w:rPr>
          <w:rFonts w:hint="eastAsia" w:ascii="Times New Roman" w:hAnsi="Times New Roman" w:eastAsia="方正仿宋_GBK" w:cs="方正仿宋_GBK"/>
          <w:b/>
          <w:bCs/>
          <w:sz w:val="32"/>
          <w:szCs w:val="32"/>
        </w:rPr>
        <w:instrText xml:space="preserve">分项绩效目标</w:instrText>
      </w:r>
      <w:bookmarkEnd w:id="2"/>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新宋体" w:hAnsi="新宋体" w:eastAsia="新宋体" w:cs="新宋体"/>
          <w:sz w:val="32"/>
          <w:szCs w:val="32"/>
        </w:rPr>
        <w:t>（</w:t>
      </w:r>
      <w:r>
        <w:rPr>
          <w:rFonts w:hint="eastAsia" w:ascii="Times New Roman" w:hAnsi="Times New Roman" w:eastAsia="仿宋" w:cs="仿宋"/>
          <w:sz w:val="32"/>
          <w:szCs w:val="32"/>
        </w:rPr>
        <w:t>一）市场管理事务职责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绩效目标：依法规范和维护全县各类市场经营秩序，监督管理市场交易行为和网络商品交易及有关服务的行为。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绩效指标：全县开展无照经营清理工作，实现经营者持照率达</w:t>
      </w:r>
      <w:r>
        <w:rPr>
          <w:rFonts w:ascii="Times New Roman" w:hAnsi="Times New Roman" w:eastAsia="仿宋" w:cs="Times New Roman"/>
          <w:sz w:val="32"/>
          <w:szCs w:val="32"/>
        </w:rPr>
        <w:t>98%</w:t>
      </w:r>
      <w:r>
        <w:rPr>
          <w:rFonts w:hint="eastAsia" w:ascii="Times New Roman" w:hAnsi="Times New Roman" w:eastAsia="仿宋" w:cs="仿宋"/>
          <w:sz w:val="32"/>
          <w:szCs w:val="32"/>
        </w:rPr>
        <w:t>以上，进一步加强企业年报公示工作，实现年报公示率达</w:t>
      </w:r>
      <w:r>
        <w:rPr>
          <w:rFonts w:ascii="Times New Roman" w:hAnsi="Times New Roman" w:eastAsia="仿宋" w:cs="Times New Roman"/>
          <w:sz w:val="32"/>
          <w:szCs w:val="32"/>
        </w:rPr>
        <w:t>95%</w:t>
      </w:r>
      <w:r>
        <w:rPr>
          <w:rFonts w:hint="eastAsia" w:ascii="Times New Roman" w:hAnsi="Times New Roman" w:eastAsia="仿宋" w:cs="仿宋"/>
          <w:sz w:val="32"/>
          <w:szCs w:val="32"/>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（二）执法办案职责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绩效目标：依法查处各类违法行为，组织开展专项执法行动。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绩效指标：抓好反不正当竞争执法培训，实现全系统执法人员参训覆盖率</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（三）消费者权益保护职责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绩效目标：加强基层维权网络建设，扩大</w:t>
      </w:r>
      <w:r>
        <w:rPr>
          <w:rFonts w:ascii="Times New Roman" w:hAnsi="Times New Roman" w:eastAsia="仿宋" w:cs="Times New Roman"/>
          <w:sz w:val="32"/>
          <w:szCs w:val="32"/>
        </w:rPr>
        <w:t>“12315”“</w:t>
      </w:r>
      <w:r>
        <w:rPr>
          <w:rFonts w:hint="eastAsia" w:ascii="Times New Roman" w:hAnsi="Times New Roman" w:eastAsia="仿宋" w:cs="仿宋"/>
          <w:sz w:val="32"/>
          <w:szCs w:val="32"/>
        </w:rPr>
        <w:t>五进</w:t>
      </w:r>
      <w:r>
        <w:rPr>
          <w:rFonts w:ascii="Times New Roman" w:hAnsi="Times New Roman" w:eastAsia="仿宋" w:cs="Times New Roman"/>
          <w:sz w:val="32"/>
          <w:szCs w:val="32"/>
        </w:rPr>
        <w:t>”</w:t>
      </w:r>
      <w:r>
        <w:rPr>
          <w:rFonts w:hint="eastAsia" w:ascii="Times New Roman" w:hAnsi="Times New Roman" w:eastAsia="仿宋" w:cs="仿宋"/>
          <w:sz w:val="32"/>
          <w:szCs w:val="32"/>
        </w:rPr>
        <w:t>覆盖面，组织</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工作经验交流会，提高</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质量。加强消费教育引导，打造消费教育基地。进一步做好整合后的</w:t>
      </w:r>
      <w:r>
        <w:rPr>
          <w:rFonts w:ascii="Times New Roman" w:hAnsi="Times New Roman" w:eastAsia="仿宋" w:cs="Times New Roman"/>
          <w:sz w:val="32"/>
          <w:szCs w:val="32"/>
        </w:rPr>
        <w:t>“12315”</w:t>
      </w:r>
      <w:r>
        <w:rPr>
          <w:rFonts w:hint="eastAsia" w:ascii="Times New Roman" w:hAnsi="Times New Roman" w:eastAsia="仿宋" w:cs="仿宋"/>
          <w:sz w:val="32"/>
          <w:szCs w:val="32"/>
        </w:rPr>
        <w:t>数据平台数据分析，研究建立重点领域、重点指标的监测、应急处理机制。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绩效指标：持续做好消费提示、消费警示、典型案例发布工作，</w:t>
      </w:r>
      <w:r>
        <w:rPr>
          <w:rFonts w:ascii="Times New Roman" w:hAnsi="Times New Roman" w:eastAsia="仿宋" w:cs="Times New Roman"/>
          <w:sz w:val="32"/>
          <w:szCs w:val="32"/>
        </w:rPr>
        <w:t>“3.15</w:t>
      </w:r>
      <w:r>
        <w:rPr>
          <w:rFonts w:hint="eastAsia" w:ascii="Times New Roman" w:hAnsi="Times New Roman" w:eastAsia="仿宋" w:cs="仿宋"/>
          <w:sz w:val="32"/>
          <w:szCs w:val="32"/>
        </w:rPr>
        <w:t>国际消费者权益日</w:t>
      </w:r>
      <w:r>
        <w:rPr>
          <w:rFonts w:ascii="Times New Roman" w:hAnsi="Times New Roman" w:eastAsia="仿宋" w:cs="Times New Roman"/>
          <w:sz w:val="32"/>
          <w:szCs w:val="32"/>
        </w:rPr>
        <w:t>”</w:t>
      </w:r>
      <w:r>
        <w:rPr>
          <w:rFonts w:hint="eastAsia" w:ascii="Times New Roman" w:hAnsi="Times New Roman" w:eastAsia="仿宋" w:cs="仿宋"/>
          <w:sz w:val="32"/>
          <w:szCs w:val="32"/>
        </w:rPr>
        <w:t>期间宣传活动不少于</w:t>
      </w:r>
      <w:r>
        <w:rPr>
          <w:rFonts w:ascii="Times New Roman" w:hAnsi="Times New Roman" w:eastAsia="仿宋" w:cs="Times New Roman"/>
          <w:sz w:val="32"/>
          <w:szCs w:val="32"/>
        </w:rPr>
        <w:t>1</w:t>
      </w:r>
      <w:r>
        <w:rPr>
          <w:rFonts w:hint="eastAsia" w:ascii="Times New Roman" w:hAnsi="Times New Roman" w:eastAsia="仿宋" w:cs="仿宋"/>
          <w:sz w:val="32"/>
          <w:szCs w:val="32"/>
        </w:rPr>
        <w:t>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（四）食品安全管理职责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通过对食品各个环节的强力监管，及时发现食品监管中存在的问题，重点突出食品安全城创建以及做好重大活动和暑期食品安全保障。确保食品（含保健食品）安全监管不出现重大事故，及时发现和排除食品安全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绩效指标：新增仪器设备数量、食品抽检计划完成率、产品生产检查率、餐饮、食堂等消费环节安全信息监测覆盖面均达到</w:t>
      </w:r>
      <w:r>
        <w:rPr>
          <w:rFonts w:ascii="Times New Roman" w:hAnsi="Times New Roman" w:eastAsia="仿宋" w:cs="Times New Roman"/>
          <w:sz w:val="32"/>
          <w:szCs w:val="32"/>
        </w:rPr>
        <w:t>80%</w:t>
      </w:r>
      <w:r>
        <w:rPr>
          <w:rFonts w:hint="eastAsia" w:ascii="Times New Roman" w:hAnsi="Times New Roman" w:eastAsia="仿宋" w:cs="仿宋"/>
          <w:sz w:val="32"/>
          <w:szCs w:val="32"/>
        </w:rPr>
        <w:t>以上，全县保健食品生产企业检查覆盖率</w:t>
      </w:r>
      <w:r>
        <w:rPr>
          <w:rFonts w:ascii="Times New Roman" w:hAnsi="Times New Roman" w:eastAsia="仿宋" w:cs="Times New Roman"/>
          <w:sz w:val="32"/>
          <w:szCs w:val="32"/>
        </w:rPr>
        <w:t>85%</w:t>
      </w:r>
      <w:r>
        <w:rPr>
          <w:rFonts w:hint="eastAsia" w:ascii="Times New Roman" w:hAnsi="Times New Roman" w:eastAsia="仿宋" w:cs="仿宋"/>
          <w:sz w:val="32"/>
          <w:szCs w:val="32"/>
        </w:rPr>
        <w:t>以上，不合格样品生产企业处理率</w:t>
      </w:r>
      <w:r>
        <w:rPr>
          <w:rFonts w:ascii="Times New Roman" w:hAnsi="Times New Roman" w:eastAsia="仿宋" w:cs="Times New Roman"/>
          <w:sz w:val="32"/>
          <w:szCs w:val="32"/>
        </w:rPr>
        <w:t>90%</w:t>
      </w:r>
      <w:r>
        <w:rPr>
          <w:rFonts w:hint="eastAsia" w:ascii="Times New Roman" w:hAnsi="Times New Roman" w:eastAsia="仿宋" w:cs="仿宋"/>
          <w:sz w:val="32"/>
          <w:szCs w:val="32"/>
        </w:rPr>
        <w:t>以上。</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（三）工作保障措施</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3" w:name="_Toc29484630"/>
      <w:r>
        <w:rPr>
          <w:rFonts w:hint="eastAsia" w:ascii="Times New Roman" w:hAnsi="Times New Roman" w:eastAsia="方正仿宋_GBK" w:cs="方正仿宋_GBK"/>
          <w:b/>
          <w:bCs/>
          <w:sz w:val="32"/>
          <w:szCs w:val="32"/>
        </w:rPr>
        <w:instrText xml:space="preserve">工作保障措施</w:instrText>
      </w:r>
      <w:bookmarkEnd w:id="3"/>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Courier New" w:hAnsi="Courier New" w:cs="宋体"/>
          <w:sz w:val="32"/>
          <w:szCs w:val="32"/>
        </w:rPr>
        <w:t>（</w:t>
      </w:r>
      <w:r>
        <w:rPr>
          <w:rFonts w:hint="eastAsia" w:ascii="Times New Roman" w:hAnsi="Times New Roman" w:eastAsia="仿宋" w:cs="仿宋"/>
          <w:sz w:val="32"/>
          <w:szCs w:val="32"/>
        </w:rPr>
        <w:t>一）持续深化商事制度改革，构建新型市场监管机制。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hint="eastAsia" w:ascii="Times New Roman" w:hAnsi="Times New Roman" w:eastAsia="仿宋" w:cs="仿宋"/>
          <w:sz w:val="32"/>
          <w:szCs w:val="32"/>
        </w:rPr>
        <w:t>深化</w:t>
      </w:r>
      <w:r>
        <w:rPr>
          <w:rFonts w:ascii="Times New Roman" w:hAnsi="Times New Roman" w:eastAsia="仿宋" w:cs="Times New Roman"/>
          <w:sz w:val="32"/>
          <w:szCs w:val="32"/>
        </w:rPr>
        <w:t>“</w:t>
      </w:r>
      <w:r>
        <w:rPr>
          <w:rFonts w:hint="eastAsia" w:ascii="Times New Roman" w:hAnsi="Times New Roman" w:eastAsia="仿宋" w:cs="仿宋"/>
          <w:sz w:val="32"/>
          <w:szCs w:val="32"/>
        </w:rPr>
        <w:t>双随机</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一公开</w:t>
      </w:r>
      <w:r>
        <w:rPr>
          <w:rFonts w:ascii="Times New Roman" w:hAnsi="Times New Roman" w:eastAsia="仿宋" w:cs="Times New Roman"/>
          <w:sz w:val="32"/>
          <w:szCs w:val="32"/>
        </w:rPr>
        <w:t>”</w:t>
      </w:r>
      <w:r>
        <w:rPr>
          <w:rFonts w:hint="eastAsia" w:ascii="Times New Roman" w:hAnsi="Times New Roman" w:eastAsia="仿宋" w:cs="仿宋"/>
          <w:sz w:val="32"/>
          <w:szCs w:val="32"/>
        </w:rPr>
        <w:t>监管。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．加强企业信用监管。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．持续优化准入环境。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（二）全面加强事中事后监管，维护公平竞争的市场秩序。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．强化竞争执法工作。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．加大案件查办力度。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．加强重点领域市场监管。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4. </w:t>
      </w:r>
      <w:r>
        <w:rPr>
          <w:rFonts w:hint="eastAsia" w:ascii="Times New Roman" w:hAnsi="Times New Roman" w:eastAsia="仿宋" w:cs="仿宋"/>
          <w:sz w:val="32"/>
          <w:szCs w:val="32"/>
        </w:rPr>
        <w:t>加强对食品生产、流通、餐饮消费各环节进行监督、及时发现和排除食品安全问题，确保大型活动期间的食品安全。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全面加强对基本药物（医疗器械和包装材料）及化妆品的额质量监督指导，监督药品生产企业严格按照药品标准进行生产，做好药物不良反应监测及调查处置确保我县药物的合格率。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6. </w:t>
      </w:r>
      <w:r>
        <w:rPr>
          <w:rFonts w:hint="eastAsia" w:ascii="Times New Roman" w:hAnsi="Times New Roman" w:eastAsia="仿宋" w:cs="仿宋"/>
          <w:sz w:val="32"/>
          <w:szCs w:val="32"/>
        </w:rPr>
        <w:t>突出抓好产品质量安全和特种设备安全，建立特种设备动态监管体系，防止和减少特种设备安全事故。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7. </w:t>
      </w:r>
      <w:r>
        <w:rPr>
          <w:rFonts w:hint="eastAsia" w:ascii="Times New Roman" w:hAnsi="Times New Roman" w:eastAsia="仿宋" w:cs="仿宋"/>
          <w:sz w:val="32"/>
          <w:szCs w:val="32"/>
        </w:rPr>
        <w:t>突出抓好打假工作，营造公平和谐的市场环境。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（三）强化攻坚克难举措，做好大气污染防治工作。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．制定过硬措施。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．强化严管手段。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．严格督导问责。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（四）聚焦优化消费环境，全面提升消费维权水平。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．深化放心消费创建。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．加强维权监督执法。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．加强商品质量抽检。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．加强</w:t>
      </w:r>
      <w:r>
        <w:rPr>
          <w:rFonts w:ascii="Times New Roman" w:hAnsi="Times New Roman" w:eastAsia="仿宋" w:cs="Times New Roman"/>
          <w:sz w:val="32"/>
          <w:szCs w:val="32"/>
        </w:rPr>
        <w:t>12315</w:t>
      </w:r>
      <w:r>
        <w:rPr>
          <w:rFonts w:hint="eastAsia" w:ascii="Times New Roman" w:hAnsi="Times New Roman" w:eastAsia="仿宋" w:cs="仿宋"/>
          <w:sz w:val="32"/>
          <w:szCs w:val="32"/>
        </w:rPr>
        <w:t>体系建设。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．支持消协组织履行法定职责。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hint="eastAsia" w:ascii="Times New Roman" w:hAnsi="Times New Roman" w:eastAsia="仿宋" w:cs="仿宋"/>
          <w:sz w:val="32"/>
          <w:szCs w:val="32"/>
        </w:rPr>
        <w:t>（五）全面加强党的建设，打造高素质专业化干部队伍。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．全面落实</w:t>
      </w:r>
      <w:r>
        <w:rPr>
          <w:rFonts w:hint="eastAsia" w:ascii="Times New Roman" w:hAnsi="Times New Roman" w:eastAsia="仿宋" w:cs="仿宋"/>
          <w:sz w:val="32"/>
          <w:szCs w:val="32"/>
          <w:lang w:eastAsia="zh-CN"/>
        </w:rPr>
        <w:t>党的</w:t>
      </w:r>
      <w:r>
        <w:rPr>
          <w:rFonts w:hint="eastAsia" w:ascii="Times New Roman" w:hAnsi="Times New Roman" w:eastAsia="仿宋" w:cs="仿宋"/>
          <w:sz w:val="32"/>
          <w:szCs w:val="32"/>
        </w:rPr>
        <w:t>十九大精神。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．全面加强党的政治建设。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．全面加强党风廉政建设。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．全面加强法治建设。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．全面加强信息化建设。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．全面加强队伍能力建设。</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第二部分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预算项目绩效目标</w:t>
      </w:r>
    </w:p>
    <w:p>
      <w:pPr>
        <w:spacing w:line="300" w:lineRule="exact"/>
        <w:ind w:firstLine="560" w:firstLineChars="200"/>
        <w:jc w:val="left"/>
        <w:rPr>
          <w:rFonts w:ascii="宋体" w:cs="Times New Roman"/>
          <w:sz w:val="18"/>
          <w:szCs w:val="18"/>
        </w:rPr>
      </w:pP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lang w:val="en-US" w:eastAsia="zh-CN"/>
        </w:rPr>
        <w:t>1</w:t>
      </w:r>
      <w:r>
        <w:rPr>
          <w:rFonts w:hint="eastAsia" w:ascii="方正仿宋_GBK" w:eastAsia="方正仿宋_GBK" w:cs="方正仿宋_GBK"/>
          <w:b/>
          <w:bCs/>
          <w:sz w:val="28"/>
          <w:szCs w:val="28"/>
        </w:rPr>
        <w:t>、冀财行</w:t>
      </w:r>
      <w:r>
        <w:rPr>
          <w:rFonts w:ascii="方正仿宋_GBK" w:eastAsia="方正仿宋_GBK" w:cs="方正仿宋_GBK"/>
          <w:b/>
          <w:bCs/>
          <w:sz w:val="28"/>
          <w:szCs w:val="28"/>
        </w:rPr>
        <w:t>[20</w:t>
      </w:r>
      <w:r>
        <w:rPr>
          <w:rFonts w:hint="eastAsia" w:ascii="方正仿宋_GBK" w:eastAsia="方正仿宋_GBK" w:cs="方正仿宋_GBK"/>
          <w:b/>
          <w:bCs/>
          <w:sz w:val="28"/>
          <w:szCs w:val="28"/>
          <w:lang w:val="en-US" w:eastAsia="zh-CN"/>
        </w:rPr>
        <w:t>20】</w:t>
      </w:r>
      <w:r>
        <w:rPr>
          <w:rFonts w:ascii="方正仿宋_GBK" w:eastAsia="方正仿宋_GBK" w:cs="方正仿宋_GBK"/>
          <w:b/>
          <w:bCs/>
          <w:sz w:val="28"/>
          <w:szCs w:val="28"/>
        </w:rPr>
        <w:t>]</w:t>
      </w:r>
      <w:r>
        <w:rPr>
          <w:rFonts w:hint="eastAsia" w:ascii="方正仿宋_GBK" w:eastAsia="方正仿宋_GBK" w:cs="方正仿宋_GBK"/>
          <w:b/>
          <w:bCs/>
          <w:sz w:val="28"/>
          <w:szCs w:val="28"/>
          <w:lang w:val="en-US" w:eastAsia="zh-CN"/>
        </w:rPr>
        <w:t>162</w:t>
      </w:r>
      <w:r>
        <w:rPr>
          <w:rFonts w:hint="eastAsia" w:ascii="方正仿宋_GBK" w:eastAsia="方正仿宋_GBK" w:cs="方正仿宋_GBK"/>
          <w:b/>
          <w:bCs/>
          <w:sz w:val="28"/>
          <w:szCs w:val="28"/>
        </w:rPr>
        <w:t>号关于提前下达</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年市场监管专项补助经费的通知绩效目标表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4" w:name="_Toc29484636"/>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bookmarkEnd w:id="4"/>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、建立和维护市场秩序，服务地方经济发展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、促进市场主体的快速增长，强化信用体系建设，为政府决策和社会公众提供信用服务。</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jc w:val="left"/>
              <w:rPr>
                <w:rFonts w:ascii="宋体" w:cs="Times New Roman"/>
                <w:sz w:val="18"/>
                <w:szCs w:val="18"/>
              </w:rPr>
            </w:pPr>
            <w:r>
              <w:rPr>
                <w:rFonts w:hint="eastAsia" w:cs="宋体"/>
                <w:sz w:val="18"/>
                <w:szCs w:val="18"/>
              </w:rPr>
              <w:t>市场主体抽查率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抽查企业数占计划抽查企业个数的比率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jc w:val="left"/>
              <w:rPr>
                <w:rFonts w:ascii="宋体" w:cs="Times New Roman"/>
                <w:sz w:val="18"/>
                <w:szCs w:val="18"/>
              </w:rPr>
            </w:pPr>
            <w:r>
              <w:rPr>
                <w:rFonts w:hint="eastAsia" w:cs="宋体"/>
                <w:sz w:val="18"/>
                <w:szCs w:val="18"/>
              </w:rPr>
              <w:t>数量指标</w:t>
            </w:r>
          </w:p>
          <w:p>
            <w:pPr>
              <w:spacing w:line="300" w:lineRule="exact"/>
              <w:jc w:val="left"/>
              <w:rPr>
                <w:rFonts w:ascii="方正书宋_GBK" w:eastAsia="方正书宋_GBK" w:cs="Times New Roman"/>
              </w:rPr>
            </w:pPr>
          </w:p>
        </w:tc>
        <w:tc>
          <w:tcPr>
            <w:tcW w:w="1276" w:type="dxa"/>
            <w:vAlign w:val="center"/>
          </w:tcPr>
          <w:p>
            <w:pPr>
              <w:jc w:val="left"/>
              <w:rPr>
                <w:rFonts w:ascii="宋体" w:cs="Times New Roman"/>
                <w:sz w:val="18"/>
                <w:szCs w:val="18"/>
              </w:rPr>
            </w:pPr>
            <w:r>
              <w:rPr>
                <w:rFonts w:hint="eastAsia" w:cs="宋体"/>
                <w:sz w:val="18"/>
                <w:szCs w:val="18"/>
              </w:rPr>
              <w:t>市场监管执法案件办结率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反映市场监管执法案件办理程度</w:t>
            </w:r>
            <w:r>
              <w:rPr>
                <w:sz w:val="18"/>
                <w:szCs w:val="18"/>
              </w:rPr>
              <w:t>,</w:t>
            </w:r>
            <w:r>
              <w:rPr>
                <w:rFonts w:hint="eastAsia" w:cs="宋体"/>
                <w:sz w:val="18"/>
                <w:szCs w:val="18"/>
              </w:rPr>
              <w:t>办理完结案件数占年度市场执法案件总数的比率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jc w:val="left"/>
              <w:rPr>
                <w:rFonts w:ascii="宋体" w:cs="Times New Roman"/>
                <w:sz w:val="18"/>
                <w:szCs w:val="18"/>
              </w:rPr>
            </w:pPr>
            <w:r>
              <w:rPr>
                <w:rFonts w:hint="eastAsia" w:cs="宋体"/>
                <w:sz w:val="18"/>
                <w:szCs w:val="18"/>
              </w:rPr>
              <w:t>市场主体违法案件受理办结率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办理完结案件数占受理案件数的比率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ind w:firstLine="420" w:firstLineChars="200"/>
        <w:jc w:val="left"/>
        <w:rPr>
          <w:rFonts w:cs="Times New Roman"/>
        </w:rPr>
      </w:pPr>
    </w:p>
    <w:p>
      <w:pPr>
        <w:jc w:val="left"/>
        <w:rPr>
          <w:rFonts w:ascii="宋体" w:cs="Times New Roman"/>
          <w:sz w:val="18"/>
          <w:szCs w:val="18"/>
        </w:rPr>
      </w:pPr>
      <w:r>
        <w:rPr>
          <w:rFonts w:hint="eastAsia" w:ascii="方正仿宋_GBK" w:eastAsia="方正仿宋_GBK" w:cs="方正仿宋_GBK"/>
          <w:b/>
          <w:bCs/>
          <w:sz w:val="28"/>
          <w:szCs w:val="28"/>
          <w:lang w:val="en-US" w:eastAsia="zh-CN"/>
        </w:rPr>
        <w:t>2</w:t>
      </w:r>
      <w:r>
        <w:rPr>
          <w:rFonts w:hint="eastAsia" w:ascii="方正仿宋_GBK" w:eastAsia="方正仿宋_GBK" w:cs="方正仿宋_GBK"/>
          <w:b/>
          <w:bCs/>
          <w:sz w:val="28"/>
          <w:szCs w:val="28"/>
        </w:rPr>
        <w:t>、市场监督举报奖励资金绩效目标表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5" w:name="_Toc29484641"/>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bookmarkEnd w:id="5"/>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、切实加强食品药品安全监督管理工作，鼓励社会公众积极举报食品药品违法行为和线索，强化食品药品安全公众监督与社会共治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、切实加强煤炭的监督管理工作，防治大气污染，打好蓝天白云攻坚站</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jc w:val="left"/>
              <w:rPr>
                <w:rFonts w:ascii="宋体" w:cs="Times New Roman"/>
                <w:sz w:val="18"/>
                <w:szCs w:val="18"/>
              </w:rPr>
            </w:pPr>
            <w:r>
              <w:rPr>
                <w:rFonts w:hint="eastAsia" w:cs="宋体"/>
                <w:sz w:val="18"/>
                <w:szCs w:val="18"/>
              </w:rPr>
              <w:t>案件办结率（</w:t>
            </w:r>
            <w:r>
              <w:rPr>
                <w:sz w:val="18"/>
                <w:szCs w:val="18"/>
              </w:rPr>
              <w:t>%</w:t>
            </w:r>
            <w:r>
              <w:rPr>
                <w:rFonts w:hint="eastAsia" w:cs="宋体"/>
                <w:sz w:val="18"/>
                <w:szCs w:val="18"/>
              </w:rPr>
              <w:t>）</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办结案件数量占立案案件总数的比率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jc w:val="left"/>
              <w:rPr>
                <w:rFonts w:ascii="宋体" w:cs="Times New Roman"/>
                <w:sz w:val="18"/>
                <w:szCs w:val="18"/>
              </w:rPr>
            </w:pPr>
            <w:r>
              <w:rPr>
                <w:rFonts w:hint="eastAsia" w:cs="宋体"/>
                <w:sz w:val="18"/>
                <w:szCs w:val="18"/>
              </w:rPr>
              <w:t>不合格产品查处率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查处不合格产品数与实有不合格产品数的比例</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jc w:val="left"/>
              <w:rPr>
                <w:rFonts w:ascii="宋体" w:cs="Times New Roman"/>
                <w:sz w:val="18"/>
                <w:szCs w:val="18"/>
              </w:rPr>
            </w:pPr>
            <w:r>
              <w:rPr>
                <w:rFonts w:hint="eastAsia" w:cs="宋体"/>
                <w:sz w:val="18"/>
                <w:szCs w:val="18"/>
              </w:rPr>
              <w:t>综合业务管理工作完成率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综合业务管理工作完成情况</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ind w:firstLine="560" w:firstLineChars="200"/>
        <w:jc w:val="left"/>
        <w:outlineLvl w:val="1"/>
        <w:rPr>
          <w:rFonts w:ascii="Times New Roman" w:hAnsi="宋体" w:cs="Times New Roman"/>
          <w:b/>
          <w:bCs/>
          <w:sz w:val="28"/>
          <w:szCs w:val="28"/>
        </w:rPr>
      </w:pPr>
      <w:r>
        <w:rPr>
          <w:rFonts w:hint="eastAsia" w:ascii="方正仿宋_GBK" w:eastAsia="方正仿宋_GBK" w:cs="方正仿宋_GBK"/>
          <w:b/>
          <w:bCs/>
          <w:sz w:val="28"/>
          <w:szCs w:val="28"/>
          <w:lang w:val="en-US" w:eastAsia="zh-CN"/>
        </w:rPr>
        <w:t>3</w:t>
      </w:r>
      <w:r>
        <w:rPr>
          <w:rFonts w:hint="eastAsia" w:ascii="方正仿宋_GBK" w:eastAsia="方正仿宋_GBK" w:cs="方正仿宋_GBK"/>
          <w:b/>
          <w:bCs/>
          <w:sz w:val="28"/>
          <w:szCs w:val="28"/>
        </w:rPr>
        <w:t>、商标注册资金绩效目标表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、开展陶山情美丽乡村商标注册，是响应上级和县委、县政府的号召，加强美丽乡村</w:t>
            </w:r>
            <w:r>
              <w:rPr>
                <w:rFonts w:ascii="方正书宋_GBK" w:eastAsia="方正书宋_GBK" w:cs="方正书宋_GBK"/>
              </w:rPr>
              <w:t xml:space="preserve"> </w:t>
            </w:r>
            <w:r>
              <w:rPr>
                <w:rFonts w:hint="eastAsia" w:ascii="方正书宋_GBK" w:eastAsia="方正书宋_GBK" w:cs="方正书宋_GBK"/>
              </w:rPr>
              <w:t>建设</w:t>
            </w:r>
            <w:r>
              <w:rPr>
                <w:rFonts w:ascii="方正书宋_GBK" w:eastAsia="方正书宋_GBK" w:cs="方正书宋_GBK"/>
              </w:rPr>
              <w:t>,</w:t>
            </w:r>
            <w:r>
              <w:rPr>
                <w:rFonts w:hint="eastAsia" w:ascii="方正书宋_GBK" w:eastAsia="方正书宋_GBK" w:cs="方正书宋_GBK"/>
              </w:rPr>
              <w:t>打造特色小镇，服务地方经济发展</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、为了实施全县商标管理工作，依法保护商标专用权，服务地方经济发展</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推荐驰名商标工作完成率</w:t>
            </w:r>
          </w:p>
        </w:tc>
        <w:tc>
          <w:tcPr>
            <w:tcW w:w="2891" w:type="dxa"/>
            <w:vAlign w:val="center"/>
          </w:tcPr>
          <w:p>
            <w:pPr>
              <w:rPr>
                <w:rFonts w:ascii="宋体" w:cs="Times New Roman"/>
                <w:sz w:val="18"/>
                <w:szCs w:val="18"/>
              </w:rPr>
            </w:pPr>
            <w:r>
              <w:rPr>
                <w:rFonts w:hint="eastAsia" w:cs="宋体"/>
                <w:sz w:val="18"/>
                <w:szCs w:val="18"/>
              </w:rPr>
              <w:t>获得驰名商标个数占推荐商标个数的比率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商标覆盖率</w:t>
            </w:r>
          </w:p>
        </w:tc>
        <w:tc>
          <w:tcPr>
            <w:tcW w:w="2891" w:type="dxa"/>
            <w:vAlign w:val="center"/>
          </w:tcPr>
          <w:p>
            <w:pPr>
              <w:rPr>
                <w:rFonts w:ascii="宋体" w:cs="Times New Roman"/>
                <w:sz w:val="18"/>
                <w:szCs w:val="18"/>
              </w:rPr>
            </w:pPr>
            <w:r>
              <w:rPr>
                <w:rFonts w:hint="eastAsia" w:cs="宋体"/>
                <w:sz w:val="18"/>
                <w:szCs w:val="18"/>
              </w:rPr>
              <w:t>反映商标覆盖情况</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rPr>
                <w:rFonts w:ascii="宋体" w:cs="Times New Roman"/>
                <w:sz w:val="18"/>
                <w:szCs w:val="18"/>
              </w:rPr>
            </w:pPr>
            <w:r>
              <w:rPr>
                <w:rFonts w:hint="eastAsia" w:cs="宋体"/>
                <w:sz w:val="18"/>
                <w:szCs w:val="18"/>
              </w:rPr>
              <w:t>商标案件查处率</w:t>
            </w:r>
          </w:p>
        </w:tc>
        <w:tc>
          <w:tcPr>
            <w:tcW w:w="1276" w:type="dxa"/>
            <w:vAlign w:val="center"/>
          </w:tcPr>
          <w:p>
            <w:pPr>
              <w:rPr>
                <w:rFonts w:ascii="宋体" w:cs="Times New Roman"/>
                <w:sz w:val="18"/>
                <w:szCs w:val="18"/>
              </w:rPr>
            </w:pPr>
            <w:r>
              <w:rPr>
                <w:rFonts w:hint="eastAsia" w:cs="宋体"/>
                <w:sz w:val="18"/>
                <w:szCs w:val="18"/>
              </w:rPr>
              <w:t>反映商标案件查处情况，查处案件数占受理案件数比率</w:t>
            </w:r>
          </w:p>
        </w:tc>
        <w:tc>
          <w:tcPr>
            <w:tcW w:w="2891" w:type="dxa"/>
            <w:vAlign w:val="center"/>
          </w:tcPr>
          <w:p>
            <w:pPr>
              <w:rPr>
                <w:rFonts w:ascii="宋体" w:cs="Times New Roman"/>
                <w:sz w:val="18"/>
                <w:szCs w:val="18"/>
              </w:rPr>
            </w:pPr>
            <w:r>
              <w:rPr>
                <w:rFonts w:hint="eastAsia" w:cs="宋体"/>
                <w:sz w:val="18"/>
                <w:szCs w:val="18"/>
              </w:rPr>
              <w:t>商标案件查处率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jc w:val="left"/>
        <w:rPr>
          <w:rFonts w:ascii="宋体" w:cs="Times New Roman"/>
          <w:sz w:val="18"/>
          <w:szCs w:val="18"/>
        </w:rPr>
      </w:pPr>
      <w:r>
        <w:rPr>
          <w:rFonts w:hint="eastAsia" w:ascii="方正仿宋_GBK" w:eastAsia="方正仿宋_GBK" w:cs="方正仿宋_GBK"/>
          <w:b/>
          <w:bCs/>
          <w:sz w:val="28"/>
          <w:szCs w:val="28"/>
          <w:lang w:val="en-US" w:eastAsia="zh-CN"/>
        </w:rPr>
        <w:t>4</w:t>
      </w:r>
      <w:r>
        <w:rPr>
          <w:rFonts w:hint="eastAsia" w:ascii="方正仿宋_GBK" w:eastAsia="方正仿宋_GBK" w:cs="方正仿宋_GBK"/>
          <w:b/>
          <w:bCs/>
          <w:sz w:val="28"/>
          <w:szCs w:val="28"/>
        </w:rPr>
        <w:t>、计量检测资金绩效目标表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、管理和监督全县计量标准，确保市场秩序，加强计量检验检测能力</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、管理计量器具及量值传递对比，提高计量相关产品检验检测水平，确保及时检定率</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重点管理计量器具检定率（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重点管理计量器具检定实际完成数量</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计量对比完成率（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实际完成计量对比量占应完成比</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查办违法企业数量占查办违法企业数量</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jc w:val="left"/>
        <w:rPr>
          <w:rFonts w:ascii="宋体" w:cs="Times New Roman"/>
          <w:sz w:val="18"/>
          <w:szCs w:val="18"/>
        </w:rPr>
      </w:pPr>
      <w:r>
        <w:rPr>
          <w:rFonts w:hint="eastAsia" w:ascii="方正仿宋_GBK" w:eastAsia="方正仿宋_GBK" w:cs="方正仿宋_GBK"/>
          <w:b/>
          <w:bCs/>
          <w:sz w:val="28"/>
          <w:szCs w:val="28"/>
          <w:lang w:val="en-US" w:eastAsia="zh-CN"/>
        </w:rPr>
        <w:t>5</w:t>
      </w:r>
      <w:r>
        <w:rPr>
          <w:rFonts w:hint="eastAsia" w:ascii="方正仿宋_GBK" w:eastAsia="方正仿宋_GBK" w:cs="方正仿宋_GBK"/>
          <w:b/>
          <w:bCs/>
          <w:sz w:val="28"/>
          <w:szCs w:val="28"/>
        </w:rPr>
        <w:t>、零成本注册经费项目资金绩效目标表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建立和维护市场秩序，服务地方经济发展，促进市场主体的快速增长，强化信用体系建设，为政府决策和社会公众提供信用服务</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、全县各类企业、农民专业合作社和从事经营活动的单位、个人等市场主体的登记注册和监督管理，依法查处取缔无照经营，组织指导全县企业、个体工商户商品交易市场信用分类管理</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jc w:val="left"/>
              <w:rPr>
                <w:rFonts w:ascii="宋体" w:cs="Times New Roman"/>
                <w:sz w:val="18"/>
                <w:szCs w:val="18"/>
              </w:rPr>
            </w:pPr>
            <w:r>
              <w:rPr>
                <w:rFonts w:hint="eastAsia" w:cs="宋体"/>
                <w:sz w:val="18"/>
                <w:szCs w:val="18"/>
              </w:rPr>
              <w:t>市场主体抽查率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抽查企业数占计划抽查企业个数的比率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jc w:val="left"/>
              <w:rPr>
                <w:rFonts w:ascii="宋体" w:cs="Times New Roman"/>
                <w:sz w:val="18"/>
                <w:szCs w:val="18"/>
              </w:rPr>
            </w:pPr>
            <w:r>
              <w:rPr>
                <w:rFonts w:hint="eastAsia" w:cs="宋体"/>
                <w:sz w:val="18"/>
                <w:szCs w:val="18"/>
              </w:rPr>
              <w:t>市场监管执法案件办结率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反映市场监管执法案件办理程度</w:t>
            </w:r>
            <w:r>
              <w:rPr>
                <w:sz w:val="18"/>
                <w:szCs w:val="18"/>
              </w:rPr>
              <w:t>,</w:t>
            </w:r>
            <w:r>
              <w:rPr>
                <w:rFonts w:hint="eastAsia" w:cs="宋体"/>
                <w:sz w:val="18"/>
                <w:szCs w:val="18"/>
              </w:rPr>
              <w:t>办理完结案件数占年度市场执法案件总数的比率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jc w:val="left"/>
              <w:rPr>
                <w:rFonts w:ascii="宋体" w:cs="Times New Roman"/>
                <w:sz w:val="18"/>
                <w:szCs w:val="18"/>
              </w:rPr>
            </w:pPr>
            <w:r>
              <w:rPr>
                <w:rFonts w:hint="eastAsia" w:cs="宋体"/>
                <w:sz w:val="18"/>
                <w:szCs w:val="18"/>
              </w:rPr>
              <w:t>市场主体违法案件受理办结率</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办理完结案件数占受理案件数的比率</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jc w:val="left"/>
        <w:rPr>
          <w:rFonts w:ascii="宋体" w:cs="Times New Roman"/>
          <w:sz w:val="18"/>
          <w:szCs w:val="18"/>
        </w:rPr>
      </w:pPr>
      <w:r>
        <w:rPr>
          <w:rFonts w:hint="eastAsia" w:ascii="方正仿宋_GBK" w:eastAsia="方正仿宋_GBK" w:cs="方正仿宋_GBK"/>
          <w:b/>
          <w:bCs/>
          <w:sz w:val="28"/>
          <w:szCs w:val="28"/>
          <w:lang w:val="en-US" w:eastAsia="zh-CN"/>
        </w:rPr>
        <w:t>6</w:t>
      </w:r>
      <w:r>
        <w:rPr>
          <w:rFonts w:hint="eastAsia" w:ascii="方正仿宋_GBK" w:eastAsia="方正仿宋_GBK" w:cs="方正仿宋_GBK"/>
          <w:b/>
          <w:bCs/>
          <w:sz w:val="28"/>
          <w:szCs w:val="28"/>
        </w:rPr>
        <w:t>、食品药品、成品油、煤炭检测资金绩效目标表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、通过对成品油和食品的抽检，及时发现成品油和食品存在的问题，严厉查处成品油和食品违法行为</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、通过对成品油和食品的抽检，确保成品油和食品生产、流通、消费环节不出现重大事故</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抽查批次</w:t>
            </w:r>
            <w:r>
              <w:rPr>
                <w:sz w:val="18"/>
                <w:szCs w:val="18"/>
              </w:rPr>
              <w:t>(</w:t>
            </w:r>
            <w:r>
              <w:rPr>
                <w:rFonts w:hint="eastAsia" w:cs="宋体"/>
                <w:sz w:val="18"/>
                <w:szCs w:val="18"/>
              </w:rPr>
              <w:t>批次</w:t>
            </w:r>
            <w:r>
              <w:rPr>
                <w:sz w:val="18"/>
                <w:szCs w:val="18"/>
              </w:rPr>
              <w:t>)</w:t>
            </w:r>
          </w:p>
        </w:tc>
        <w:tc>
          <w:tcPr>
            <w:tcW w:w="2891" w:type="dxa"/>
            <w:vAlign w:val="center"/>
          </w:tcPr>
          <w:p>
            <w:pPr>
              <w:rPr>
                <w:rFonts w:ascii="宋体" w:cs="Times New Roman"/>
                <w:sz w:val="18"/>
                <w:szCs w:val="18"/>
              </w:rPr>
            </w:pPr>
            <w:r>
              <w:rPr>
                <w:rFonts w:hint="eastAsia" w:cs="宋体"/>
                <w:sz w:val="18"/>
                <w:szCs w:val="18"/>
              </w:rPr>
              <w:t>抽查的批次</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800</w:t>
            </w:r>
            <w:r>
              <w:rPr>
                <w:rFonts w:hint="eastAsia" w:ascii="方正书宋_GBK" w:eastAsia="方正书宋_GBK" w:cs="方正书宋_GBK"/>
              </w:rPr>
              <w:t>批次</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抽检计划完成率</w:t>
            </w:r>
          </w:p>
        </w:tc>
        <w:tc>
          <w:tcPr>
            <w:tcW w:w="2891" w:type="dxa"/>
            <w:vAlign w:val="center"/>
          </w:tcPr>
          <w:p>
            <w:pPr>
              <w:rPr>
                <w:rFonts w:ascii="宋体" w:cs="Times New Roman"/>
                <w:sz w:val="18"/>
                <w:szCs w:val="18"/>
              </w:rPr>
            </w:pPr>
            <w:r>
              <w:rPr>
                <w:rFonts w:hint="eastAsia" w:cs="宋体"/>
                <w:sz w:val="18"/>
                <w:szCs w:val="18"/>
              </w:rPr>
              <w:t>实际抽检批次占计划批次的比例</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不合格样品生产企业处理率</w:t>
            </w:r>
          </w:p>
        </w:tc>
        <w:tc>
          <w:tcPr>
            <w:tcW w:w="2891" w:type="dxa"/>
            <w:vAlign w:val="center"/>
          </w:tcPr>
          <w:p>
            <w:pPr>
              <w:rPr>
                <w:rFonts w:ascii="宋体" w:cs="Times New Roman"/>
                <w:sz w:val="18"/>
                <w:szCs w:val="18"/>
              </w:rPr>
            </w:pPr>
            <w:r>
              <w:rPr>
                <w:rFonts w:hint="eastAsia" w:cs="宋体"/>
                <w:sz w:val="18"/>
                <w:szCs w:val="18"/>
              </w:rPr>
              <w:t>处理生产企业数与不合格样品生产企业的比例</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jc w:val="left"/>
        <w:rPr>
          <w:rFonts w:ascii="宋体" w:cs="Times New Roman"/>
          <w:sz w:val="18"/>
          <w:szCs w:val="18"/>
        </w:rPr>
      </w:pPr>
      <w:r>
        <w:rPr>
          <w:rFonts w:hint="eastAsia" w:ascii="方正仿宋_GBK" w:eastAsia="方正仿宋_GBK" w:cs="方正仿宋_GBK"/>
          <w:b/>
          <w:bCs/>
          <w:sz w:val="28"/>
          <w:szCs w:val="28"/>
          <w:lang w:val="en-US" w:eastAsia="zh-CN"/>
        </w:rPr>
        <w:t>7</w:t>
      </w:r>
      <w:r>
        <w:rPr>
          <w:rFonts w:hint="eastAsia" w:ascii="方正仿宋_GBK" w:eastAsia="方正仿宋_GBK" w:cs="方正仿宋_GBK"/>
          <w:b/>
          <w:bCs/>
          <w:sz w:val="28"/>
          <w:szCs w:val="28"/>
        </w:rPr>
        <w:t>、轴承检测中心运行资金绩效目标表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、加大轴承监管力度。提升监管水平，提高轴承产品质量安全</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、加强轴承检验检测能力，规范轴承检测中心建设，提高轴承相关产品检验检测水平</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检测数据准确度（</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准确数据量占总检测数据量的比例</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及时查办违法企业数量占查办违法企业数量的比例</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不合格企业处理率（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反映不合格企业处理完成情况</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jc w:val="left"/>
        <w:rPr>
          <w:rFonts w:ascii="宋体" w:cs="Times New Roman"/>
          <w:sz w:val="18"/>
          <w:szCs w:val="18"/>
        </w:rPr>
      </w:pPr>
      <w:r>
        <w:rPr>
          <w:rFonts w:hint="eastAsia" w:ascii="方正仿宋_GBK" w:eastAsia="方正仿宋_GBK" w:cs="方正仿宋_GBK"/>
          <w:b/>
          <w:bCs/>
          <w:sz w:val="28"/>
          <w:szCs w:val="28"/>
          <w:lang w:val="en-US" w:eastAsia="zh-CN"/>
        </w:rPr>
        <w:t>8</w:t>
      </w:r>
      <w:r>
        <w:rPr>
          <w:rFonts w:hint="eastAsia" w:ascii="方正仿宋_GBK" w:eastAsia="方正仿宋_GBK" w:cs="方正仿宋_GBK"/>
          <w:b/>
          <w:bCs/>
          <w:sz w:val="28"/>
          <w:szCs w:val="28"/>
        </w:rPr>
        <w:t>、市场监督信息化建设资金绩效目标表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10</w:instrText>
      </w:r>
      <w:r>
        <w:rPr>
          <w:rFonts w:hint="eastAsia" w:ascii="方正仿宋_GBK" w:eastAsia="方正仿宋_GBK" w:cs="方正仿宋_GBK"/>
          <w:b/>
          <w:bCs/>
          <w:sz w:val="28"/>
          <w:szCs w:val="28"/>
        </w:rPr>
        <w:instrText xml:space="preserve">、省人大办公厅办公用房修缮及基础设施改造资金（预内基建）绩效目标表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、通过数字监管信息化建设，提高办案水平。维护消费者合法权益</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、通过数字监管信息化建设，提升办事效率，更好地服务当地经济发展</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覆盖率</w:t>
            </w:r>
          </w:p>
        </w:tc>
        <w:tc>
          <w:tcPr>
            <w:tcW w:w="2891" w:type="dxa"/>
            <w:vAlign w:val="center"/>
          </w:tcPr>
          <w:p>
            <w:pPr>
              <w:rPr>
                <w:rFonts w:ascii="宋体" w:cs="Times New Roman"/>
                <w:sz w:val="18"/>
                <w:szCs w:val="18"/>
              </w:rPr>
            </w:pPr>
            <w:r>
              <w:rPr>
                <w:rFonts w:hint="eastAsia" w:cs="宋体"/>
                <w:sz w:val="18"/>
                <w:szCs w:val="18"/>
              </w:rPr>
              <w:t>全年各单位信息化建设覆盖情况</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完成率</w:t>
            </w:r>
          </w:p>
        </w:tc>
        <w:tc>
          <w:tcPr>
            <w:tcW w:w="2891" w:type="dxa"/>
            <w:vAlign w:val="center"/>
          </w:tcPr>
          <w:p>
            <w:pPr>
              <w:rPr>
                <w:rFonts w:ascii="宋体" w:cs="Times New Roman"/>
                <w:sz w:val="18"/>
                <w:szCs w:val="18"/>
              </w:rPr>
            </w:pPr>
            <w:r>
              <w:rPr>
                <w:rFonts w:hint="eastAsia" w:cs="宋体"/>
                <w:sz w:val="18"/>
                <w:szCs w:val="18"/>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案件办结率（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办结案件数量占立案案件总数的比率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ind w:firstLine="420" w:firstLineChars="200"/>
        <w:jc w:val="left"/>
        <w:rPr>
          <w:rFonts w:cs="Times New Roman"/>
        </w:rPr>
        <w:sectPr>
          <w:footerReference r:id="rId3" w:type="default"/>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rPr>
          <w:rFonts w:cs="Times New Roman"/>
        </w:rPr>
      </w:pPr>
    </w:p>
    <w:p>
      <w:pPr>
        <w:ind w:firstLine="560" w:firstLineChars="200"/>
        <w:jc w:val="left"/>
        <w:outlineLvl w:val="1"/>
        <w:rPr>
          <w:rFonts w:ascii="Times New Roman" w:hAnsi="宋体" w:cs="Times New Roman"/>
          <w:b/>
          <w:bCs/>
          <w:sz w:val="28"/>
          <w:szCs w:val="28"/>
        </w:rPr>
      </w:pPr>
      <w:r>
        <w:rPr>
          <w:rFonts w:hint="eastAsia" w:ascii="方正仿宋_GBK" w:eastAsia="方正仿宋_GBK" w:cs="方正仿宋_GBK"/>
          <w:b/>
          <w:bCs/>
          <w:sz w:val="28"/>
          <w:szCs w:val="28"/>
          <w:lang w:val="en-US" w:eastAsia="zh-CN"/>
        </w:rPr>
        <w:t>9</w:t>
      </w:r>
      <w:r>
        <w:rPr>
          <w:rFonts w:hint="eastAsia" w:ascii="方正仿宋_GBK" w:eastAsia="方正仿宋_GBK" w:cs="方正仿宋_GBK"/>
          <w:b/>
          <w:bCs/>
          <w:sz w:val="28"/>
          <w:szCs w:val="28"/>
        </w:rPr>
        <w:t>、轴承产品质量监督抽查资金绩效目标表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6" w:name="_Toc29484631"/>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bookmarkEnd w:id="6"/>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、加大轴承监管力度，提升监管水平，维护我县的市场秩序</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、提高轴承产品质量的监管力度，遏制质量违法行为，更加有效的保护消费者权益。</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违法企业查办及时率（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依法查处生产和经销假冒伪劣产品</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202</w:t>
            </w:r>
            <w:r>
              <w:rPr>
                <w:rFonts w:hint="eastAsia" w:ascii="方正书宋_GBK" w:eastAsia="方正书宋_GBK" w:cs="方正书宋_GBK"/>
                <w:lang w:val="en-US" w:eastAsia="zh-CN"/>
              </w:rPr>
              <w:t>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违法企业处理率（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处理违法企业数量占查办违法企业数量</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不合格轴承企业处理率（</w:t>
            </w:r>
            <w:r>
              <w:rPr>
                <w:sz w:val="18"/>
                <w:szCs w:val="18"/>
              </w:rPr>
              <w:t>%</w:t>
            </w:r>
            <w:r>
              <w:rPr>
                <w:rFonts w:hint="eastAsia" w:cs="宋体"/>
                <w:sz w:val="18"/>
                <w:szCs w:val="18"/>
              </w:rPr>
              <w:t>）</w:t>
            </w:r>
          </w:p>
        </w:tc>
        <w:tc>
          <w:tcPr>
            <w:tcW w:w="2891" w:type="dxa"/>
            <w:vAlign w:val="center"/>
          </w:tcPr>
          <w:p>
            <w:pPr>
              <w:rPr>
                <w:rFonts w:ascii="宋体" w:cs="Times New Roman"/>
                <w:sz w:val="18"/>
                <w:szCs w:val="18"/>
              </w:rPr>
            </w:pPr>
            <w:r>
              <w:rPr>
                <w:rFonts w:hint="eastAsia" w:cs="宋体"/>
                <w:sz w:val="18"/>
                <w:szCs w:val="18"/>
              </w:rPr>
              <w:t>反映不合格轴承企业处理完成情况</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ind w:firstLine="560" w:firstLineChars="200"/>
        <w:jc w:val="left"/>
        <w:outlineLvl w:val="1"/>
        <w:rPr>
          <w:rFonts w:ascii="Times New Roman" w:hAnsi="宋体" w:cs="Times New Roman"/>
          <w:b/>
          <w:bCs/>
          <w:sz w:val="28"/>
          <w:szCs w:val="28"/>
        </w:rPr>
      </w:pPr>
      <w:r>
        <w:rPr>
          <w:rFonts w:hint="eastAsia" w:ascii="方正仿宋_GBK" w:eastAsia="方正仿宋_GBK" w:cs="方正仿宋_GBK"/>
          <w:b/>
          <w:bCs/>
          <w:sz w:val="28"/>
          <w:szCs w:val="28"/>
          <w:lang w:val="en-US" w:eastAsia="zh-CN"/>
        </w:rPr>
        <w:t>10</w:t>
      </w:r>
      <w:r>
        <w:rPr>
          <w:rFonts w:hint="eastAsia" w:ascii="方正仿宋_GBK" w:eastAsia="方正仿宋_GBK" w:cs="方正仿宋_GBK"/>
          <w:b/>
          <w:bCs/>
          <w:sz w:val="28"/>
          <w:szCs w:val="28"/>
        </w:rPr>
        <w:t>、</w:t>
      </w:r>
      <w:r>
        <w:rPr>
          <w:rFonts w:hint="eastAsia" w:ascii="方正书宋_GBK" w:eastAsia="方正书宋_GBK" w:cs="方正书宋_GBK"/>
          <w:b/>
          <w:bCs/>
          <w:lang w:eastAsia="zh-CN"/>
        </w:rPr>
        <w:t>市场监督执法车辆购置资金绩效目标表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、为解决我局日常公务出行。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w:t>
            </w:r>
            <w:r>
              <w:rPr>
                <w:rFonts w:hint="eastAsia" w:ascii="方正书宋_GBK" w:eastAsia="方正书宋_GBK" w:cs="方正书宋_GBK"/>
                <w:lang w:eastAsia="zh-CN"/>
              </w:rPr>
              <w:t>保障我局执法工作</w:t>
            </w:r>
            <w:r>
              <w:rPr>
                <w:rFonts w:hint="eastAsia" w:ascii="方正书宋_GBK" w:eastAsia="方正书宋_GBK" w:cs="方正书宋_GBK"/>
              </w:rPr>
              <w:t>。</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rPr>
                <w:rFonts w:ascii="宋体" w:cs="Times New Roman"/>
                <w:sz w:val="18"/>
                <w:szCs w:val="18"/>
              </w:rPr>
            </w:pPr>
            <w:r>
              <w:rPr>
                <w:rFonts w:hint="eastAsia" w:cs="宋体"/>
                <w:sz w:val="18"/>
                <w:szCs w:val="18"/>
              </w:rPr>
              <w:t>新采购车辆数量</w:t>
            </w:r>
          </w:p>
        </w:tc>
        <w:tc>
          <w:tcPr>
            <w:tcW w:w="2891" w:type="dxa"/>
            <w:vAlign w:val="center"/>
          </w:tcPr>
          <w:p>
            <w:pPr>
              <w:rPr>
                <w:rFonts w:ascii="宋体" w:cs="Times New Roman"/>
                <w:sz w:val="18"/>
                <w:szCs w:val="18"/>
              </w:rPr>
            </w:pPr>
            <w:r>
              <w:rPr>
                <w:rFonts w:hint="eastAsia" w:cs="宋体"/>
                <w:sz w:val="18"/>
                <w:szCs w:val="18"/>
              </w:rPr>
              <w:t>新采购车辆数量</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购置完成时间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购置完成时间</w:t>
            </w:r>
          </w:p>
        </w:tc>
        <w:tc>
          <w:tcPr>
            <w:tcW w:w="1276" w:type="dxa"/>
            <w:vAlign w:val="center"/>
          </w:tcPr>
          <w:p>
            <w:pPr>
              <w:spacing w:line="300" w:lineRule="exact"/>
              <w:jc w:val="left"/>
              <w:rPr>
                <w:rFonts w:hint="eastAsia" w:ascii="方正书宋_GBK" w:eastAsia="方正书宋_GBK" w:cs="Times New Roman"/>
                <w:lang w:val="en-US" w:eastAsia="zh-CN"/>
              </w:rPr>
            </w:pPr>
            <w:r>
              <w:rPr>
                <w:rFonts w:hint="eastAsia" w:ascii="方正书宋_GBK" w:eastAsia="方正书宋_GBK" w:cs="Times New Roman"/>
                <w:lang w:val="en-US" w:eastAsia="zh-CN"/>
              </w:rPr>
              <w:t>2个月</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购置车辆合格率</w:t>
            </w:r>
          </w:p>
        </w:tc>
        <w:tc>
          <w:tcPr>
            <w:tcW w:w="2891" w:type="dxa"/>
            <w:vAlign w:val="center"/>
          </w:tcPr>
          <w:p>
            <w:pPr>
              <w:rPr>
                <w:rFonts w:ascii="宋体" w:cs="Times New Roman"/>
                <w:sz w:val="18"/>
                <w:szCs w:val="18"/>
              </w:rPr>
            </w:pPr>
            <w:r>
              <w:rPr>
                <w:rFonts w:hint="eastAsia" w:cs="宋体"/>
                <w:sz w:val="18"/>
                <w:szCs w:val="18"/>
              </w:rPr>
              <w:t>购置车辆质量合格率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lang w:val="en-US" w:eastAsia="zh-CN"/>
              </w:rPr>
              <w:t>100</w:t>
            </w:r>
            <w:r>
              <w:rPr>
                <w:rFonts w:ascii="方正书宋_GBK" w:eastAsia="方正书宋_GBK" w:cs="方正书宋_GBK"/>
              </w:rPr>
              <w:t>%</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确保公务用车正常运转情况</w:t>
            </w:r>
          </w:p>
        </w:tc>
        <w:tc>
          <w:tcPr>
            <w:tcW w:w="2891" w:type="dxa"/>
            <w:vAlign w:val="center"/>
          </w:tcPr>
          <w:p>
            <w:pPr>
              <w:rPr>
                <w:rFonts w:ascii="宋体" w:cs="Times New Roman"/>
                <w:sz w:val="18"/>
                <w:szCs w:val="18"/>
              </w:rPr>
            </w:pPr>
            <w:r>
              <w:rPr>
                <w:rFonts w:hint="eastAsia" w:cs="宋体"/>
                <w:sz w:val="18"/>
                <w:szCs w:val="18"/>
              </w:rPr>
              <w:t>确保公务用车正常运转情况</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w:t>
            </w:r>
            <w:r>
              <w:rPr>
                <w:rFonts w:hint="eastAsia" w:ascii="方正书宋_GBK" w:eastAsia="方正书宋_GBK" w:cs="方正书宋_GBK"/>
                <w:lang w:val="en-US" w:eastAsia="zh-CN"/>
              </w:rPr>
              <w:t>9</w:t>
            </w:r>
            <w:r>
              <w:rPr>
                <w:rFonts w:ascii="方正书宋_GBK" w:eastAsia="方正书宋_GBK" w:cs="方正书宋_GBK"/>
              </w:rPr>
              <w:t>%</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问卷调查</w:t>
            </w:r>
          </w:p>
        </w:tc>
      </w:tr>
    </w:tbl>
    <w:p>
      <w:pPr>
        <w:spacing w:line="300" w:lineRule="exact"/>
        <w:ind w:firstLine="420" w:firstLineChars="200"/>
        <w:jc w:val="left"/>
        <w:rPr>
          <w:rFonts w:cs="Times New Roman"/>
        </w:rPr>
        <w:sectPr>
          <w:pgSz w:w="11907" w:h="16839" w:orient="landscape"/>
          <w:pgMar w:top="1984" w:right="1304" w:bottom="1134" w:left="1304" w:header="851" w:footer="992" w:gutter="0"/>
          <w:cols w:space="720" w:num="1"/>
          <w:docGrid w:type="lines" w:linePitch="312" w:charSpace="0"/>
        </w:sectPr>
      </w:pPr>
    </w:p>
    <w:bookmarkEnd w:id="0"/>
    <w:p>
      <w:pPr>
        <w:ind w:firstLine="2801" w:firstLineChars="1000"/>
        <w:jc w:val="left"/>
        <w:outlineLvl w:val="1"/>
        <w:rPr>
          <w:rFonts w:ascii="Times New Roman" w:hAnsi="宋体" w:cs="Times New Roman"/>
          <w:b/>
          <w:bCs/>
          <w:sz w:val="28"/>
          <w:szCs w:val="28"/>
        </w:rPr>
      </w:pPr>
      <w:r>
        <w:rPr>
          <w:rFonts w:hint="eastAsia" w:ascii="方正仿宋_GBK" w:eastAsia="方正仿宋_GBK" w:cs="方正仿宋_GBK"/>
          <w:b/>
          <w:bCs/>
          <w:sz w:val="28"/>
          <w:szCs w:val="28"/>
          <w:lang w:val="en-US" w:eastAsia="zh-CN"/>
        </w:rPr>
        <w:t>11</w:t>
      </w:r>
      <w:r>
        <w:rPr>
          <w:rFonts w:hint="eastAsia" w:ascii="方正仿宋_GBK" w:eastAsia="方正仿宋_GBK" w:cs="方正仿宋_GBK"/>
          <w:b/>
          <w:bCs/>
          <w:sz w:val="28"/>
          <w:szCs w:val="28"/>
        </w:rPr>
        <w:t>、</w:t>
      </w:r>
      <w:r>
        <w:rPr>
          <w:rFonts w:hint="eastAsia" w:ascii="方正仿宋_GBK" w:eastAsia="方正仿宋_GBK" w:cs="方正仿宋_GBK"/>
          <w:b/>
          <w:bCs/>
          <w:sz w:val="28"/>
          <w:szCs w:val="28"/>
          <w:lang w:eastAsia="zh-CN"/>
        </w:rPr>
        <w:t>基层分所修缮资金绩效目标表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、河北省人民代表大会会议费绩效目标表</w:instrText>
      </w:r>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cs="方正书宋_GBK"/>
              </w:rPr>
            </w:pPr>
            <w:r>
              <w:rPr>
                <w:rFonts w:ascii="方正书宋_GBK" w:eastAsia="方正书宋_GBK" w:cs="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、为改善基层分局工作人员办公条件。</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w:t>
            </w:r>
            <w:r>
              <w:rPr>
                <w:rFonts w:hint="eastAsia" w:ascii="方正书宋_GBK" w:eastAsia="方正书宋_GBK" w:cs="方正书宋_GBK"/>
                <w:lang w:eastAsia="zh-CN"/>
              </w:rPr>
              <w:t>树立基层分局良好形象。</w:t>
            </w:r>
          </w:p>
        </w:tc>
      </w:tr>
    </w:tbl>
    <w:p>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jc w:val="left"/>
              <w:rPr>
                <w:rFonts w:ascii="宋体" w:cs="Times New Roman"/>
                <w:sz w:val="18"/>
                <w:szCs w:val="18"/>
              </w:rPr>
            </w:pPr>
            <w:r>
              <w:rPr>
                <w:rFonts w:hint="eastAsia" w:cs="宋体"/>
                <w:sz w:val="18"/>
                <w:szCs w:val="18"/>
              </w:rPr>
              <w:t>房屋维修</w:t>
            </w:r>
          </w:p>
        </w:tc>
        <w:tc>
          <w:tcPr>
            <w:tcW w:w="2891" w:type="dxa"/>
            <w:vAlign w:val="center"/>
          </w:tcPr>
          <w:p>
            <w:pPr>
              <w:jc w:val="left"/>
              <w:rPr>
                <w:rFonts w:ascii="宋体" w:cs="Times New Roman"/>
                <w:sz w:val="18"/>
                <w:szCs w:val="18"/>
              </w:rPr>
            </w:pPr>
            <w:r>
              <w:rPr>
                <w:rFonts w:hint="eastAsia" w:cs="宋体"/>
                <w:sz w:val="18"/>
                <w:szCs w:val="18"/>
              </w:rPr>
              <w:t>房屋维修</w:t>
            </w:r>
          </w:p>
        </w:tc>
        <w:tc>
          <w:tcPr>
            <w:tcW w:w="1276" w:type="dxa"/>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局党组会议纪要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按时完成率</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房屋维修按时完成率</w:t>
            </w:r>
          </w:p>
        </w:tc>
        <w:tc>
          <w:tcPr>
            <w:tcW w:w="1276" w:type="dxa"/>
            <w:vAlign w:val="center"/>
          </w:tcPr>
          <w:p>
            <w:pPr>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100%</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rPr>
                <w:rFonts w:ascii="宋体" w:cs="Times New Roman"/>
                <w:sz w:val="18"/>
                <w:szCs w:val="18"/>
              </w:rPr>
            </w:pPr>
            <w:r>
              <w:rPr>
                <w:rFonts w:hint="eastAsia" w:cs="宋体"/>
                <w:sz w:val="18"/>
                <w:szCs w:val="18"/>
              </w:rPr>
              <w:t>验收合格率</w:t>
            </w:r>
          </w:p>
        </w:tc>
        <w:tc>
          <w:tcPr>
            <w:tcW w:w="2891" w:type="dxa"/>
            <w:vAlign w:val="center"/>
          </w:tcPr>
          <w:p>
            <w:pPr>
              <w:rPr>
                <w:rFonts w:ascii="宋体" w:cs="Times New Roman"/>
                <w:sz w:val="18"/>
                <w:szCs w:val="18"/>
              </w:rPr>
            </w:pPr>
            <w:r>
              <w:rPr>
                <w:rFonts w:hint="eastAsia" w:cs="宋体"/>
                <w:sz w:val="18"/>
                <w:szCs w:val="18"/>
              </w:rPr>
              <w:t>维修验收合格率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lang w:val="en-US" w:eastAsia="zh-CN"/>
              </w:rPr>
              <w:t>100</w:t>
            </w:r>
            <w:r>
              <w:rPr>
                <w:rFonts w:ascii="方正书宋_GBK" w:eastAsia="方正书宋_GBK" w:cs="方正书宋_GBK"/>
              </w:rPr>
              <w:t>%</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rPr>
                <w:rFonts w:ascii="宋体" w:cs="Times New Roman"/>
                <w:sz w:val="18"/>
                <w:szCs w:val="18"/>
              </w:rPr>
            </w:pPr>
            <w:r>
              <w:rPr>
                <w:rFonts w:hint="eastAsia" w:cs="宋体"/>
                <w:sz w:val="18"/>
                <w:szCs w:val="18"/>
              </w:rPr>
              <w:t>环境改善情况</w:t>
            </w:r>
          </w:p>
        </w:tc>
        <w:tc>
          <w:tcPr>
            <w:tcW w:w="2891" w:type="dxa"/>
            <w:vAlign w:val="center"/>
          </w:tcPr>
          <w:p>
            <w:pPr>
              <w:rPr>
                <w:rFonts w:ascii="宋体" w:cs="Times New Roman"/>
                <w:sz w:val="18"/>
                <w:szCs w:val="18"/>
              </w:rPr>
            </w:pPr>
            <w:r>
              <w:rPr>
                <w:rFonts w:hint="eastAsia" w:cs="宋体"/>
                <w:sz w:val="18"/>
                <w:szCs w:val="18"/>
              </w:rPr>
              <w:t>环境改善情况</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w:t>
            </w:r>
            <w:r>
              <w:rPr>
                <w:rFonts w:hint="eastAsia" w:ascii="方正书宋_GBK" w:eastAsia="方正书宋_GBK" w:cs="方正书宋_GBK"/>
                <w:lang w:val="en-US" w:eastAsia="zh-CN"/>
              </w:rPr>
              <w:t>9</w:t>
            </w:r>
            <w:r>
              <w:rPr>
                <w:rFonts w:ascii="方正书宋_GBK" w:eastAsia="方正书宋_GBK" w:cs="方正书宋_GBK"/>
              </w:rPr>
              <w:t>%</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jc w:val="left"/>
              <w:rPr>
                <w:rFonts w:ascii="宋体" w:cs="Times New Roman"/>
                <w:sz w:val="18"/>
                <w:szCs w:val="18"/>
              </w:rPr>
            </w:pPr>
            <w:r>
              <w:rPr>
                <w:rFonts w:hint="eastAsia" w:cs="宋体"/>
                <w:sz w:val="18"/>
                <w:szCs w:val="18"/>
              </w:rPr>
              <w:t>群众满意度</w:t>
            </w:r>
          </w:p>
          <w:p>
            <w:pPr>
              <w:spacing w:line="300" w:lineRule="exact"/>
              <w:jc w:val="left"/>
              <w:rPr>
                <w:rFonts w:ascii="方正书宋_GBK" w:eastAsia="方正书宋_GBK" w:cs="Times New Roman"/>
              </w:rPr>
            </w:pPr>
          </w:p>
        </w:tc>
        <w:tc>
          <w:tcPr>
            <w:tcW w:w="2891" w:type="dxa"/>
            <w:vAlign w:val="center"/>
          </w:tcPr>
          <w:p>
            <w:pPr>
              <w:jc w:val="left"/>
              <w:rPr>
                <w:rFonts w:ascii="宋体" w:cs="Times New Roman"/>
                <w:sz w:val="18"/>
                <w:szCs w:val="18"/>
              </w:rPr>
            </w:pPr>
            <w:r>
              <w:rPr>
                <w:rFonts w:hint="eastAsia" w:cs="宋体"/>
                <w:sz w:val="18"/>
                <w:szCs w:val="18"/>
              </w:rPr>
              <w:t>通过问卷调查等方式测定群众的满意程度</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问卷调查</w:t>
            </w:r>
          </w:p>
        </w:tc>
      </w:tr>
    </w:tbl>
    <w:p>
      <w:pPr>
        <w:autoSpaceDE w:val="0"/>
        <w:autoSpaceDN w:val="0"/>
        <w:adjustRightInd w:val="0"/>
        <w:ind w:firstLine="960" w:firstLineChars="300"/>
        <w:jc w:val="left"/>
        <w:rPr>
          <w:rFonts w:hint="eastAsia" w:ascii="黑体" w:hAnsi="黑体" w:eastAsia="黑体" w:cs="黑体"/>
          <w:sz w:val="32"/>
          <w:szCs w:val="32"/>
        </w:rPr>
        <w:sectPr>
          <w:footerReference r:id="rId4" w:type="default"/>
          <w:pgSz w:w="11905" w:h="16838"/>
          <w:pgMar w:top="1020" w:right="1361" w:bottom="1020" w:left="1361" w:header="851" w:footer="992" w:gutter="0"/>
          <w:cols w:space="0" w:num="1"/>
          <w:rtlGutter w:val="0"/>
          <w:docGrid w:type="lines" w:linePitch="315"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7"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仿宋"/>
          <w:sz w:val="32"/>
          <w:szCs w:val="32"/>
          <w:lang w:val="en-US" w:eastAsia="zh-CN"/>
        </w:rPr>
        <w:t>260</w:t>
      </w:r>
      <w:r>
        <w:rPr>
          <w:rFonts w:hint="eastAsia" w:ascii="Times New Roman" w:hAnsi="Times New Roman" w:eastAsia="仿宋" w:cs="仿宋"/>
          <w:sz w:val="32"/>
          <w:szCs w:val="32"/>
        </w:rPr>
        <w:t>万元。具体内容见下表。</w:t>
      </w:r>
      <w:bookmarkEnd w:id="7"/>
    </w:p>
    <w:p>
      <w:pPr>
        <w:ind w:firstLine="640" w:firstLineChars="200"/>
        <w:jc w:val="center"/>
        <w:outlineLvl w:val="0"/>
        <w:rPr>
          <w:rFonts w:ascii="Times New Roman" w:hAnsi="宋体" w:cs="Times New Roman"/>
          <w:sz w:val="32"/>
          <w:szCs w:val="32"/>
        </w:rPr>
      </w:pPr>
      <w:r>
        <w:rPr>
          <w:rFonts w:hint="eastAsia" w:ascii="方正小标宋_GBK" w:eastAsia="方正小标宋_GBK" w:cs="方正小标宋_GBK"/>
          <w:sz w:val="32"/>
          <w:szCs w:val="32"/>
        </w:rPr>
        <w:t>部门政府采购预算</w:t>
      </w:r>
      <w:r>
        <w:rPr>
          <w:rFonts w:ascii="方正小标宋_GBK" w:eastAsia="方正小标宋_GBK" w:cs="方正小标宋_GBK"/>
          <w:sz w:val="32"/>
          <w:szCs w:val="32"/>
        </w:rPr>
        <w:fldChar w:fldCharType="begin"/>
      </w:r>
      <w:r>
        <w:rPr>
          <w:rFonts w:ascii="方正小标宋_GBK" w:eastAsia="方正小标宋_GBK" w:cs="Times New Roman"/>
          <w:sz w:val="32"/>
          <w:szCs w:val="32"/>
        </w:rPr>
        <w:instrText xml:space="preserve">tc "</w:instrText>
      </w:r>
      <w:bookmarkStart w:id="8" w:name="_Toc28848395"/>
      <w:r>
        <w:rPr>
          <w:rFonts w:hint="eastAsia" w:ascii="方正小标宋_GBK" w:eastAsia="方正小标宋_GBK" w:cs="方正小标宋_GBK"/>
          <w:sz w:val="32"/>
          <w:szCs w:val="32"/>
        </w:rPr>
        <w:instrText xml:space="preserve">部门政府采购预算</w:instrText>
      </w:r>
      <w:bookmarkEnd w:id="8"/>
      <w:r>
        <w:rPr>
          <w:rFonts w:ascii="方正小标宋_GBK" w:eastAsia="方正小标宋_GBK" w:cs="Times New Roman"/>
          <w:sz w:val="32"/>
          <w:szCs w:val="32"/>
        </w:rPr>
        <w:instrText xml:space="preserve">" \f A \l 0</w:instrText>
      </w:r>
      <w:r>
        <w:rPr>
          <w:rFonts w:ascii="方正小标宋_GBK" w:eastAsia="方正小标宋_GBK" w:cs="方正小标宋_GBK"/>
          <w:sz w:val="32"/>
          <w:szCs w:val="32"/>
        </w:rPr>
        <w:instrText xml:space="preserve">001</w:instrText>
      </w:r>
      <w:r>
        <w:rPr>
          <w:rFonts w:ascii="方正小标宋_GBK" w:eastAsia="方正小标宋_GBK" w:cs="方正小标宋_GBK"/>
          <w:sz w:val="32"/>
          <w:szCs w:val="32"/>
        </w:rPr>
        <w:fldChar w:fldCharType="end"/>
      </w:r>
    </w:p>
    <w:tbl>
      <w:tblPr>
        <w:tblStyle w:val="7"/>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998"/>
        <w:gridCol w:w="780"/>
        <w:gridCol w:w="774"/>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450</w:t>
            </w:r>
            <w:r>
              <w:rPr>
                <w:rFonts w:hint="eastAsia" w:ascii="方正小标宋_GBK" w:eastAsia="方正小标宋_GBK" w:cs="方正小标宋_GBK"/>
                <w:sz w:val="24"/>
                <w:szCs w:val="24"/>
              </w:rPr>
              <w:t>馆陶县市场监督管理局</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5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9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7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585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310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59" w:type="dxa"/>
            <w:vMerge w:val="continue"/>
            <w:vAlign w:val="center"/>
          </w:tcPr>
          <w:p>
            <w:pPr>
              <w:spacing w:line="300" w:lineRule="exact"/>
              <w:jc w:val="left"/>
              <w:outlineLvl w:val="0"/>
              <w:rPr>
                <w:rFonts w:ascii="Times New Roman" w:eastAsia="方正仿宋_GBK" w:cs="Times New Roman"/>
                <w:sz w:val="28"/>
                <w:szCs w:val="28"/>
              </w:rPr>
            </w:pPr>
          </w:p>
        </w:tc>
        <w:tc>
          <w:tcPr>
            <w:tcW w:w="1417" w:type="dxa"/>
            <w:vMerge w:val="continue"/>
            <w:vAlign w:val="center"/>
          </w:tcPr>
          <w:p>
            <w:pPr>
              <w:spacing w:line="300" w:lineRule="exact"/>
              <w:jc w:val="left"/>
              <w:outlineLvl w:val="0"/>
              <w:rPr>
                <w:rFonts w:ascii="Times New Roman" w:eastAsia="方正仿宋_GBK" w:cs="Times New Roman"/>
                <w:sz w:val="28"/>
                <w:szCs w:val="28"/>
              </w:rPr>
            </w:pPr>
          </w:p>
        </w:tc>
        <w:tc>
          <w:tcPr>
            <w:tcW w:w="998" w:type="dxa"/>
            <w:vMerge w:val="continue"/>
            <w:vAlign w:val="center"/>
          </w:tcPr>
          <w:p>
            <w:pPr>
              <w:spacing w:line="300" w:lineRule="exact"/>
              <w:jc w:val="left"/>
              <w:outlineLvl w:val="0"/>
              <w:rPr>
                <w:rFonts w:ascii="Times New Roman" w:eastAsia="方正仿宋_GBK" w:cs="Times New Roman"/>
                <w:sz w:val="28"/>
                <w:szCs w:val="28"/>
              </w:rPr>
            </w:pPr>
          </w:p>
        </w:tc>
        <w:tc>
          <w:tcPr>
            <w:tcW w:w="780" w:type="dxa"/>
            <w:vMerge w:val="continue"/>
            <w:vAlign w:val="center"/>
          </w:tcPr>
          <w:p>
            <w:pPr>
              <w:spacing w:line="300" w:lineRule="exact"/>
              <w:jc w:val="left"/>
              <w:outlineLvl w:val="0"/>
              <w:rPr>
                <w:rFonts w:ascii="Times New Roman" w:eastAsia="方正仿宋_GBK" w:cs="Times New Roman"/>
                <w:sz w:val="28"/>
                <w:szCs w:val="28"/>
              </w:rPr>
            </w:pPr>
          </w:p>
        </w:tc>
        <w:tc>
          <w:tcPr>
            <w:tcW w:w="774" w:type="dxa"/>
            <w:vMerge w:val="continue"/>
            <w:vAlign w:val="center"/>
          </w:tcPr>
          <w:p>
            <w:pPr>
              <w:spacing w:line="300" w:lineRule="exact"/>
              <w:jc w:val="left"/>
              <w:outlineLvl w:val="0"/>
              <w:rPr>
                <w:rFonts w:ascii="Times New Roman" w:eastAsia="方正仿宋_GBK" w:cs="Times New Roman"/>
                <w:sz w:val="28"/>
                <w:szCs w:val="28"/>
              </w:rPr>
            </w:pP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9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9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85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9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lang w:eastAsia="zh-CN"/>
              </w:rPr>
              <w:t>市场监督执法车辆购置</w:t>
            </w:r>
          </w:p>
        </w:tc>
        <w:tc>
          <w:tcPr>
            <w:tcW w:w="113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30</w:t>
            </w:r>
          </w:p>
        </w:tc>
        <w:tc>
          <w:tcPr>
            <w:tcW w:w="1559"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轿车</w:t>
            </w:r>
          </w:p>
        </w:tc>
        <w:tc>
          <w:tcPr>
            <w:tcW w:w="1417"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A02030501</w:t>
            </w:r>
          </w:p>
        </w:tc>
        <w:tc>
          <w:tcPr>
            <w:tcW w:w="998"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辆</w:t>
            </w:r>
          </w:p>
        </w:tc>
        <w:tc>
          <w:tcPr>
            <w:tcW w:w="780" w:type="dxa"/>
            <w:vAlign w:val="center"/>
          </w:tcPr>
          <w:p>
            <w:pPr>
              <w:spacing w:line="300" w:lineRule="exact"/>
              <w:jc w:val="center"/>
              <w:rPr>
                <w:rFonts w:hint="eastAsia" w:ascii="方正书宋_GBK" w:eastAsia="方正书宋_GBK" w:cs="Times New Roman"/>
                <w:b/>
                <w:bCs/>
                <w:lang w:val="en-US" w:eastAsia="zh-CN"/>
              </w:rPr>
            </w:pPr>
            <w:r>
              <w:rPr>
                <w:rFonts w:hint="eastAsia" w:ascii="方正书宋_GBK" w:eastAsia="方正书宋_GBK" w:cs="Times New Roman"/>
                <w:b/>
                <w:bCs/>
                <w:lang w:val="en-US" w:eastAsia="zh-CN"/>
              </w:rPr>
              <w:t>2</w:t>
            </w:r>
          </w:p>
        </w:tc>
        <w:tc>
          <w:tcPr>
            <w:tcW w:w="77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15</w:t>
            </w:r>
          </w:p>
        </w:tc>
        <w:tc>
          <w:tcPr>
            <w:tcW w:w="992" w:type="dxa"/>
            <w:vAlign w:val="center"/>
          </w:tcPr>
          <w:p>
            <w:pPr>
              <w:adjustRightInd w:val="0"/>
              <w:snapToGrid w:val="0"/>
              <w:jc w:val="center"/>
              <w:rPr>
                <w:rFonts w:hint="default" w:ascii="方正书宋_GBK" w:hAnsi="宋体" w:eastAsia="方正书宋_GBK" w:cs="Times New Roman"/>
                <w:b/>
                <w:bCs/>
                <w:color w:val="000000"/>
                <w:lang w:val="en-US" w:eastAsia="zh-CN"/>
              </w:rPr>
            </w:pPr>
            <w:r>
              <w:rPr>
                <w:rFonts w:hint="eastAsia" w:ascii="方正书宋_GBK" w:hAnsi="宋体" w:eastAsia="方正书宋_GBK" w:cs="Times New Roman"/>
                <w:b/>
                <w:bCs/>
                <w:color w:val="000000"/>
                <w:lang w:val="en-US" w:eastAsia="zh-CN"/>
              </w:rPr>
              <w:t>30</w:t>
            </w:r>
          </w:p>
        </w:tc>
        <w:tc>
          <w:tcPr>
            <w:tcW w:w="992" w:type="dxa"/>
            <w:vAlign w:val="center"/>
          </w:tcPr>
          <w:p>
            <w:pPr>
              <w:adjustRightInd w:val="0"/>
              <w:snapToGrid w:val="0"/>
              <w:jc w:val="center"/>
              <w:rPr>
                <w:rFonts w:hint="default" w:ascii="方正书宋_GBK" w:hAnsi="宋体" w:eastAsia="方正书宋_GBK" w:cs="Times New Roman"/>
                <w:b/>
                <w:bCs/>
                <w:color w:val="000000"/>
                <w:lang w:val="en-US" w:eastAsia="zh-CN"/>
              </w:rPr>
            </w:pPr>
            <w:r>
              <w:rPr>
                <w:rFonts w:hint="eastAsia" w:ascii="方正书宋_GBK" w:hAnsi="宋体" w:eastAsia="方正书宋_GBK" w:cs="Times New Roman"/>
                <w:b/>
                <w:bCs/>
                <w:color w:val="000000"/>
                <w:lang w:val="en-US" w:eastAsia="zh-CN"/>
              </w:rPr>
              <w:t>30</w:t>
            </w:r>
          </w:p>
        </w:tc>
        <w:tc>
          <w:tcPr>
            <w:tcW w:w="993"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893"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hint="eastAsia" w:ascii="方正书宋_GBK" w:eastAsia="方正书宋_GBK" w:cs="方正书宋_GBK"/>
                <w:b/>
                <w:bCs/>
                <w:lang w:eastAsia="zh-CN"/>
              </w:rPr>
            </w:pPr>
            <w:r>
              <w:rPr>
                <w:rFonts w:hint="eastAsia" w:ascii="方正书宋_GBK" w:eastAsia="方正书宋_GBK" w:cs="方正书宋_GBK"/>
                <w:b/>
                <w:bCs/>
                <w:lang w:eastAsia="zh-CN"/>
              </w:rPr>
              <w:t>市场监督执法车辆购置</w:t>
            </w:r>
          </w:p>
        </w:tc>
        <w:tc>
          <w:tcPr>
            <w:tcW w:w="113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90</w:t>
            </w:r>
          </w:p>
        </w:tc>
        <w:tc>
          <w:tcPr>
            <w:tcW w:w="1559"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皮卡</w:t>
            </w:r>
          </w:p>
        </w:tc>
        <w:tc>
          <w:tcPr>
            <w:tcW w:w="1417"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A02030599</w:t>
            </w:r>
          </w:p>
        </w:tc>
        <w:tc>
          <w:tcPr>
            <w:tcW w:w="998"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辆</w:t>
            </w:r>
          </w:p>
        </w:tc>
        <w:tc>
          <w:tcPr>
            <w:tcW w:w="780" w:type="dxa"/>
            <w:vAlign w:val="center"/>
          </w:tcPr>
          <w:p>
            <w:pPr>
              <w:spacing w:line="300" w:lineRule="exact"/>
              <w:jc w:val="center"/>
              <w:rPr>
                <w:rFonts w:hint="eastAsia" w:ascii="方正书宋_GBK" w:eastAsia="方正书宋_GBK" w:cs="Times New Roman"/>
                <w:b/>
                <w:bCs/>
                <w:lang w:val="en-US" w:eastAsia="zh-CN"/>
              </w:rPr>
            </w:pPr>
            <w:r>
              <w:rPr>
                <w:rFonts w:hint="eastAsia" w:ascii="方正书宋_GBK" w:eastAsia="方正书宋_GBK" w:cs="Times New Roman"/>
                <w:b/>
                <w:bCs/>
                <w:lang w:val="en-US" w:eastAsia="zh-CN"/>
              </w:rPr>
              <w:t>6</w:t>
            </w:r>
          </w:p>
        </w:tc>
        <w:tc>
          <w:tcPr>
            <w:tcW w:w="77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15</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90</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90</w:t>
            </w:r>
          </w:p>
        </w:tc>
        <w:tc>
          <w:tcPr>
            <w:tcW w:w="993"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893"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eastAsia="zh-CN"/>
              </w:rPr>
              <w:t>基层分所大型修缮</w:t>
            </w:r>
          </w:p>
        </w:tc>
        <w:tc>
          <w:tcPr>
            <w:tcW w:w="113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80</w:t>
            </w:r>
          </w:p>
        </w:tc>
        <w:tc>
          <w:tcPr>
            <w:tcW w:w="1559"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房屋修缮</w:t>
            </w:r>
          </w:p>
        </w:tc>
        <w:tc>
          <w:tcPr>
            <w:tcW w:w="1417"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B0801</w:t>
            </w:r>
          </w:p>
        </w:tc>
        <w:tc>
          <w:tcPr>
            <w:tcW w:w="998"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平方米</w:t>
            </w:r>
          </w:p>
        </w:tc>
        <w:tc>
          <w:tcPr>
            <w:tcW w:w="780" w:type="dxa"/>
            <w:vAlign w:val="center"/>
          </w:tcPr>
          <w:p>
            <w:pPr>
              <w:spacing w:line="300" w:lineRule="exact"/>
              <w:jc w:val="both"/>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4000</w:t>
            </w:r>
          </w:p>
        </w:tc>
        <w:tc>
          <w:tcPr>
            <w:tcW w:w="77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200</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80</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80</w:t>
            </w:r>
          </w:p>
        </w:tc>
        <w:tc>
          <w:tcPr>
            <w:tcW w:w="993"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893"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hint="eastAsia" w:ascii="方正书宋_GBK" w:eastAsia="方正书宋_GBK" w:cs="方正书宋_GBK"/>
                <w:b/>
                <w:bCs/>
                <w:lang w:eastAsia="zh-CN"/>
              </w:rPr>
            </w:pPr>
            <w:r>
              <w:rPr>
                <w:rFonts w:hint="eastAsia" w:ascii="方正书宋_GBK" w:eastAsia="方正书宋_GBK" w:cs="方正书宋_GBK"/>
                <w:b/>
                <w:bCs/>
                <w:lang w:eastAsia="zh-CN"/>
              </w:rPr>
              <w:t>食品、药品、成品油、煤炭检测</w:t>
            </w:r>
          </w:p>
        </w:tc>
        <w:tc>
          <w:tcPr>
            <w:tcW w:w="113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60</w:t>
            </w:r>
          </w:p>
        </w:tc>
        <w:tc>
          <w:tcPr>
            <w:tcW w:w="1559"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其他食品</w:t>
            </w:r>
          </w:p>
        </w:tc>
        <w:tc>
          <w:tcPr>
            <w:tcW w:w="1417"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A150299</w:t>
            </w:r>
          </w:p>
        </w:tc>
        <w:tc>
          <w:tcPr>
            <w:tcW w:w="998" w:type="dxa"/>
            <w:vAlign w:val="center"/>
          </w:tcPr>
          <w:p>
            <w:pPr>
              <w:spacing w:line="300" w:lineRule="exact"/>
              <w:jc w:val="center"/>
              <w:rPr>
                <w:rFonts w:hint="eastAsia" w:ascii="方正书宋_GBK" w:eastAsia="方正书宋_GBK" w:cs="Times New Roman"/>
                <w:b/>
                <w:bCs/>
                <w:lang w:eastAsia="zh-CN"/>
              </w:rPr>
            </w:pPr>
            <w:r>
              <w:rPr>
                <w:rFonts w:hint="eastAsia" w:ascii="方正书宋_GBK" w:eastAsia="方正书宋_GBK" w:cs="Times New Roman"/>
                <w:b/>
                <w:bCs/>
                <w:lang w:eastAsia="zh-CN"/>
              </w:rPr>
              <w:t>次</w:t>
            </w:r>
          </w:p>
        </w:tc>
        <w:tc>
          <w:tcPr>
            <w:tcW w:w="780"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1200</w:t>
            </w:r>
          </w:p>
        </w:tc>
        <w:tc>
          <w:tcPr>
            <w:tcW w:w="774" w:type="dxa"/>
            <w:vAlign w:val="center"/>
          </w:tcPr>
          <w:p>
            <w:pPr>
              <w:spacing w:line="300" w:lineRule="exact"/>
              <w:jc w:val="center"/>
              <w:rPr>
                <w:rFonts w:hint="default" w:ascii="方正书宋_GBK" w:eastAsia="方正书宋_GBK" w:cs="Times New Roman"/>
                <w:b/>
                <w:bCs/>
                <w:lang w:val="en-US" w:eastAsia="zh-CN"/>
              </w:rPr>
            </w:pPr>
            <w:r>
              <w:rPr>
                <w:rFonts w:hint="eastAsia" w:ascii="方正书宋_GBK" w:eastAsia="方正书宋_GBK" w:cs="Times New Roman"/>
                <w:b/>
                <w:bCs/>
                <w:lang w:val="en-US" w:eastAsia="zh-CN"/>
              </w:rPr>
              <w:t>500</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60</w:t>
            </w:r>
          </w:p>
        </w:tc>
        <w:tc>
          <w:tcPr>
            <w:tcW w:w="992" w:type="dxa"/>
            <w:vAlign w:val="center"/>
          </w:tcPr>
          <w:p>
            <w:pPr>
              <w:adjustRightInd w:val="0"/>
              <w:snapToGrid w:val="0"/>
              <w:jc w:val="center"/>
              <w:rPr>
                <w:rFonts w:hint="default" w:ascii="方正书宋_GBK" w:eastAsia="方正书宋_GBK" w:cs="方正书宋_GBK"/>
                <w:b/>
                <w:bCs/>
                <w:color w:val="000000"/>
                <w:lang w:val="en-US" w:eastAsia="zh-CN"/>
              </w:rPr>
            </w:pPr>
            <w:r>
              <w:rPr>
                <w:rFonts w:hint="eastAsia" w:ascii="方正书宋_GBK" w:eastAsia="方正书宋_GBK" w:cs="方正书宋_GBK"/>
                <w:b/>
                <w:bCs/>
                <w:color w:val="000000"/>
                <w:lang w:val="en-US" w:eastAsia="zh-CN"/>
              </w:rPr>
              <w:t>60</w:t>
            </w:r>
          </w:p>
        </w:tc>
        <w:tc>
          <w:tcPr>
            <w:tcW w:w="993" w:type="dxa"/>
            <w:vAlign w:val="center"/>
          </w:tcPr>
          <w:p>
            <w:pPr>
              <w:spacing w:line="300" w:lineRule="exact"/>
              <w:jc w:val="center"/>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850" w:type="dxa"/>
            <w:vAlign w:val="center"/>
          </w:tcPr>
          <w:p>
            <w:pPr>
              <w:spacing w:line="300" w:lineRule="exact"/>
              <w:jc w:val="right"/>
              <w:rPr>
                <w:rFonts w:ascii="方正书宋_GBK" w:eastAsia="方正书宋_GBK" w:cs="Times New Roman"/>
                <w:b/>
                <w:bCs/>
              </w:rPr>
            </w:pPr>
          </w:p>
        </w:tc>
        <w:tc>
          <w:tcPr>
            <w:tcW w:w="893" w:type="dxa"/>
            <w:vAlign w:val="center"/>
          </w:tcPr>
          <w:p>
            <w:pPr>
              <w:spacing w:line="300" w:lineRule="exact"/>
              <w:jc w:val="right"/>
              <w:rPr>
                <w:rFonts w:ascii="方正书宋_GBK" w:eastAsia="方正书宋_GBK" w:cs="Times New Roman"/>
                <w:b/>
                <w:bCs/>
              </w:rPr>
            </w:pPr>
          </w:p>
        </w:tc>
      </w:tr>
    </w:tbl>
    <w:p>
      <w:pPr>
        <w:spacing w:line="300" w:lineRule="exact"/>
        <w:ind w:firstLine="420" w:firstLineChars="200"/>
        <w:jc w:val="left"/>
        <w:outlineLvl w:val="0"/>
        <w:rPr>
          <w:rFonts w:cs="Times New Roman"/>
        </w:rPr>
        <w:sectPr>
          <w:pgSz w:w="16838" w:h="11905" w:orient="landscape"/>
          <w:pgMar w:top="1361" w:right="1020" w:bottom="1361" w:left="1020" w:header="851" w:footer="992" w:gutter="0"/>
          <w:cols w:space="0" w:num="1"/>
          <w:rtlGutter w:val="0"/>
          <w:docGrid w:type="lines" w:linePitch="316"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仿宋"/>
          <w:color w:val="000000"/>
          <w:sz w:val="32"/>
          <w:szCs w:val="32"/>
        </w:rPr>
        <w:t>馆陶县市场监督管理局</w:t>
      </w:r>
      <w:r>
        <w:rPr>
          <w:rFonts w:ascii="Times New Roman" w:hAnsi="Times New Roman" w:eastAsia="仿宋" w:cs="Times New Roman"/>
          <w:color w:val="000000"/>
          <w:sz w:val="32"/>
          <w:szCs w:val="32"/>
        </w:rPr>
        <w:t>20</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仿宋"/>
          <w:color w:val="000000"/>
          <w:sz w:val="32"/>
          <w:szCs w:val="32"/>
          <w:lang w:val="en-US" w:eastAsia="zh-CN"/>
        </w:rPr>
        <w:t>1245.81</w:t>
      </w:r>
      <w:r>
        <w:rPr>
          <w:rFonts w:hint="eastAsia" w:ascii="Times New Roman" w:hAnsi="Times New Roman" w:eastAsia="仿宋" w:cs="仿宋"/>
          <w:color w:val="000000"/>
          <w:sz w:val="32"/>
          <w:szCs w:val="32"/>
        </w:rPr>
        <w:t>万元（详见下表），主要为计算机、一体机、空调、打印机、投影仪、办公家具等，已列入政府采购预算表，详见政府采购预算表。</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编制部门：馆陶县市场监督管理局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仿宋"/>
                <w:kern w:val="0"/>
                <w:sz w:val="22"/>
                <w:szCs w:val="22"/>
                <w:lang w:val="en-US" w:eastAsia="zh-CN"/>
              </w:rPr>
              <w:t>2020</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1245.81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14858.71</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432.94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仿宋" w:cs="Times New Roman"/>
                <w:kern w:val="0"/>
                <w:sz w:val="22"/>
                <w:szCs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20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180.96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631.91</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仿宋"/>
          <w:sz w:val="32"/>
          <w:szCs w:val="32"/>
        </w:rPr>
        <w:t>、“三公”经费：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仿宋"/>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仿宋"/>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5" w:orient="landscape"/>
      <w:pgMar w:top="1361" w:right="1020" w:bottom="1361"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宋体-方正超大字符集">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22</w:t>
    </w:r>
    <w:r>
      <w:rPr>
        <w:rStyle w:val="1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50EC"/>
    <w:multiLevelType w:val="singleLevel"/>
    <w:tmpl w:val="815250EC"/>
    <w:lvl w:ilvl="0" w:tentative="0">
      <w:start w:val="18"/>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EE71BA"/>
    <w:rsid w:val="000240F0"/>
    <w:rsid w:val="00085792"/>
    <w:rsid w:val="00096ABE"/>
    <w:rsid w:val="000C7140"/>
    <w:rsid w:val="00133FBB"/>
    <w:rsid w:val="00177FC0"/>
    <w:rsid w:val="00191783"/>
    <w:rsid w:val="0021674B"/>
    <w:rsid w:val="0022129F"/>
    <w:rsid w:val="002903BA"/>
    <w:rsid w:val="0029333C"/>
    <w:rsid w:val="00322F92"/>
    <w:rsid w:val="00323B29"/>
    <w:rsid w:val="00332D6D"/>
    <w:rsid w:val="0039059E"/>
    <w:rsid w:val="003F092D"/>
    <w:rsid w:val="00486D4B"/>
    <w:rsid w:val="005100E1"/>
    <w:rsid w:val="00547124"/>
    <w:rsid w:val="00573B55"/>
    <w:rsid w:val="005A6652"/>
    <w:rsid w:val="005C6A63"/>
    <w:rsid w:val="00637075"/>
    <w:rsid w:val="00694B25"/>
    <w:rsid w:val="006B07D9"/>
    <w:rsid w:val="00721A4F"/>
    <w:rsid w:val="00787E33"/>
    <w:rsid w:val="007B7649"/>
    <w:rsid w:val="007C02E5"/>
    <w:rsid w:val="007C6716"/>
    <w:rsid w:val="007F0341"/>
    <w:rsid w:val="007F041E"/>
    <w:rsid w:val="007F13C0"/>
    <w:rsid w:val="00834EF2"/>
    <w:rsid w:val="0084516F"/>
    <w:rsid w:val="008452E3"/>
    <w:rsid w:val="00913FDB"/>
    <w:rsid w:val="0093379D"/>
    <w:rsid w:val="009A521C"/>
    <w:rsid w:val="009E603A"/>
    <w:rsid w:val="00A0265F"/>
    <w:rsid w:val="00A556C5"/>
    <w:rsid w:val="00A864D2"/>
    <w:rsid w:val="00B04E4E"/>
    <w:rsid w:val="00B32E73"/>
    <w:rsid w:val="00B70E31"/>
    <w:rsid w:val="00B81AFC"/>
    <w:rsid w:val="00B8330D"/>
    <w:rsid w:val="00BD248B"/>
    <w:rsid w:val="00C05C5F"/>
    <w:rsid w:val="00C24492"/>
    <w:rsid w:val="00C47D61"/>
    <w:rsid w:val="00D607DA"/>
    <w:rsid w:val="00DA6848"/>
    <w:rsid w:val="00DC6EE5"/>
    <w:rsid w:val="00DD7708"/>
    <w:rsid w:val="00DF594F"/>
    <w:rsid w:val="00E458AC"/>
    <w:rsid w:val="00E63202"/>
    <w:rsid w:val="00E90AC9"/>
    <w:rsid w:val="00EE71BA"/>
    <w:rsid w:val="00F4291B"/>
    <w:rsid w:val="00F867E4"/>
    <w:rsid w:val="00FC7A48"/>
    <w:rsid w:val="07C03DC8"/>
    <w:rsid w:val="0B1D5E60"/>
    <w:rsid w:val="0E291F60"/>
    <w:rsid w:val="0E6B0F48"/>
    <w:rsid w:val="0F5F6FE2"/>
    <w:rsid w:val="11EE3018"/>
    <w:rsid w:val="152D4679"/>
    <w:rsid w:val="159C203D"/>
    <w:rsid w:val="16AE0FAF"/>
    <w:rsid w:val="1B065ED6"/>
    <w:rsid w:val="1DB213DA"/>
    <w:rsid w:val="1FC66DC7"/>
    <w:rsid w:val="212D4A76"/>
    <w:rsid w:val="2A5B47B8"/>
    <w:rsid w:val="2B8163FE"/>
    <w:rsid w:val="2E715D18"/>
    <w:rsid w:val="33C37F93"/>
    <w:rsid w:val="347D2457"/>
    <w:rsid w:val="34BA073D"/>
    <w:rsid w:val="35EE76D1"/>
    <w:rsid w:val="361D1FC3"/>
    <w:rsid w:val="39FB11B2"/>
    <w:rsid w:val="3AAA4614"/>
    <w:rsid w:val="3F0D43DE"/>
    <w:rsid w:val="40492C75"/>
    <w:rsid w:val="43B7393C"/>
    <w:rsid w:val="44BD0ED1"/>
    <w:rsid w:val="46E2202F"/>
    <w:rsid w:val="4B5D494D"/>
    <w:rsid w:val="4E9270C2"/>
    <w:rsid w:val="4FDB3852"/>
    <w:rsid w:val="528C76F4"/>
    <w:rsid w:val="54F7745A"/>
    <w:rsid w:val="59526435"/>
    <w:rsid w:val="5A842506"/>
    <w:rsid w:val="6108414D"/>
    <w:rsid w:val="644329CF"/>
    <w:rsid w:val="66776B68"/>
    <w:rsid w:val="677E0444"/>
    <w:rsid w:val="6AA64C35"/>
    <w:rsid w:val="716A672F"/>
    <w:rsid w:val="741C2E75"/>
    <w:rsid w:val="77F56966"/>
    <w:rsid w:val="78930C87"/>
    <w:rsid w:val="7D741E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uiPriority w:val="99"/>
    <w:rPr>
      <w:rFonts w:ascii="宋体" w:hAnsi="宋体" w:eastAsia="宋体" w:cs="宋体"/>
      <w:kern w:val="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8983</Words>
  <Characters>9375</Characters>
  <Lines>0</Lines>
  <Paragraphs>0</Paragraphs>
  <TotalTime>0</TotalTime>
  <ScaleCrop>false</ScaleCrop>
  <LinksUpToDate>false</LinksUpToDate>
  <CharactersWithSpaces>9412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Sally</cp:lastModifiedBy>
  <cp:lastPrinted>2020-01-10T15:53:00Z</cp:lastPrinted>
  <dcterms:modified xsi:type="dcterms:W3CDTF">2024-05-24T08:50:30Z</dcterms:modified>
  <dc:title>o</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FE958ACB7263493EA52EB269B4563F88</vt:lpwstr>
  </property>
</Properties>
</file>