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B9581">
      <w:pPr>
        <w:spacing w:line="360" w:lineRule="auto"/>
        <w:jc w:val="center"/>
        <w:rPr>
          <w:rFonts w:ascii="宋体"/>
          <w:b/>
          <w:bCs/>
          <w:kern w:val="0"/>
          <w:sz w:val="44"/>
          <w:szCs w:val="44"/>
          <w:lang w:val="zh-CN"/>
        </w:rPr>
      </w:pPr>
      <w:bookmarkStart w:id="2" w:name="_GoBack"/>
      <w:bookmarkEnd w:id="2"/>
    </w:p>
    <w:p w14:paraId="5751854B">
      <w:pPr>
        <w:spacing w:line="360" w:lineRule="auto"/>
        <w:jc w:val="center"/>
        <w:rPr>
          <w:rFonts w:ascii="宋体"/>
          <w:b/>
          <w:bCs/>
          <w:kern w:val="0"/>
          <w:sz w:val="44"/>
          <w:szCs w:val="44"/>
          <w:lang w:val="zh-CN"/>
        </w:rPr>
      </w:pPr>
      <w:r>
        <w:rPr>
          <w:rFonts w:hint="eastAsia" w:ascii="宋体" w:hAnsi="宋体" w:cs="宋体"/>
          <w:b/>
          <w:bCs/>
          <w:kern w:val="0"/>
          <w:sz w:val="44"/>
          <w:szCs w:val="44"/>
          <w:lang w:val="zh-CN"/>
        </w:rPr>
        <w:t>馆陶县工商行政和食品药品监督管理局</w:t>
      </w:r>
    </w:p>
    <w:p w14:paraId="7330926B">
      <w:pPr>
        <w:spacing w:line="360" w:lineRule="auto"/>
        <w:jc w:val="center"/>
        <w:rPr>
          <w:rFonts w:ascii="宋体"/>
          <w:b/>
          <w:bCs/>
          <w:kern w:val="0"/>
          <w:sz w:val="44"/>
          <w:szCs w:val="44"/>
          <w:lang w:val="zh-CN"/>
        </w:rPr>
      </w:pPr>
      <w:r>
        <w:rPr>
          <w:rFonts w:ascii="宋体" w:hAnsi="宋体" w:cs="宋体"/>
          <w:b/>
          <w:bCs/>
          <w:sz w:val="44"/>
          <w:szCs w:val="44"/>
        </w:rPr>
        <w:t>2019</w:t>
      </w:r>
      <w:r>
        <w:rPr>
          <w:rFonts w:hint="eastAsia" w:ascii="宋体" w:hAnsi="宋体" w:cs="宋体"/>
          <w:b/>
          <w:bCs/>
          <w:sz w:val="44"/>
          <w:szCs w:val="44"/>
        </w:rPr>
        <w:t>年部门预算信息公开情况说明</w:t>
      </w:r>
    </w:p>
    <w:p w14:paraId="6AE0DC92">
      <w:pPr>
        <w:autoSpaceDE w:val="0"/>
        <w:autoSpaceDN w:val="0"/>
        <w:adjustRightInd w:val="0"/>
        <w:ind w:firstLine="600"/>
        <w:jc w:val="left"/>
        <w:rPr>
          <w:rFonts w:ascii="仿宋_GB2312" w:hAnsi="仿宋_GB2312" w:eastAsia="仿宋_GB2312"/>
          <w:sz w:val="30"/>
          <w:szCs w:val="30"/>
        </w:rPr>
      </w:pPr>
      <w:r>
        <w:rPr>
          <w:rFonts w:ascii="仿宋_GB2312" w:hAnsi="仿宋_GB2312" w:eastAsia="仿宋_GB2312" w:cs="仿宋_GB2312"/>
          <w:sz w:val="30"/>
          <w:szCs w:val="30"/>
        </w:rPr>
        <w:t xml:space="preserve">  </w:t>
      </w:r>
    </w:p>
    <w:p w14:paraId="2F60AB9C">
      <w:pPr>
        <w:autoSpaceDE w:val="0"/>
        <w:autoSpaceDN w:val="0"/>
        <w:adjustRightInd w:val="0"/>
        <w:ind w:firstLine="600"/>
        <w:jc w:val="left"/>
        <w:rPr>
          <w:rFonts w:ascii="仿宋_GB2312" w:hAnsi="仿宋_GB2312" w:eastAsia="仿宋_GB2312"/>
          <w:sz w:val="32"/>
          <w:szCs w:val="32"/>
        </w:rPr>
      </w:pPr>
      <w:r>
        <w:rPr>
          <w:rFonts w:hint="eastAsia" w:ascii="仿宋_GB2312" w:hAnsi="仿宋_GB2312" w:eastAsia="仿宋_GB2312" w:cs="仿宋_GB2312"/>
          <w:sz w:val="32"/>
          <w:szCs w:val="32"/>
        </w:rPr>
        <w:t>按照《中华人民共和国预算法》、《地方预决算公开操作规程》和《河北省省级预算公开办法》规定，现将馆陶县工商行政和食品药品监督管理局</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年部门预算公开如下：</w:t>
      </w:r>
    </w:p>
    <w:p w14:paraId="4958E2E0">
      <w:pPr>
        <w:ind w:firstLine="643" w:firstLineChars="200"/>
        <w:rPr>
          <w:rFonts w:ascii="黑体" w:hAnsi="黑体" w:eastAsia="黑体"/>
          <w:b/>
          <w:bCs/>
          <w:sz w:val="32"/>
          <w:szCs w:val="32"/>
        </w:rPr>
      </w:pPr>
      <w:r>
        <w:rPr>
          <w:rFonts w:hint="eastAsia" w:ascii="黑体" w:hAnsi="黑体" w:eastAsia="黑体" w:cs="黑体"/>
          <w:b/>
          <w:bCs/>
          <w:sz w:val="32"/>
          <w:szCs w:val="32"/>
        </w:rPr>
        <w:t>一、部门职责及机构设置情况</w:t>
      </w:r>
    </w:p>
    <w:p w14:paraId="3817CC93">
      <w:pPr>
        <w:ind w:firstLine="640" w:firstLineChars="200"/>
        <w:rPr>
          <w:rFonts w:ascii="黑体" w:hAnsi="仿宋_GB2312" w:eastAsia="黑体"/>
          <w:sz w:val="32"/>
          <w:szCs w:val="32"/>
          <w:lang w:val="zh-CN"/>
        </w:rPr>
      </w:pPr>
      <w:r>
        <w:rPr>
          <w:rFonts w:hint="eastAsia" w:ascii="黑体" w:hAnsi="仿宋_GB2312" w:eastAsia="黑体" w:cs="黑体"/>
          <w:sz w:val="32"/>
          <w:szCs w:val="32"/>
          <w:lang w:val="zh-CN"/>
        </w:rPr>
        <w:t>部门职责：</w:t>
      </w:r>
    </w:p>
    <w:p w14:paraId="539CF228">
      <w:pPr>
        <w:ind w:firstLine="640" w:firstLineChars="20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、贯彻执行国家食品安全、药品、医疗器械我、化装品监督管理及工商行政管理的方针政策和法律法规。</w:t>
      </w:r>
    </w:p>
    <w:p w14:paraId="13FCBFD6">
      <w:pPr>
        <w:ind w:firstLine="640" w:firstLineChars="200"/>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、负责制定食品行政许可的实施办法并组织实施。</w:t>
      </w:r>
    </w:p>
    <w:p w14:paraId="602FE365">
      <w:pPr>
        <w:ind w:firstLine="640" w:firstLineChars="200"/>
        <w:rPr>
          <w:rFonts w:ascii="仿宋_GB2312" w:hAnsi="????"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eastAsia" w:ascii="仿宋_GB2312" w:hAnsi="宋体" w:eastAsia="仿宋_GB2312" w:cs="仿宋_GB2312"/>
          <w:sz w:val="32"/>
          <w:szCs w:val="32"/>
        </w:rPr>
        <w:t>负责药品、医疗器械的监督管理，监督实施国家药品、医疗器械标准，监督实施药品和医疗器械研制、生产、经营、使用方面的质量管理规范。</w:t>
      </w:r>
    </w:p>
    <w:p w14:paraId="50CF16BF">
      <w:pPr>
        <w:ind w:firstLine="640" w:firstLineChars="200"/>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、按照业务权限负责全县种类企业、农民专业合作社和从事经营活动的单位、个人以及外国企业驻辖区代表机构等市场主体的登记注册和监督管理。</w:t>
      </w:r>
    </w:p>
    <w:p w14:paraId="6337ABE9">
      <w:pPr>
        <w:ind w:firstLine="640" w:firstLineChars="200"/>
        <w:rPr>
          <w:rFonts w:ascii="仿宋_GB2312" w:hAnsi="仿宋_GB2312" w:eastAsia="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、根据授权依法负责垄断协议、滥用市场支配地位、滥用行政权力排除权限竞争方面的反垄断执法工作。</w:t>
      </w:r>
    </w:p>
    <w:p w14:paraId="3D3C96F8">
      <w:pPr>
        <w:ind w:firstLine="640" w:firstLineChars="200"/>
        <w:rPr>
          <w:rFonts w:ascii="仿宋_GB2312" w:hAnsi="仿宋_GB2312" w:eastAsia="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、按照职责分工依法查处违法直销和传销行为，依法监督管理直销企业和直销员及其直销活动，规范食品药品监督管理行政执法行为，推动完善行政执法与刑事司法衔接机制。</w:t>
      </w:r>
    </w:p>
    <w:p w14:paraId="17F39BB0">
      <w:pPr>
        <w:ind w:firstLine="640" w:firstLineChars="200"/>
        <w:rPr>
          <w:rFonts w:ascii="仿宋_GB2312" w:hAnsi="仿宋_GB2312" w:eastAsia="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、组织指导商标</w:t>
      </w:r>
      <w:r>
        <w:fldChar w:fldCharType="begin"/>
      </w:r>
      <w:r>
        <w:instrText xml:space="preserve"> HYPERLINK "http://www.baidu.com/s?wd=%E5%95%86%E6%A0%87%E6%B3%A8%E5%86%8C&amp;hl_tag=textlink&amp;tn=SE_hldp01350_v6v6zkg6" </w:instrText>
      </w:r>
      <w:r>
        <w:fldChar w:fldCharType="separate"/>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工作，依法保护商标专用权和查处商标侵权行为，负责驰名商标、著名商标的培育推荐保护工作。</w:t>
      </w:r>
    </w:p>
    <w:p w14:paraId="4C6C37EC">
      <w:pPr>
        <w:ind w:firstLine="640" w:firstLineChars="200"/>
        <w:rPr>
          <w:rFonts w:ascii="宋体"/>
          <w:sz w:val="30"/>
          <w:szCs w:val="30"/>
        </w:rPr>
      </w:pPr>
      <w:r>
        <w:rPr>
          <w:rFonts w:ascii="仿宋_GB2312" w:hAnsi="宋体" w:eastAsia="仿宋_GB2312" w:cs="仿宋_GB2312"/>
          <w:sz w:val="32"/>
          <w:szCs w:val="32"/>
        </w:rPr>
        <w:t>8</w:t>
      </w:r>
      <w:r>
        <w:rPr>
          <w:rFonts w:hint="eastAsia" w:ascii="仿宋_GB2312" w:hAnsi="宋体" w:eastAsia="仿宋_GB2312" w:cs="仿宋_GB2312"/>
          <w:sz w:val="32"/>
          <w:szCs w:val="32"/>
        </w:rPr>
        <w:t>、负责制定全县食品药品安全科技发展规划并组织实施</w:t>
      </w:r>
      <w:r>
        <w:rPr>
          <w:rFonts w:hint="eastAsia" w:ascii="宋体" w:hAnsi="宋体" w:cs="宋体"/>
          <w:sz w:val="30"/>
          <w:szCs w:val="30"/>
        </w:rPr>
        <w:t>，推动食品药品检验检测体系、电子监管追溯体系和信息化建设。</w:t>
      </w:r>
    </w:p>
    <w:p w14:paraId="6B826952">
      <w:pPr>
        <w:ind w:firstLine="640" w:firstLineChars="200"/>
        <w:rPr>
          <w:rFonts w:ascii="仿宋_GB2312" w:hAnsi="仿宋_GB2312" w:eastAsia="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、承担县食品安全委员会日常工作</w:t>
      </w:r>
    </w:p>
    <w:p w14:paraId="723A0FF2">
      <w:pPr>
        <w:ind w:firstLine="640" w:firstLineChars="200"/>
        <w:rPr>
          <w:rFonts w:ascii="仿宋_GB2312" w:hAnsi="仿宋_GB2312" w:eastAsia="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、负责个体户、私营企业经营行为的服务和监督管理；依法监督管理经纪人、经济机构及经济活动；依法实施合同行政监督管理，负责管理动产抵押登记，组织监督管理拍卖行为，依法查处合同欺诈等违法行为。</w:t>
      </w:r>
    </w:p>
    <w:p w14:paraId="730676ED">
      <w:pPr>
        <w:ind w:firstLine="640" w:firstLineChars="200"/>
        <w:rPr>
          <w:rFonts w:ascii="仿宋_GB2312" w:hAnsi="仿宋_GB2312" w:eastAsia="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、组织企业、</w:t>
      </w:r>
      <w:r>
        <w:fldChar w:fldCharType="begin"/>
      </w:r>
      <w:r>
        <w:instrText xml:space="preserve"> HYPERLINK "http://www.baidu.com/s?wd=%E4%B8%AA%E4%BD%93%E5%B7%A5%E5%95%86%E6%88%B7&amp;hl_tag=textlink&amp;tn=SE_hldp01350_v6v6zkg6" </w:instrText>
      </w:r>
      <w:r>
        <w:fldChar w:fldCharType="separate"/>
      </w:r>
      <w:r>
        <w:rPr>
          <w:rFonts w:hint="eastAsia" w:ascii="仿宋_GB2312" w:hAnsi="仿宋_GB2312" w:eastAsia="仿宋_GB2312" w:cs="仿宋_GB2312"/>
          <w:sz w:val="32"/>
          <w:szCs w:val="32"/>
        </w:rPr>
        <w:t>个体工商户</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、商品交易市场信用分类管理，研究分析并依法发布市场主体登记注册基础信息等相关信息，为政府决策和社会公众提供信息服务。</w:t>
      </w:r>
      <w:r>
        <w:rPr>
          <w:rFonts w:ascii="仿宋_GB2312" w:hAnsi="仿宋_GB2312" w:eastAsia="仿宋_GB2312"/>
          <w:sz w:val="32"/>
          <w:szCs w:val="32"/>
        </w:rPr>
        <w:t> </w:t>
      </w:r>
    </w:p>
    <w:p w14:paraId="5171F328">
      <w:pPr>
        <w:ind w:firstLine="640" w:firstLineChars="200"/>
        <w:rPr>
          <w:rFonts w:ascii="仿宋_GB2312" w:hAnsi="仿宋_GB2312" w:eastAsia="仿宋_GB2312"/>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、承办县政府交办的其他事项。</w:t>
      </w:r>
    </w:p>
    <w:p w14:paraId="73BB439B">
      <w:pPr>
        <w:ind w:firstLine="640" w:firstLineChars="200"/>
        <w:rPr>
          <w:rFonts w:ascii="黑体" w:hAnsi="仿宋_GB2312" w:eastAsia="黑体"/>
          <w:sz w:val="32"/>
          <w:szCs w:val="32"/>
        </w:rPr>
      </w:pPr>
      <w:r>
        <w:rPr>
          <w:rFonts w:hint="eastAsia" w:ascii="黑体" w:hAnsi="仿宋_GB2312" w:eastAsia="黑体" w:cs="黑体"/>
          <w:sz w:val="32"/>
          <w:szCs w:val="32"/>
        </w:rPr>
        <w:t>机构设置：</w:t>
      </w:r>
    </w:p>
    <w:p w14:paraId="125F35CC">
      <w:pPr>
        <w:ind w:firstLine="640" w:firstLineChars="200"/>
        <w:rPr>
          <w:rFonts w:ascii="黑体" w:hAnsi="仿宋_GB2312" w:eastAsia="黑体"/>
          <w:sz w:val="32"/>
          <w:szCs w:val="32"/>
        </w:rPr>
      </w:pPr>
      <w:r>
        <w:rPr>
          <w:rFonts w:ascii="黑体" w:hAnsi="仿宋_GB2312" w:eastAsia="黑体" w:cs="黑体"/>
          <w:sz w:val="32"/>
          <w:szCs w:val="32"/>
        </w:rPr>
        <w:t xml:space="preserve">                              </w:t>
      </w:r>
      <w:r>
        <w:rPr>
          <w:rFonts w:hint="eastAsia" w:ascii="黑体" w:hAnsi="仿宋_GB2312" w:eastAsia="黑体" w:cs="黑体"/>
          <w:sz w:val="32"/>
          <w:szCs w:val="32"/>
        </w:rPr>
        <w:t>部门机构设置情况</w:t>
      </w:r>
    </w:p>
    <w:tbl>
      <w:tblPr>
        <w:tblStyle w:val="4"/>
        <w:tblW w:w="136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219"/>
        <w:gridCol w:w="1588"/>
        <w:gridCol w:w="1787"/>
        <w:gridCol w:w="4063"/>
      </w:tblGrid>
      <w:tr w14:paraId="396BD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tblHeader/>
          <w:jc w:val="center"/>
        </w:trPr>
        <w:tc>
          <w:tcPr>
            <w:tcW w:w="6219" w:type="dxa"/>
            <w:vMerge w:val="restart"/>
            <w:vAlign w:val="center"/>
          </w:tcPr>
          <w:p w14:paraId="3D03C4CF">
            <w:pPr>
              <w:spacing w:line="300" w:lineRule="exact"/>
              <w:jc w:val="center"/>
              <w:rPr>
                <w:rFonts w:eastAsia="方正书宋_GBK"/>
                <w:b/>
                <w:bCs/>
                <w:sz w:val="32"/>
                <w:szCs w:val="32"/>
              </w:rPr>
            </w:pPr>
            <w:r>
              <w:rPr>
                <w:rFonts w:hint="eastAsia" w:eastAsia="方正书宋_GBK" w:cs="方正书宋_GBK"/>
                <w:b/>
                <w:bCs/>
                <w:sz w:val="32"/>
                <w:szCs w:val="32"/>
              </w:rPr>
              <w:t>单位名称</w:t>
            </w:r>
          </w:p>
        </w:tc>
        <w:tc>
          <w:tcPr>
            <w:tcW w:w="1588" w:type="dxa"/>
            <w:vMerge w:val="restart"/>
            <w:vAlign w:val="center"/>
          </w:tcPr>
          <w:p w14:paraId="4BF94883">
            <w:pPr>
              <w:spacing w:line="300" w:lineRule="exact"/>
              <w:jc w:val="center"/>
              <w:rPr>
                <w:rFonts w:eastAsia="方正书宋_GBK"/>
                <w:b/>
                <w:bCs/>
                <w:sz w:val="32"/>
                <w:szCs w:val="32"/>
              </w:rPr>
            </w:pPr>
            <w:r>
              <w:rPr>
                <w:rFonts w:hint="eastAsia" w:eastAsia="方正书宋_GBK" w:cs="方正书宋_GBK"/>
                <w:b/>
                <w:bCs/>
                <w:sz w:val="32"/>
                <w:szCs w:val="32"/>
              </w:rPr>
              <w:t>单位性质</w:t>
            </w:r>
          </w:p>
        </w:tc>
        <w:tc>
          <w:tcPr>
            <w:tcW w:w="1787" w:type="dxa"/>
            <w:vMerge w:val="restart"/>
            <w:vAlign w:val="center"/>
          </w:tcPr>
          <w:p w14:paraId="778CF11B">
            <w:pPr>
              <w:spacing w:line="300" w:lineRule="exact"/>
              <w:jc w:val="center"/>
              <w:rPr>
                <w:rFonts w:eastAsia="方正书宋_GBK"/>
                <w:b/>
                <w:bCs/>
                <w:sz w:val="32"/>
                <w:szCs w:val="32"/>
              </w:rPr>
            </w:pPr>
            <w:r>
              <w:rPr>
                <w:rFonts w:hint="eastAsia" w:eastAsia="方正书宋_GBK" w:cs="方正书宋_GBK"/>
                <w:b/>
                <w:bCs/>
                <w:sz w:val="32"/>
                <w:szCs w:val="32"/>
              </w:rPr>
              <w:t>单位规格</w:t>
            </w:r>
          </w:p>
        </w:tc>
        <w:tc>
          <w:tcPr>
            <w:tcW w:w="4063" w:type="dxa"/>
            <w:vMerge w:val="restart"/>
            <w:vAlign w:val="center"/>
          </w:tcPr>
          <w:p w14:paraId="3547675B">
            <w:pPr>
              <w:spacing w:line="300" w:lineRule="exact"/>
              <w:jc w:val="center"/>
              <w:rPr>
                <w:rFonts w:eastAsia="方正书宋_GBK"/>
                <w:b/>
                <w:bCs/>
                <w:sz w:val="32"/>
                <w:szCs w:val="32"/>
              </w:rPr>
            </w:pPr>
            <w:r>
              <w:rPr>
                <w:rFonts w:hint="eastAsia" w:eastAsia="方正书宋_GBK" w:cs="方正书宋_GBK"/>
                <w:b/>
                <w:bCs/>
                <w:sz w:val="32"/>
                <w:szCs w:val="32"/>
              </w:rPr>
              <w:t>经费保障形式</w:t>
            </w:r>
          </w:p>
        </w:tc>
      </w:tr>
      <w:tr w14:paraId="44FD3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0" w:hRule="atLeast"/>
          <w:tblHeader/>
          <w:jc w:val="center"/>
        </w:trPr>
        <w:tc>
          <w:tcPr>
            <w:tcW w:w="6219" w:type="dxa"/>
            <w:vMerge w:val="continue"/>
            <w:vAlign w:val="center"/>
          </w:tcPr>
          <w:p w14:paraId="581837B6">
            <w:pPr>
              <w:spacing w:line="300" w:lineRule="exact"/>
              <w:jc w:val="left"/>
              <w:outlineLvl w:val="0"/>
              <w:rPr>
                <w:sz w:val="32"/>
                <w:szCs w:val="32"/>
              </w:rPr>
            </w:pPr>
          </w:p>
        </w:tc>
        <w:tc>
          <w:tcPr>
            <w:tcW w:w="1588" w:type="dxa"/>
            <w:vMerge w:val="continue"/>
            <w:vAlign w:val="center"/>
          </w:tcPr>
          <w:p w14:paraId="24FD9DE7">
            <w:pPr>
              <w:spacing w:line="300" w:lineRule="exact"/>
              <w:jc w:val="left"/>
              <w:outlineLvl w:val="0"/>
              <w:rPr>
                <w:sz w:val="32"/>
                <w:szCs w:val="32"/>
              </w:rPr>
            </w:pPr>
          </w:p>
        </w:tc>
        <w:tc>
          <w:tcPr>
            <w:tcW w:w="1787" w:type="dxa"/>
            <w:vMerge w:val="continue"/>
            <w:vAlign w:val="center"/>
          </w:tcPr>
          <w:p w14:paraId="482B6BC3">
            <w:pPr>
              <w:spacing w:line="300" w:lineRule="exact"/>
              <w:jc w:val="left"/>
              <w:outlineLvl w:val="0"/>
              <w:rPr>
                <w:sz w:val="32"/>
                <w:szCs w:val="32"/>
              </w:rPr>
            </w:pPr>
          </w:p>
        </w:tc>
        <w:tc>
          <w:tcPr>
            <w:tcW w:w="4063" w:type="dxa"/>
            <w:vMerge w:val="continue"/>
            <w:vAlign w:val="center"/>
          </w:tcPr>
          <w:p w14:paraId="06CF7748">
            <w:pPr>
              <w:spacing w:line="300" w:lineRule="exact"/>
              <w:jc w:val="left"/>
              <w:outlineLvl w:val="0"/>
              <w:rPr>
                <w:sz w:val="32"/>
                <w:szCs w:val="32"/>
              </w:rPr>
            </w:pPr>
          </w:p>
        </w:tc>
      </w:tr>
      <w:tr w14:paraId="5A73C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6219" w:type="dxa"/>
            <w:vAlign w:val="center"/>
          </w:tcPr>
          <w:p w14:paraId="34F49147">
            <w:pPr>
              <w:spacing w:line="300" w:lineRule="exact"/>
              <w:jc w:val="center"/>
              <w:rPr>
                <w:rFonts w:ascii="方正书宋_GBK" w:eastAsia="方正书宋_GBK"/>
                <w:b/>
                <w:bCs/>
                <w:sz w:val="32"/>
                <w:szCs w:val="32"/>
              </w:rPr>
            </w:pPr>
            <w:r>
              <w:rPr>
                <w:rFonts w:hint="eastAsia" w:ascii="方正书宋_GBK" w:eastAsia="方正书宋_GBK" w:cs="方正书宋_GBK"/>
                <w:b/>
                <w:bCs/>
                <w:sz w:val="32"/>
                <w:szCs w:val="32"/>
              </w:rPr>
              <w:t>合</w:t>
            </w:r>
            <w:r>
              <w:rPr>
                <w:rFonts w:ascii="方正书宋_GBK" w:eastAsia="方正书宋_GBK" w:cs="方正书宋_GBK"/>
                <w:b/>
                <w:bCs/>
                <w:sz w:val="32"/>
                <w:szCs w:val="32"/>
              </w:rPr>
              <w:t xml:space="preserve">    </w:t>
            </w:r>
            <w:r>
              <w:rPr>
                <w:rFonts w:hint="eastAsia" w:ascii="方正书宋_GBK" w:eastAsia="方正书宋_GBK" w:cs="方正书宋_GBK"/>
                <w:b/>
                <w:bCs/>
                <w:sz w:val="32"/>
                <w:szCs w:val="32"/>
              </w:rPr>
              <w:t>计</w:t>
            </w:r>
          </w:p>
        </w:tc>
        <w:tc>
          <w:tcPr>
            <w:tcW w:w="1588" w:type="dxa"/>
            <w:vAlign w:val="center"/>
          </w:tcPr>
          <w:p w14:paraId="1E30211B">
            <w:pPr>
              <w:spacing w:line="300" w:lineRule="exact"/>
              <w:jc w:val="center"/>
              <w:rPr>
                <w:rFonts w:ascii="方正书宋_GBK" w:eastAsia="方正书宋_GBK"/>
                <w:b/>
                <w:bCs/>
                <w:sz w:val="32"/>
                <w:szCs w:val="32"/>
              </w:rPr>
            </w:pPr>
          </w:p>
        </w:tc>
        <w:tc>
          <w:tcPr>
            <w:tcW w:w="1787" w:type="dxa"/>
            <w:vAlign w:val="center"/>
          </w:tcPr>
          <w:p w14:paraId="736525C0">
            <w:pPr>
              <w:spacing w:line="300" w:lineRule="exact"/>
              <w:jc w:val="center"/>
              <w:rPr>
                <w:rFonts w:ascii="方正书宋_GBK" w:eastAsia="方正书宋_GBK"/>
                <w:b/>
                <w:bCs/>
                <w:sz w:val="32"/>
                <w:szCs w:val="32"/>
              </w:rPr>
            </w:pPr>
          </w:p>
        </w:tc>
        <w:tc>
          <w:tcPr>
            <w:tcW w:w="4063" w:type="dxa"/>
            <w:vAlign w:val="center"/>
          </w:tcPr>
          <w:p w14:paraId="1C660EA4">
            <w:pPr>
              <w:spacing w:line="300" w:lineRule="exact"/>
              <w:jc w:val="center"/>
              <w:rPr>
                <w:rFonts w:ascii="方正书宋_GBK" w:eastAsia="方正书宋_GBK"/>
                <w:b/>
                <w:bCs/>
                <w:sz w:val="32"/>
                <w:szCs w:val="32"/>
              </w:rPr>
            </w:pPr>
          </w:p>
        </w:tc>
      </w:tr>
      <w:tr w14:paraId="3930D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6219" w:type="dxa"/>
            <w:vAlign w:val="center"/>
          </w:tcPr>
          <w:p w14:paraId="5EC109E1">
            <w:pPr>
              <w:spacing w:line="300" w:lineRule="exact"/>
              <w:jc w:val="left"/>
              <w:rPr>
                <w:rFonts w:ascii="仿宋_GB2312" w:eastAsia="仿宋_GB2312"/>
                <w:sz w:val="32"/>
                <w:szCs w:val="32"/>
              </w:rPr>
            </w:pPr>
            <w:r>
              <w:rPr>
                <w:rFonts w:hint="eastAsia" w:ascii="仿宋_GB2312" w:eastAsia="仿宋_GB2312" w:cs="仿宋_GB2312"/>
                <w:sz w:val="32"/>
                <w:szCs w:val="32"/>
              </w:rPr>
              <w:t>工商行政和食品药品监督管理局</w:t>
            </w:r>
          </w:p>
        </w:tc>
        <w:tc>
          <w:tcPr>
            <w:tcW w:w="1588" w:type="dxa"/>
            <w:vAlign w:val="center"/>
          </w:tcPr>
          <w:p w14:paraId="74C206E0">
            <w:pPr>
              <w:spacing w:line="300" w:lineRule="exact"/>
              <w:jc w:val="center"/>
              <w:rPr>
                <w:rFonts w:ascii="仿宋_GB2312" w:eastAsia="仿宋_GB2312"/>
                <w:sz w:val="32"/>
                <w:szCs w:val="32"/>
              </w:rPr>
            </w:pPr>
            <w:r>
              <w:rPr>
                <w:rFonts w:hint="eastAsia" w:ascii="仿宋_GB2312" w:eastAsia="仿宋_GB2312" w:cs="仿宋_GB2312"/>
                <w:sz w:val="32"/>
                <w:szCs w:val="32"/>
              </w:rPr>
              <w:t>行政</w:t>
            </w:r>
          </w:p>
        </w:tc>
        <w:tc>
          <w:tcPr>
            <w:tcW w:w="1787" w:type="dxa"/>
            <w:vAlign w:val="center"/>
          </w:tcPr>
          <w:p w14:paraId="4E9D177C">
            <w:pPr>
              <w:spacing w:line="300" w:lineRule="exact"/>
              <w:jc w:val="center"/>
              <w:rPr>
                <w:rFonts w:ascii="仿宋_GB2312" w:eastAsia="仿宋_GB2312"/>
                <w:sz w:val="32"/>
                <w:szCs w:val="32"/>
              </w:rPr>
            </w:pPr>
            <w:r>
              <w:rPr>
                <w:rFonts w:hint="eastAsia" w:ascii="仿宋_GB2312" w:eastAsia="仿宋_GB2312" w:cs="仿宋_GB2312"/>
                <w:sz w:val="32"/>
                <w:szCs w:val="32"/>
              </w:rPr>
              <w:t>正科级</w:t>
            </w:r>
          </w:p>
        </w:tc>
        <w:tc>
          <w:tcPr>
            <w:tcW w:w="4063" w:type="dxa"/>
            <w:vAlign w:val="center"/>
          </w:tcPr>
          <w:p w14:paraId="54B471C5">
            <w:pPr>
              <w:spacing w:line="300" w:lineRule="exact"/>
              <w:jc w:val="center"/>
              <w:rPr>
                <w:rFonts w:ascii="仿宋_GB2312" w:eastAsia="仿宋_GB2312"/>
                <w:sz w:val="32"/>
                <w:szCs w:val="32"/>
              </w:rPr>
            </w:pPr>
            <w:r>
              <w:rPr>
                <w:rFonts w:hint="eastAsia" w:ascii="仿宋_GB2312" w:eastAsia="仿宋_GB2312" w:cs="仿宋_GB2312"/>
                <w:sz w:val="32"/>
                <w:szCs w:val="32"/>
              </w:rPr>
              <w:t>财政拨款</w:t>
            </w:r>
          </w:p>
        </w:tc>
      </w:tr>
    </w:tbl>
    <w:p w14:paraId="58969214">
      <w:pPr>
        <w:ind w:firstLine="640" w:firstLineChars="200"/>
        <w:rPr>
          <w:rFonts w:ascii="黑体" w:hAnsi="仿宋_GB2312" w:eastAsia="黑体"/>
          <w:sz w:val="32"/>
          <w:szCs w:val="32"/>
        </w:rPr>
      </w:pPr>
    </w:p>
    <w:p w14:paraId="428246E1">
      <w:pPr>
        <w:ind w:firstLine="643" w:firstLineChars="200"/>
        <w:rPr>
          <w:rFonts w:ascii="黑体" w:hAnsi="黑体" w:eastAsia="黑体"/>
          <w:b/>
          <w:bCs/>
          <w:sz w:val="32"/>
          <w:szCs w:val="32"/>
        </w:rPr>
      </w:pPr>
      <w:r>
        <w:rPr>
          <w:rFonts w:hint="eastAsia" w:ascii="黑体" w:hAnsi="黑体" w:eastAsia="黑体" w:cs="黑体"/>
          <w:b/>
          <w:bCs/>
          <w:sz w:val="32"/>
          <w:szCs w:val="32"/>
          <w:lang w:val="zh-CN"/>
        </w:rPr>
        <w:t>二、</w:t>
      </w:r>
      <w:r>
        <w:rPr>
          <w:rFonts w:hint="eastAsia" w:ascii="黑体" w:hAnsi="黑体" w:eastAsia="黑体" w:cs="黑体"/>
          <w:b/>
          <w:bCs/>
          <w:sz w:val="32"/>
          <w:szCs w:val="32"/>
        </w:rPr>
        <w:t>部门预算安排总体情况</w:t>
      </w:r>
    </w:p>
    <w:p w14:paraId="560163E2">
      <w:pPr>
        <w:ind w:firstLine="640"/>
        <w:rPr>
          <w:rFonts w:ascii="仿宋_GB2312" w:eastAsia="仿宋_GB2312"/>
          <w:sz w:val="32"/>
          <w:szCs w:val="32"/>
        </w:rPr>
      </w:pPr>
      <w:r>
        <w:rPr>
          <w:rFonts w:hint="eastAsia" w:ascii="仿宋_GB2312" w:eastAsia="仿宋_GB2312" w:cs="仿宋_GB2312"/>
          <w:sz w:val="32"/>
          <w:szCs w:val="32"/>
        </w:rPr>
        <w:t>按照预算管理有关规定，目前我单位部门预算的编制实行综合预算管理，即全部收入和支出都反映在预算中。馆陶县工商行政和食品药品监督管理局的收支包含在部门预算中。</w:t>
      </w:r>
    </w:p>
    <w:p w14:paraId="3FDAAEB5">
      <w:pPr>
        <w:ind w:firstLine="64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、收入说明</w:t>
      </w:r>
    </w:p>
    <w:p w14:paraId="1DD2385B">
      <w:pPr>
        <w:ind w:firstLine="640"/>
        <w:rPr>
          <w:rFonts w:ascii="仿宋_GB2312" w:eastAsia="仿宋_GB2312"/>
          <w:sz w:val="32"/>
          <w:szCs w:val="32"/>
        </w:rPr>
      </w:pPr>
      <w:r>
        <w:rPr>
          <w:rFonts w:hint="eastAsia" w:ascii="仿宋_GB2312" w:eastAsia="仿宋_GB2312" w:cs="仿宋_GB2312"/>
          <w:sz w:val="32"/>
          <w:szCs w:val="32"/>
        </w:rPr>
        <w:t>反映本部门当年全部收入。</w:t>
      </w:r>
      <w:r>
        <w:rPr>
          <w:rFonts w:ascii="仿宋_GB2312" w:eastAsia="仿宋_GB2312" w:cs="仿宋_GB2312"/>
          <w:sz w:val="32"/>
          <w:szCs w:val="32"/>
        </w:rPr>
        <w:t>2019</w:t>
      </w:r>
      <w:r>
        <w:rPr>
          <w:rFonts w:hint="eastAsia" w:ascii="仿宋_GB2312" w:eastAsia="仿宋_GB2312" w:cs="仿宋_GB2312"/>
          <w:sz w:val="32"/>
          <w:szCs w:val="32"/>
        </w:rPr>
        <w:t>年预算收入</w:t>
      </w:r>
      <w:r>
        <w:rPr>
          <w:rFonts w:ascii="仿宋_GB2312" w:eastAsia="仿宋_GB2312" w:cs="仿宋_GB2312"/>
          <w:sz w:val="32"/>
          <w:szCs w:val="32"/>
        </w:rPr>
        <w:t>1803.5</w:t>
      </w:r>
      <w:r>
        <w:rPr>
          <w:rFonts w:hint="eastAsia" w:ascii="仿宋_GB2312" w:eastAsia="仿宋_GB2312" w:cs="仿宋_GB2312"/>
          <w:sz w:val="32"/>
          <w:szCs w:val="32"/>
        </w:rPr>
        <w:t>万元，其中：一般公共预算收入</w:t>
      </w:r>
      <w:r>
        <w:rPr>
          <w:rFonts w:ascii="仿宋_GB2312" w:eastAsia="仿宋_GB2312" w:cs="仿宋_GB2312"/>
          <w:sz w:val="32"/>
          <w:szCs w:val="32"/>
        </w:rPr>
        <w:t>1803.5</w:t>
      </w:r>
      <w:r>
        <w:rPr>
          <w:rFonts w:hint="eastAsia" w:ascii="仿宋_GB2312" w:eastAsia="仿宋_GB2312" w:cs="仿宋_GB2312"/>
          <w:sz w:val="32"/>
          <w:szCs w:val="32"/>
        </w:rPr>
        <w:t>万元。</w:t>
      </w:r>
    </w:p>
    <w:p w14:paraId="3F71112B">
      <w:pPr>
        <w:ind w:firstLine="64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、支出说明</w:t>
      </w:r>
    </w:p>
    <w:p w14:paraId="344EB40E">
      <w:pPr>
        <w:ind w:firstLine="640"/>
        <w:rPr>
          <w:rFonts w:ascii="仿宋_GB2312" w:eastAsia="仿宋_GB2312"/>
          <w:sz w:val="32"/>
          <w:szCs w:val="32"/>
        </w:rPr>
      </w:pPr>
      <w:r>
        <w:rPr>
          <w:rFonts w:hint="eastAsia" w:ascii="仿宋_GB2312" w:eastAsia="仿宋_GB2312" w:cs="仿宋_GB2312"/>
          <w:sz w:val="32"/>
          <w:szCs w:val="32"/>
        </w:rPr>
        <w:t>收支预算总表支出栏、基本支出表、项目支出表按经济分类和支出功能分类科目编制，反映馆陶县工商食药局年度部门预算中支出预算的总体情况。</w:t>
      </w:r>
      <w:r>
        <w:rPr>
          <w:rFonts w:ascii="仿宋_GB2312" w:eastAsia="仿宋_GB2312" w:cs="仿宋_GB2312"/>
          <w:sz w:val="32"/>
          <w:szCs w:val="32"/>
        </w:rPr>
        <w:t>2019</w:t>
      </w:r>
      <w:r>
        <w:rPr>
          <w:rFonts w:hint="eastAsia" w:ascii="仿宋_GB2312" w:eastAsia="仿宋_GB2312" w:cs="仿宋_GB2312"/>
          <w:sz w:val="32"/>
          <w:szCs w:val="32"/>
        </w:rPr>
        <w:t>年部门支出预算为</w:t>
      </w:r>
      <w:r>
        <w:rPr>
          <w:rFonts w:ascii="仿宋_GB2312" w:eastAsia="仿宋_GB2312" w:cs="仿宋_GB2312"/>
          <w:sz w:val="32"/>
          <w:szCs w:val="32"/>
        </w:rPr>
        <w:t>1803.5</w:t>
      </w:r>
      <w:r>
        <w:rPr>
          <w:rFonts w:hint="eastAsia" w:ascii="仿宋_GB2312" w:eastAsia="仿宋_GB2312" w:cs="仿宋_GB2312"/>
          <w:sz w:val="32"/>
          <w:szCs w:val="32"/>
        </w:rPr>
        <w:t>万元，其中基本支出</w:t>
      </w:r>
      <w:r>
        <w:rPr>
          <w:rFonts w:ascii="仿宋_GB2312" w:eastAsia="仿宋_GB2312" w:cs="仿宋_GB2312"/>
          <w:sz w:val="32"/>
          <w:szCs w:val="32"/>
        </w:rPr>
        <w:t>1688.5</w:t>
      </w:r>
      <w:r>
        <w:rPr>
          <w:rFonts w:hint="eastAsia" w:ascii="仿宋_GB2312" w:eastAsia="仿宋_GB2312" w:cs="仿宋_GB2312"/>
          <w:sz w:val="32"/>
          <w:szCs w:val="32"/>
        </w:rPr>
        <w:t>万元，包括人员经费</w:t>
      </w:r>
      <w:r>
        <w:rPr>
          <w:rFonts w:ascii="仿宋_GB2312" w:eastAsia="仿宋_GB2312" w:cs="仿宋_GB2312"/>
          <w:sz w:val="32"/>
          <w:szCs w:val="32"/>
        </w:rPr>
        <w:t>1304</w:t>
      </w:r>
      <w:r>
        <w:rPr>
          <w:rFonts w:hint="eastAsia" w:ascii="仿宋_GB2312" w:eastAsia="仿宋_GB2312" w:cs="仿宋_GB2312"/>
          <w:sz w:val="32"/>
          <w:szCs w:val="32"/>
        </w:rPr>
        <w:t>万元和日常公用经费</w:t>
      </w:r>
      <w:r>
        <w:rPr>
          <w:rFonts w:ascii="仿宋_GB2312" w:eastAsia="仿宋_GB2312" w:cs="仿宋_GB2312"/>
          <w:sz w:val="32"/>
          <w:szCs w:val="32"/>
        </w:rPr>
        <w:t>384.5</w:t>
      </w:r>
      <w:r>
        <w:rPr>
          <w:rFonts w:hint="eastAsia" w:ascii="仿宋_GB2312" w:eastAsia="仿宋_GB2312" w:cs="仿宋_GB2312"/>
          <w:sz w:val="32"/>
          <w:szCs w:val="32"/>
        </w:rPr>
        <w:t>万元；项目支出</w:t>
      </w:r>
      <w:r>
        <w:rPr>
          <w:rFonts w:ascii="仿宋_GB2312" w:eastAsia="仿宋_GB2312" w:cs="仿宋_GB2312"/>
          <w:sz w:val="32"/>
          <w:szCs w:val="32"/>
        </w:rPr>
        <w:t>115</w:t>
      </w:r>
      <w:r>
        <w:rPr>
          <w:rFonts w:hint="eastAsia" w:ascii="仿宋_GB2312" w:eastAsia="仿宋_GB2312" w:cs="仿宋_GB2312"/>
          <w:sz w:val="32"/>
          <w:szCs w:val="32"/>
        </w:rPr>
        <w:t>万元，其中食品药品、成品油检测经费</w:t>
      </w:r>
      <w:r>
        <w:rPr>
          <w:rFonts w:ascii="仿宋_GB2312" w:eastAsia="仿宋_GB2312" w:cs="仿宋_GB2312"/>
          <w:sz w:val="32"/>
          <w:szCs w:val="32"/>
        </w:rPr>
        <w:t>60</w:t>
      </w:r>
      <w:r>
        <w:rPr>
          <w:rFonts w:hint="eastAsia" w:ascii="仿宋_GB2312" w:eastAsia="仿宋_GB2312" w:cs="仿宋_GB2312"/>
          <w:sz w:val="32"/>
          <w:szCs w:val="32"/>
        </w:rPr>
        <w:t>万元；零成本注册经费</w:t>
      </w:r>
      <w:r>
        <w:rPr>
          <w:rFonts w:ascii="仿宋_GB2312" w:eastAsia="仿宋_GB2312" w:cs="仿宋_GB2312"/>
          <w:sz w:val="32"/>
          <w:szCs w:val="32"/>
        </w:rPr>
        <w:t>35</w:t>
      </w:r>
      <w:r>
        <w:rPr>
          <w:rFonts w:hint="eastAsia" w:ascii="仿宋_GB2312" w:eastAsia="仿宋_GB2312" w:cs="仿宋_GB2312"/>
          <w:sz w:val="32"/>
          <w:szCs w:val="32"/>
        </w:rPr>
        <w:t>万元；陶山情商标注册经费</w:t>
      </w:r>
      <w:r>
        <w:rPr>
          <w:rFonts w:ascii="仿宋_GB2312" w:eastAsia="仿宋_GB2312" w:cs="仿宋_GB2312"/>
          <w:sz w:val="32"/>
          <w:szCs w:val="32"/>
        </w:rPr>
        <w:t>20</w:t>
      </w:r>
      <w:r>
        <w:rPr>
          <w:rFonts w:hint="eastAsia" w:ascii="仿宋_GB2312" w:eastAsia="仿宋_GB2312" w:cs="仿宋_GB2312"/>
          <w:sz w:val="32"/>
          <w:szCs w:val="32"/>
        </w:rPr>
        <w:t>万元。</w:t>
      </w:r>
    </w:p>
    <w:p w14:paraId="57376542">
      <w:pPr>
        <w:ind w:firstLine="64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、比上年增减情况</w:t>
      </w:r>
    </w:p>
    <w:p w14:paraId="3276F80C">
      <w:pPr>
        <w:ind w:firstLine="640"/>
        <w:rPr>
          <w:rFonts w:ascii="仿宋_GB2312" w:hAnsi="黑体" w:eastAsia="仿宋_GB2312"/>
          <w:sz w:val="32"/>
          <w:szCs w:val="32"/>
        </w:rPr>
      </w:pPr>
      <w:r>
        <w:rPr>
          <w:rFonts w:ascii="仿宋_GB2312" w:eastAsia="仿宋_GB2312" w:cs="仿宋_GB2312"/>
          <w:sz w:val="32"/>
          <w:szCs w:val="32"/>
        </w:rPr>
        <w:t>2018</w:t>
      </w:r>
      <w:r>
        <w:rPr>
          <w:rFonts w:hint="eastAsia" w:ascii="仿宋_GB2312" w:eastAsia="仿宋_GB2312" w:cs="仿宋_GB2312"/>
          <w:sz w:val="32"/>
          <w:szCs w:val="32"/>
        </w:rPr>
        <w:t>年预算收支安排</w:t>
      </w:r>
      <w:r>
        <w:rPr>
          <w:rFonts w:ascii="仿宋_GB2312" w:eastAsia="仿宋_GB2312" w:cs="仿宋_GB2312"/>
          <w:sz w:val="32"/>
          <w:szCs w:val="32"/>
        </w:rPr>
        <w:t>1803.5</w:t>
      </w:r>
      <w:r>
        <w:rPr>
          <w:rFonts w:hint="eastAsia" w:ascii="仿宋_GB2312" w:eastAsia="仿宋_GB2312" w:cs="仿宋_GB2312"/>
          <w:sz w:val="32"/>
          <w:szCs w:val="32"/>
        </w:rPr>
        <w:t>万元，较</w:t>
      </w:r>
      <w:r>
        <w:rPr>
          <w:rFonts w:ascii="仿宋_GB2312" w:eastAsia="仿宋_GB2312" w:cs="仿宋_GB2312"/>
          <w:sz w:val="32"/>
          <w:szCs w:val="32"/>
        </w:rPr>
        <w:t>2018</w:t>
      </w:r>
      <w:r>
        <w:rPr>
          <w:rFonts w:hint="eastAsia" w:ascii="仿宋_GB2312" w:eastAsia="仿宋_GB2312" w:cs="仿宋_GB2312"/>
          <w:sz w:val="32"/>
          <w:szCs w:val="32"/>
        </w:rPr>
        <w:t>年预算增长</w:t>
      </w:r>
      <w:r>
        <w:rPr>
          <w:rFonts w:ascii="仿宋_GB2312" w:eastAsia="仿宋_GB2312" w:cs="仿宋_GB2312"/>
          <w:sz w:val="32"/>
          <w:szCs w:val="32"/>
        </w:rPr>
        <w:t>625.02</w:t>
      </w:r>
      <w:r>
        <w:rPr>
          <w:rFonts w:hint="eastAsia" w:ascii="仿宋_GB2312" w:eastAsia="仿宋_GB2312" w:cs="仿宋_GB2312"/>
          <w:sz w:val="32"/>
          <w:szCs w:val="32"/>
        </w:rPr>
        <w:t>万元，其中：基本支出增长</w:t>
      </w:r>
      <w:r>
        <w:rPr>
          <w:rFonts w:ascii="仿宋_GB2312" w:eastAsia="仿宋_GB2312" w:cs="仿宋_GB2312"/>
          <w:sz w:val="32"/>
          <w:szCs w:val="32"/>
        </w:rPr>
        <w:t>635.02</w:t>
      </w:r>
      <w:r>
        <w:rPr>
          <w:rFonts w:hint="eastAsia" w:ascii="仿宋_GB2312" w:eastAsia="仿宋_GB2312" w:cs="仿宋_GB2312"/>
          <w:sz w:val="32"/>
          <w:szCs w:val="32"/>
        </w:rPr>
        <w:t>万元，主要是今年单位代交养老保险、医保费和住房公积金，预算支出列至今年的预算中，项目支出减少</w:t>
      </w:r>
      <w:r>
        <w:rPr>
          <w:rFonts w:ascii="仿宋_GB2312" w:eastAsia="仿宋_GB2312" w:cs="仿宋_GB2312"/>
          <w:sz w:val="32"/>
          <w:szCs w:val="32"/>
        </w:rPr>
        <w:t>10</w:t>
      </w:r>
      <w:r>
        <w:rPr>
          <w:rFonts w:hint="eastAsia" w:ascii="仿宋_GB2312" w:eastAsia="仿宋_GB2312" w:cs="仿宋_GB2312"/>
          <w:sz w:val="32"/>
          <w:szCs w:val="32"/>
        </w:rPr>
        <w:t>万元，主要是减少了一个举报奖励资金项目。</w:t>
      </w:r>
    </w:p>
    <w:p w14:paraId="0C2B8E49">
      <w:pPr>
        <w:autoSpaceDE w:val="0"/>
        <w:autoSpaceDN w:val="0"/>
        <w:adjustRightInd w:val="0"/>
        <w:ind w:left="198" w:firstLine="643" w:firstLineChars="200"/>
        <w:jc w:val="left"/>
        <w:rPr>
          <w:rFonts w:ascii="黑体" w:hAnsi="黑体" w:eastAsia="黑体"/>
          <w:b/>
          <w:bCs/>
          <w:sz w:val="32"/>
          <w:szCs w:val="32"/>
        </w:rPr>
      </w:pPr>
      <w:r>
        <w:rPr>
          <w:rFonts w:hint="eastAsia" w:ascii="黑体" w:hAnsi="黑体" w:eastAsia="黑体" w:cs="黑体"/>
          <w:b/>
          <w:bCs/>
          <w:sz w:val="32"/>
          <w:szCs w:val="32"/>
        </w:rPr>
        <w:t>三、机关运行经费安排情况</w:t>
      </w:r>
    </w:p>
    <w:p w14:paraId="0CEC630B">
      <w:pPr>
        <w:autoSpaceDE w:val="0"/>
        <w:autoSpaceDN w:val="0"/>
        <w:adjustRightInd w:val="0"/>
        <w:ind w:left="198" w:firstLine="640" w:firstLineChars="200"/>
        <w:jc w:val="left"/>
        <w:rPr>
          <w:rFonts w:ascii="仿宋_GB2312" w:eastAsia="仿宋_GB2312"/>
          <w:sz w:val="32"/>
          <w:szCs w:val="32"/>
        </w:rPr>
      </w:pPr>
      <w:r>
        <w:rPr>
          <w:rFonts w:ascii="仿宋_GB2312" w:eastAsia="仿宋_GB2312" w:cs="仿宋_GB2312"/>
          <w:sz w:val="32"/>
          <w:szCs w:val="32"/>
        </w:rPr>
        <w:t>2019</w:t>
      </w:r>
      <w:r>
        <w:rPr>
          <w:rFonts w:hint="eastAsia" w:ascii="仿宋_GB2312" w:eastAsia="仿宋_GB2312" w:cs="仿宋_GB2312"/>
          <w:sz w:val="32"/>
          <w:szCs w:val="32"/>
        </w:rPr>
        <w:t>年，我部门机关运行经费共计安排</w:t>
      </w:r>
      <w:r>
        <w:rPr>
          <w:rFonts w:ascii="仿宋_GB2312" w:eastAsia="仿宋_GB2312" w:cs="仿宋_GB2312"/>
          <w:sz w:val="32"/>
          <w:szCs w:val="32"/>
        </w:rPr>
        <w:t>384.5</w:t>
      </w:r>
      <w:r>
        <w:rPr>
          <w:rFonts w:hint="eastAsia" w:ascii="仿宋_GB2312" w:eastAsia="仿宋_GB2312" w:cs="仿宋_GB2312"/>
          <w:sz w:val="32"/>
          <w:szCs w:val="32"/>
        </w:rPr>
        <w:t>万元，主要用于办公费、印刷费、邮电费、公务交通补贴等日常运行支出。</w:t>
      </w:r>
    </w:p>
    <w:p w14:paraId="038882DB">
      <w:pPr>
        <w:autoSpaceDE w:val="0"/>
        <w:autoSpaceDN w:val="0"/>
        <w:adjustRightInd w:val="0"/>
        <w:ind w:left="198" w:firstLine="643" w:firstLineChars="200"/>
        <w:jc w:val="left"/>
        <w:rPr>
          <w:rFonts w:ascii="黑体" w:hAnsi="黑体" w:eastAsia="黑体"/>
          <w:b/>
          <w:bCs/>
          <w:sz w:val="32"/>
          <w:szCs w:val="32"/>
        </w:rPr>
      </w:pPr>
      <w:r>
        <w:rPr>
          <w:rFonts w:hint="eastAsia" w:ascii="黑体" w:hAnsi="黑体" w:eastAsia="黑体" w:cs="黑体"/>
          <w:b/>
          <w:bCs/>
          <w:sz w:val="32"/>
          <w:szCs w:val="32"/>
        </w:rPr>
        <w:t>四、财政拨款“三公”经费预算情况及增减变化原因</w:t>
      </w:r>
    </w:p>
    <w:p w14:paraId="6A25B211">
      <w:pPr>
        <w:ind w:firstLine="640" w:firstLineChars="200"/>
        <w:rPr>
          <w:rFonts w:ascii="仿宋_GB2312" w:hAnsi="仿宋_GB2312" w:eastAsia="仿宋_GB2312"/>
          <w:sz w:val="32"/>
          <w:szCs w:val="32"/>
          <w:lang w:val="zh-CN"/>
        </w:rPr>
      </w:pPr>
      <w:r>
        <w:rPr>
          <w:rFonts w:ascii="仿宋_GB2312" w:eastAsia="仿宋_GB2312" w:cs="仿宋_GB2312"/>
          <w:sz w:val="32"/>
          <w:szCs w:val="32"/>
        </w:rPr>
        <w:t>2019</w:t>
      </w:r>
      <w:r>
        <w:rPr>
          <w:rFonts w:hint="eastAsia" w:ascii="仿宋_GB2312" w:eastAsia="仿宋_GB2312" w:cs="仿宋_GB2312"/>
          <w:sz w:val="32"/>
          <w:szCs w:val="32"/>
        </w:rPr>
        <w:t>年，我部门财政拨款“三公”经费预算安排</w:t>
      </w:r>
      <w:r>
        <w:rPr>
          <w:rFonts w:ascii="仿宋_GB2312" w:eastAsia="仿宋_GB2312" w:cs="仿宋_GB2312"/>
          <w:sz w:val="32"/>
          <w:szCs w:val="32"/>
        </w:rPr>
        <w:t>16.2</w:t>
      </w:r>
      <w:r>
        <w:rPr>
          <w:rFonts w:hint="eastAsia" w:ascii="仿宋_GB2312" w:eastAsia="仿宋_GB2312" w:cs="仿宋_GB2312"/>
          <w:sz w:val="32"/>
          <w:szCs w:val="32"/>
        </w:rPr>
        <w:t>万元，其中因公出国（境）费</w:t>
      </w:r>
      <w:r>
        <w:rPr>
          <w:rFonts w:ascii="仿宋_GB2312" w:eastAsia="仿宋_GB2312" w:cs="仿宋_GB2312"/>
          <w:sz w:val="32"/>
          <w:szCs w:val="32"/>
        </w:rPr>
        <w:t>0</w:t>
      </w:r>
      <w:r>
        <w:rPr>
          <w:rFonts w:hint="eastAsia" w:ascii="仿宋_GB2312" w:eastAsia="仿宋_GB2312" w:cs="仿宋_GB2312"/>
          <w:sz w:val="32"/>
          <w:szCs w:val="32"/>
        </w:rPr>
        <w:t>万元，公务用车购置及运维费</w:t>
      </w:r>
      <w:r>
        <w:rPr>
          <w:rFonts w:ascii="仿宋_GB2312" w:eastAsia="仿宋_GB2312" w:cs="仿宋_GB2312"/>
          <w:sz w:val="32"/>
          <w:szCs w:val="32"/>
        </w:rPr>
        <w:t>16.2</w:t>
      </w:r>
      <w:r>
        <w:rPr>
          <w:rFonts w:hint="eastAsia" w:ascii="仿宋_GB2312" w:eastAsia="仿宋_GB2312" w:cs="仿宋_GB2312"/>
          <w:sz w:val="32"/>
          <w:szCs w:val="32"/>
        </w:rPr>
        <w:t>万元（其中：公务用车购置费为</w:t>
      </w:r>
      <w:r>
        <w:rPr>
          <w:rFonts w:ascii="仿宋_GB2312" w:eastAsia="仿宋_GB2312" w:cs="仿宋_GB2312"/>
          <w:sz w:val="32"/>
          <w:szCs w:val="32"/>
        </w:rPr>
        <w:t>0</w:t>
      </w:r>
      <w:r>
        <w:rPr>
          <w:rFonts w:hint="eastAsia" w:ascii="仿宋_GB2312" w:eastAsia="仿宋_GB2312" w:cs="仿宋_GB2312"/>
          <w:sz w:val="32"/>
          <w:szCs w:val="32"/>
        </w:rPr>
        <w:t>万元，公务用车运维费</w:t>
      </w:r>
      <w:r>
        <w:rPr>
          <w:rFonts w:ascii="仿宋_GB2312" w:eastAsia="仿宋_GB2312" w:cs="仿宋_GB2312"/>
          <w:sz w:val="32"/>
          <w:szCs w:val="32"/>
        </w:rPr>
        <w:t>16.2</w:t>
      </w:r>
      <w:r>
        <w:rPr>
          <w:rFonts w:hint="eastAsia" w:ascii="仿宋_GB2312" w:eastAsia="仿宋_GB2312" w:cs="仿宋_GB2312"/>
          <w:sz w:val="32"/>
          <w:szCs w:val="32"/>
        </w:rPr>
        <w:t>万元</w:t>
      </w:r>
      <w:r>
        <w:rPr>
          <w:rFonts w:ascii="仿宋_GB2312" w:eastAsia="仿宋_GB2312" w:cs="仿宋_GB2312"/>
          <w:sz w:val="32"/>
          <w:szCs w:val="32"/>
        </w:rPr>
        <w:t>)</w:t>
      </w:r>
      <w:r>
        <w:rPr>
          <w:rFonts w:hint="eastAsia" w:ascii="仿宋_GB2312" w:eastAsia="仿宋_GB2312" w:cs="仿宋_GB2312"/>
          <w:sz w:val="32"/>
          <w:szCs w:val="32"/>
        </w:rPr>
        <w:t>，较上年减少</w:t>
      </w:r>
      <w:r>
        <w:rPr>
          <w:rFonts w:ascii="仿宋_GB2312" w:eastAsia="仿宋_GB2312" w:cs="仿宋_GB2312"/>
          <w:sz w:val="32"/>
          <w:szCs w:val="32"/>
        </w:rPr>
        <w:t>6.8</w:t>
      </w:r>
      <w:r>
        <w:rPr>
          <w:rFonts w:hint="eastAsia" w:ascii="仿宋_GB2312" w:eastAsia="仿宋_GB2312" w:cs="仿宋_GB2312"/>
          <w:sz w:val="32"/>
          <w:szCs w:val="32"/>
        </w:rPr>
        <w:t>万元；公务接待费</w:t>
      </w:r>
      <w:r>
        <w:rPr>
          <w:rFonts w:ascii="仿宋_GB2312" w:eastAsia="仿宋_GB2312" w:cs="仿宋_GB2312"/>
          <w:sz w:val="32"/>
          <w:szCs w:val="32"/>
        </w:rPr>
        <w:t>0</w:t>
      </w:r>
      <w:r>
        <w:rPr>
          <w:rFonts w:hint="eastAsia" w:ascii="仿宋_GB2312" w:eastAsia="仿宋_GB2312" w:cs="仿宋_GB2312"/>
          <w:sz w:val="32"/>
          <w:szCs w:val="32"/>
        </w:rPr>
        <w:t>万元。“三公”经费预算安排比</w:t>
      </w:r>
      <w:r>
        <w:rPr>
          <w:rFonts w:ascii="仿宋_GB2312" w:eastAsia="仿宋_GB2312" w:cs="仿宋_GB2312"/>
          <w:sz w:val="32"/>
          <w:szCs w:val="32"/>
        </w:rPr>
        <w:t>2018</w:t>
      </w:r>
      <w:r>
        <w:rPr>
          <w:rFonts w:hint="eastAsia" w:ascii="仿宋_GB2312" w:eastAsia="仿宋_GB2312" w:cs="仿宋_GB2312"/>
          <w:sz w:val="32"/>
          <w:szCs w:val="32"/>
        </w:rPr>
        <w:t>年预算减少</w:t>
      </w:r>
      <w:r>
        <w:rPr>
          <w:rFonts w:ascii="仿宋_GB2312" w:eastAsia="仿宋_GB2312" w:cs="仿宋_GB2312"/>
          <w:sz w:val="32"/>
          <w:szCs w:val="32"/>
        </w:rPr>
        <w:t>5</w:t>
      </w:r>
      <w:r>
        <w:rPr>
          <w:rFonts w:hint="eastAsia" w:ascii="仿宋_GB2312" w:eastAsia="仿宋_GB2312" w:cs="仿宋_GB2312"/>
          <w:sz w:val="32"/>
          <w:szCs w:val="32"/>
        </w:rPr>
        <w:t>万元，</w:t>
      </w:r>
      <w:r>
        <w:rPr>
          <w:rFonts w:hint="eastAsia" w:ascii="仿宋_GB2312" w:hAnsi="仿宋_GB2312" w:eastAsia="仿宋_GB2312" w:cs="仿宋_GB2312"/>
          <w:sz w:val="32"/>
          <w:szCs w:val="32"/>
          <w:lang w:val="zh-CN"/>
        </w:rPr>
        <w:t>三公”经费支出预算减少的原因主要是我部门积极响应国家号召，大力压减公务接待，不安排公费出国和公车购置，厉行节约，减少公车运行维护费用支出。</w:t>
      </w:r>
    </w:p>
    <w:p w14:paraId="58D41A15">
      <w:pPr>
        <w:ind w:firstLine="643" w:firstLineChars="200"/>
        <w:rPr>
          <w:rFonts w:ascii="黑体" w:hAnsi="黑体" w:eastAsia="黑体"/>
          <w:b/>
          <w:bCs/>
          <w:sz w:val="32"/>
          <w:szCs w:val="32"/>
          <w:lang w:val="zh-CN"/>
        </w:rPr>
      </w:pPr>
      <w:r>
        <w:rPr>
          <w:rFonts w:hint="eastAsia" w:ascii="黑体" w:hAnsi="黑体" w:eastAsia="黑体" w:cs="黑体"/>
          <w:b/>
          <w:bCs/>
          <w:sz w:val="32"/>
          <w:szCs w:val="32"/>
          <w:lang w:val="zh-CN"/>
        </w:rPr>
        <w:t>五、绩效预算信息</w:t>
      </w:r>
    </w:p>
    <w:p w14:paraId="5448C179">
      <w:pPr>
        <w:pStyle w:val="12"/>
        <w:ind w:firstLine="630" w:firstLineChars="196"/>
        <w:rPr>
          <w:rFonts w:ascii="Times New Roman" w:hAnsi="Times New Roman" w:eastAsia="方正仿宋_GBK" w:cs="Times New Roman"/>
          <w:b/>
          <w:bCs/>
          <w:sz w:val="32"/>
          <w:szCs w:val="32"/>
          <w:lang w:eastAsia="zh-CN"/>
        </w:rPr>
      </w:pPr>
      <w:r>
        <w:rPr>
          <w:rFonts w:hint="eastAsia" w:ascii="黑体" w:hAnsi="Times New Roman" w:eastAsia="黑体" w:cs="黑体"/>
          <w:b/>
          <w:bCs/>
          <w:sz w:val="32"/>
          <w:szCs w:val="32"/>
        </w:rPr>
        <w:t>总体绩效目标</w:t>
      </w:r>
      <w:r>
        <w:rPr>
          <w:rFonts w:hint="eastAsia" w:ascii="Times New Roman" w:hAnsi="Times New Roman" w:eastAsia="方正仿宋_GBK" w:cs="方正仿宋_GBK"/>
          <w:b/>
          <w:bCs/>
          <w:sz w:val="32"/>
          <w:szCs w:val="32"/>
        </w:rPr>
        <w:t>：</w:t>
      </w:r>
    </w:p>
    <w:p w14:paraId="0BEEEEA5">
      <w:pPr>
        <w:pStyle w:val="12"/>
        <w:ind w:firstLine="640" w:firstLineChars="200"/>
        <w:rPr>
          <w:rFonts w:ascii="仿宋_GB2312" w:hAnsi="仿宋_GB2312" w:eastAsia="仿宋_GB2312" w:cs="Times New Roman"/>
          <w:color w:val="000000"/>
          <w:sz w:val="32"/>
          <w:szCs w:val="32"/>
        </w:rPr>
      </w:pPr>
      <w:r>
        <w:rPr>
          <w:rFonts w:ascii="仿宋_GB2312" w:hAnsi="仿宋_GB2312" w:eastAsia="仿宋_GB2312" w:cs="仿宋_GB2312"/>
          <w:color w:val="000000"/>
          <w:sz w:val="32"/>
          <w:szCs w:val="32"/>
        </w:rPr>
        <w:t>201</w:t>
      </w:r>
      <w:r>
        <w:rPr>
          <w:rFonts w:ascii="仿宋_GB2312" w:hAnsi="仿宋_GB2312" w:eastAsia="仿宋_GB2312" w:cs="仿宋_GB2312"/>
          <w:color w:val="000000"/>
          <w:sz w:val="32"/>
          <w:szCs w:val="32"/>
          <w:lang w:eastAsia="zh-CN"/>
        </w:rPr>
        <w:t>9</w:t>
      </w:r>
      <w:r>
        <w:rPr>
          <w:rFonts w:hint="eastAsia" w:ascii="仿宋_GB2312" w:hAnsi="仿宋_GB2312" w:eastAsia="仿宋_GB2312" w:cs="仿宋_GB2312"/>
          <w:color w:val="000000"/>
          <w:sz w:val="32"/>
          <w:szCs w:val="32"/>
        </w:rPr>
        <w:t>年我局将认真贯彻落实党的十九大精神，紧紧围绕县委、县政府的中心工作，树立大局意识，立足部门职能，勇于依法担当，全面服务经济发展，加强市场监管，强化消保维权，深化商事改革，确保食药安全，加强队伍建设，求实效，争一流，努力开创工商食药监工作新局面，为建设宜居、宜业、宜游的生态强县做出新的贡献。</w:t>
      </w:r>
    </w:p>
    <w:p w14:paraId="73EF172B">
      <w:pPr>
        <w:widowControl/>
        <w:numPr>
          <w:ilvl w:val="0"/>
          <w:numId w:val="1"/>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rPr>
          <w:rFonts w:eastAsia="Times New Roman"/>
          <w:b/>
          <w:bCs/>
          <w:color w:val="000000"/>
          <w:sz w:val="32"/>
          <w:szCs w:val="32"/>
        </w:rPr>
      </w:pPr>
      <w:r>
        <w:rPr>
          <w:rFonts w:hint="eastAsia" w:ascii="黑体" w:hAnsi="黑体" w:eastAsia="黑体" w:cs="黑体"/>
          <w:b/>
          <w:bCs/>
          <w:color w:val="000000"/>
          <w:sz w:val="32"/>
          <w:szCs w:val="32"/>
        </w:rPr>
        <w:t>强化食品药品安全监管，确保无安全事故发生</w:t>
      </w:r>
    </w:p>
    <w:p w14:paraId="174286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rPr>
          <w:rFonts w:eastAsia="Times New Roman"/>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进一步加强对食品药品安全网格化监管制度的落实，加大对村级食品药品安全协管员的培训力度，筑牢监管网底。同时强化乡镇对村级食品药品安全协管员的指导和培训，进一步提高认识，增强能力，明确职责，强化责任，促进网格化监管的内涵建设。在重大节日期间，集中力量，突出重点时段、重点区域和重点品种，开展食品药品安全专项整治，确保全县人民过上祥和、安乐的节日。</w:t>
      </w:r>
    </w:p>
    <w:p w14:paraId="6BEDA90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rPr>
          <w:rFonts w:eastAsia="Times New Roman"/>
          <w:color w:val="000000"/>
          <w:sz w:val="32"/>
          <w:szCs w:val="32"/>
          <w:shd w:val="clear" w:color="auto" w:fill="FFFFFF"/>
        </w:rPr>
      </w:pPr>
      <w:r>
        <w:rPr>
          <w:rFonts w:ascii="楷体_GB2312" w:hAnsi="楷体_GB2312" w:eastAsia="楷体_GB2312" w:cs="楷体_GB2312"/>
          <w:b/>
          <w:bCs/>
          <w:color w:val="000000"/>
          <w:sz w:val="32"/>
          <w:szCs w:val="32"/>
          <w:shd w:val="clear" w:color="auto" w:fill="FFFFFF"/>
        </w:rPr>
        <w:t xml:space="preserve">    </w:t>
      </w:r>
      <w:r>
        <w:rPr>
          <w:rFonts w:hint="eastAsia" w:ascii="楷体_GB2312" w:hAnsi="楷体_GB2312" w:eastAsia="楷体_GB2312" w:cs="楷体_GB2312"/>
          <w:b/>
          <w:bCs/>
          <w:color w:val="000000"/>
          <w:sz w:val="32"/>
          <w:szCs w:val="32"/>
          <w:shd w:val="clear" w:color="auto" w:fill="FFFFFF"/>
        </w:rPr>
        <w:t>（一）加强食品生产监管。</w:t>
      </w:r>
      <w:r>
        <w:rPr>
          <w:rFonts w:hint="eastAsia" w:ascii="仿宋_GB2312" w:hAnsi="仿宋_GB2312" w:eastAsia="仿宋_GB2312" w:cs="仿宋_GB2312"/>
          <w:color w:val="000000"/>
          <w:sz w:val="32"/>
          <w:szCs w:val="32"/>
          <w:shd w:val="clear" w:color="auto" w:fill="FFFFFF"/>
        </w:rPr>
        <w:t>全面实施《食品生产企业监督检查标准规程》和《食品生产许可审查标准规程》，对食品、保健食品、食品添加剂生产企业实施标准化的监督检查，监督企业严格过期食品、回收食品的处置，以及出厂检验制度，加强生产企业日常监管。</w:t>
      </w:r>
    </w:p>
    <w:p w14:paraId="1A63316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rPr>
          <w:rFonts w:eastAsia="Times New Roman"/>
          <w:color w:val="000000"/>
          <w:sz w:val="32"/>
          <w:szCs w:val="32"/>
        </w:rPr>
      </w:pPr>
      <w:r>
        <w:rPr>
          <w:rFonts w:ascii="仿宋_GB2312" w:hAnsi="仿宋_GB2312" w:eastAsia="仿宋_GB2312" w:cs="仿宋_GB2312"/>
          <w:color w:val="000000"/>
          <w:sz w:val="32"/>
          <w:szCs w:val="32"/>
          <w:shd w:val="clear" w:color="auto" w:fill="FFFFFF"/>
        </w:rPr>
        <w:t xml:space="preserve">    </w:t>
      </w:r>
      <w:r>
        <w:rPr>
          <w:rFonts w:hint="eastAsia" w:ascii="楷体_GB2312" w:hAnsi="楷体_GB2312" w:eastAsia="楷体_GB2312" w:cs="楷体_GB2312"/>
          <w:b/>
          <w:bCs/>
          <w:color w:val="000000"/>
          <w:sz w:val="32"/>
          <w:szCs w:val="32"/>
          <w:shd w:val="clear" w:color="auto" w:fill="FFFFFF"/>
        </w:rPr>
        <w:t>（二）加强食品流通监管。</w:t>
      </w:r>
      <w:r>
        <w:rPr>
          <w:rFonts w:hint="eastAsia" w:ascii="仿宋_GB2312" w:hAnsi="仿宋_GB2312" w:eastAsia="仿宋_GB2312" w:cs="仿宋_GB2312"/>
          <w:color w:val="000000"/>
          <w:sz w:val="32"/>
          <w:szCs w:val="32"/>
          <w:shd w:val="clear" w:color="auto" w:fill="FFFFFF"/>
        </w:rPr>
        <w:t>以超市商场、批发市场、集贸市场和贸易公司等为重点场所，以强连锁经营配送总部和加盟店（柜）自行采购食品以及散装食品的监管。继续完善例会制度和负责人约谈制度，积极推进企业自检，鼓励和推进大型超市和批发市场自检工作的开展。</w:t>
      </w:r>
    </w:p>
    <w:p w14:paraId="1A34D2D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2"/>
        <w:rPr>
          <w:rFonts w:eastAsia="Times New Roman"/>
          <w:color w:val="000000"/>
          <w:sz w:val="32"/>
          <w:szCs w:val="32"/>
        </w:rPr>
      </w:pPr>
      <w:r>
        <w:rPr>
          <w:rFonts w:hint="eastAsia" w:ascii="楷体_GB2312" w:hAnsi="楷体_GB2312" w:eastAsia="楷体_GB2312" w:cs="楷体_GB2312"/>
          <w:b/>
          <w:bCs/>
          <w:color w:val="000000"/>
          <w:sz w:val="32"/>
          <w:szCs w:val="32"/>
          <w:shd w:val="clear" w:color="auto" w:fill="FFFFFF"/>
        </w:rPr>
        <w:t>（三）抓好餐饮服务环节食品监管。</w:t>
      </w:r>
      <w:r>
        <w:rPr>
          <w:rFonts w:hint="eastAsia" w:ascii="仿宋_GB2312" w:hAnsi="仿宋_GB2312" w:eastAsia="仿宋_GB2312" w:cs="仿宋_GB2312"/>
          <w:color w:val="000000"/>
          <w:sz w:val="32"/>
          <w:szCs w:val="32"/>
        </w:rPr>
        <w:t>以农村地区、城乡结合部、人流聚集区为重点区域，以学校食堂、建筑工地食堂、养老院食堂为重点对象，以传统节假日、夏秋季、中高考、重大活动期间为重点时段，以乳制品、肉及肉制品、凉菜、生食水产品、自制火锅底料、自制酱腌菜、自制酒水饮料等高风险食品及小麦粉、大米、食用油等大宗食品为重点品种，加大监管力度，切实消除餐饮服务食品安全隐患。</w:t>
      </w:r>
    </w:p>
    <w:p w14:paraId="65700B6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2"/>
        <w:rPr>
          <w:rFonts w:eastAsia="Times New Roman"/>
          <w:color w:val="000000"/>
          <w:sz w:val="32"/>
          <w:szCs w:val="32"/>
        </w:rPr>
      </w:pPr>
      <w:r>
        <w:rPr>
          <w:rFonts w:hint="eastAsia" w:ascii="楷体_GB2312" w:hAnsi="楷体_GB2312" w:eastAsia="楷体_GB2312" w:cs="楷体_GB2312"/>
          <w:b/>
          <w:bCs/>
          <w:color w:val="000000"/>
          <w:sz w:val="32"/>
          <w:szCs w:val="32"/>
          <w:shd w:val="clear" w:color="auto" w:fill="FFFFFF"/>
        </w:rPr>
        <w:t>（四）做好保健食品、化妆品经营监管。</w:t>
      </w:r>
      <w:r>
        <w:rPr>
          <w:rFonts w:hint="eastAsia" w:ascii="仿宋_GB2312" w:hAnsi="仿宋_GB2312" w:eastAsia="仿宋_GB2312" w:cs="仿宋_GB2312"/>
          <w:color w:val="000000"/>
          <w:sz w:val="32"/>
          <w:szCs w:val="32"/>
        </w:rPr>
        <w:t>进一步加强保健食品化妆品管理，建立完善监管档案。以专卖店、药店、大型超市为重点，强化对重点保化产品监督检查，重点检查进口化妆品、特殊功效化妆品的许可资料，严厉打击经营假冒伪劣产品、无证无票经营、非法添加等违法违规行为。</w:t>
      </w:r>
    </w:p>
    <w:p w14:paraId="70BFA24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rPr>
          <w:rFonts w:eastAsia="Times New Roman"/>
          <w:b/>
          <w:bCs/>
          <w:color w:val="000000"/>
          <w:sz w:val="32"/>
          <w:szCs w:val="32"/>
          <w:shd w:val="clear" w:color="auto" w:fill="FFFFFF"/>
        </w:rPr>
      </w:pPr>
      <w:r>
        <w:rPr>
          <w:rFonts w:ascii="楷体_GB2312" w:hAnsi="楷体_GB2312" w:eastAsia="楷体_GB2312" w:cs="楷体_GB2312"/>
          <w:b/>
          <w:bCs/>
          <w:color w:val="000000"/>
          <w:sz w:val="32"/>
          <w:szCs w:val="32"/>
          <w:shd w:val="clear" w:color="auto" w:fill="FFFFFF"/>
        </w:rPr>
        <w:t xml:space="preserve">    </w:t>
      </w:r>
      <w:r>
        <w:rPr>
          <w:rFonts w:hint="eastAsia" w:ascii="楷体_GB2312" w:hAnsi="楷体_GB2312" w:eastAsia="楷体_GB2312" w:cs="楷体_GB2312"/>
          <w:b/>
          <w:bCs/>
          <w:color w:val="000000"/>
          <w:sz w:val="32"/>
          <w:szCs w:val="32"/>
          <w:shd w:val="clear" w:color="auto" w:fill="FFFFFF"/>
        </w:rPr>
        <w:t>（五）加强药品医疗器械安全监管。</w:t>
      </w:r>
      <w:r>
        <w:rPr>
          <w:rFonts w:ascii="楷体_GB2312" w:hAnsi="楷体_GB2312" w:eastAsia="楷体_GB2312" w:cs="楷体_GB2312"/>
          <w:b/>
          <w:bCs/>
          <w:color w:val="000000"/>
          <w:sz w:val="32"/>
          <w:szCs w:val="32"/>
          <w:shd w:val="clear" w:color="auto" w:fill="FFFFFF"/>
        </w:rPr>
        <w:t xml:space="preserve"> </w:t>
      </w:r>
      <w:r>
        <w:rPr>
          <w:rFonts w:hint="eastAsia" w:ascii="仿宋_GB2312" w:hAnsi="仿宋_GB2312" w:eastAsia="仿宋_GB2312" w:cs="仿宋_GB2312"/>
          <w:color w:val="000000"/>
          <w:sz w:val="32"/>
          <w:szCs w:val="32"/>
        </w:rPr>
        <w:t>认真落实《中华人民共和国药品管理法》，对药品生产企业要按照新版</w:t>
      </w:r>
      <w:r>
        <w:rPr>
          <w:rFonts w:ascii="仿宋_GB2312" w:hAnsi="仿宋_GB2312" w:eastAsia="仿宋_GB2312" w:cs="仿宋_GB2312"/>
          <w:color w:val="000000"/>
          <w:sz w:val="32"/>
          <w:szCs w:val="32"/>
        </w:rPr>
        <w:t>GMP</w:t>
      </w:r>
      <w:r>
        <w:rPr>
          <w:rFonts w:hint="eastAsia" w:ascii="仿宋_GB2312" w:hAnsi="仿宋_GB2312" w:eastAsia="仿宋_GB2312" w:cs="仿宋_GB2312"/>
          <w:color w:val="000000"/>
          <w:sz w:val="32"/>
          <w:szCs w:val="32"/>
        </w:rPr>
        <w:t>要求，严把“五关”，即严把人员资质关；严把物料源头关，规范进货渠道；严把生产关，按批准的工艺生产；严把偏差管理关；严把出厂检验关。以实施《药品经营质量管理规范》为抓手，建立一企一档，</w:t>
      </w:r>
      <w:r>
        <w:rPr>
          <w:rFonts w:hint="eastAsia" w:ascii="仿宋_GB2312" w:hAnsi="仿宋_GB2312" w:eastAsia="仿宋_GB2312" w:cs="仿宋_GB2312"/>
          <w:color w:val="000000"/>
          <w:sz w:val="32"/>
          <w:szCs w:val="32"/>
          <w:shd w:val="clear" w:color="auto" w:fill="FFFFFF"/>
        </w:rPr>
        <w:t>配合医改药品采购“两票制”改革，</w:t>
      </w:r>
      <w:r>
        <w:rPr>
          <w:rFonts w:hint="eastAsia" w:ascii="仿宋_GB2312" w:hAnsi="仿宋_GB2312" w:eastAsia="仿宋_GB2312" w:cs="仿宋_GB2312"/>
          <w:color w:val="000000"/>
          <w:sz w:val="32"/>
          <w:szCs w:val="32"/>
        </w:rPr>
        <w:t>对药品经营企业实施全覆盖检查，提高日常监督检查的针对性和有效性，严惩企业违法违规行为，进一步规范市场秩序。</w:t>
      </w:r>
      <w:r>
        <w:rPr>
          <w:rFonts w:hint="eastAsia" w:ascii="仿宋_GB2312" w:hAnsi="仿宋_GB2312" w:eastAsia="仿宋_GB2312" w:cs="仿宋_GB2312"/>
          <w:color w:val="000000"/>
          <w:sz w:val="32"/>
          <w:szCs w:val="32"/>
          <w:shd w:val="clear" w:color="auto" w:fill="FFFFFF"/>
        </w:rPr>
        <w:t>持续加强医疗机构药品使用的管理，重点检查医疗机构</w:t>
      </w:r>
      <w:r>
        <w:rPr>
          <w:rStyle w:val="6"/>
          <w:rFonts w:hint="eastAsia" w:ascii="仿宋_GB2312" w:hAnsi="仿宋_GB2312" w:eastAsia="仿宋_GB2312" w:cs="仿宋_GB2312"/>
          <w:b w:val="0"/>
          <w:bCs w:val="0"/>
          <w:color w:val="000000"/>
          <w:sz w:val="32"/>
          <w:szCs w:val="32"/>
          <w:shd w:val="clear" w:color="auto" w:fill="FFFFFF"/>
        </w:rPr>
        <w:t>是否建立真实、完整的药品购进记录、验收记录，做到票、帐、货一致，确保药械安全。</w:t>
      </w:r>
    </w:p>
    <w:p w14:paraId="6D77D90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2"/>
        <w:rPr>
          <w:rFonts w:eastAsia="Times New Roman"/>
          <w:color w:val="000000"/>
          <w:sz w:val="32"/>
          <w:szCs w:val="32"/>
        </w:rPr>
      </w:pPr>
      <w:r>
        <w:rPr>
          <w:rFonts w:hint="eastAsia" w:ascii="黑体" w:hAnsi="黑体" w:eastAsia="黑体" w:cs="黑体"/>
          <w:b/>
          <w:bCs/>
          <w:color w:val="000000"/>
          <w:sz w:val="32"/>
          <w:szCs w:val="32"/>
        </w:rPr>
        <w:t>二、推进商事制度改革，促进各类市场主体繁荣发展</w:t>
      </w:r>
      <w:r>
        <w:rPr>
          <w:rFonts w:ascii="楷体_GB2312" w:hAnsi="楷体_GB2312" w:eastAsia="楷体_GB2312" w:cs="楷体_GB2312"/>
          <w:b/>
          <w:bCs/>
          <w:color w:val="000000"/>
          <w:sz w:val="32"/>
          <w:szCs w:val="32"/>
        </w:rPr>
        <w:t xml:space="preserve"> </w:t>
      </w:r>
    </w:p>
    <w:p w14:paraId="6ABAA55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rPr>
          <w:rFonts w:eastAsia="Times New Roman"/>
          <w:color w:val="000000"/>
          <w:sz w:val="32"/>
          <w:szCs w:val="32"/>
        </w:rPr>
      </w:pPr>
      <w:r>
        <w:rPr>
          <w:rFonts w:hint="eastAsia" w:ascii="仿宋_GB2312" w:hAnsi="仿宋_GB2312" w:eastAsia="仿宋_GB2312" w:cs="仿宋_GB2312"/>
          <w:color w:val="000000"/>
          <w:sz w:val="32"/>
          <w:szCs w:val="32"/>
        </w:rPr>
        <w:t>全面推进“多证合一、一照一码”改革、“先照后证”改革、简易注销改革等，切实降低创业准入门槛和制度性成本，促进市场主体快速增长。</w:t>
      </w: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年，要按照市下达的任务目标，完成我县市场主体增量和企业年报公示率要求。按照县政府对微企扶持发展的决策部署，加大扶持推进力度，完成实现扶持微型企业发展、带动就业人口、促进京津冀协同发展的目标。</w:t>
      </w:r>
    </w:p>
    <w:p w14:paraId="6621064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rPr>
          <w:rFonts w:eastAsia="Times New Roman"/>
          <w:b/>
          <w:bCs/>
          <w:color w:val="000000"/>
          <w:sz w:val="32"/>
          <w:szCs w:val="32"/>
        </w:rPr>
      </w:pPr>
      <w:r>
        <w:rPr>
          <w:rFonts w:ascii="楷体_GB2312" w:hAnsi="楷体_GB2312" w:eastAsia="楷体_GB2312" w:cs="楷体_GB2312"/>
          <w:b/>
          <w:bCs/>
          <w:color w:val="000000"/>
          <w:sz w:val="32"/>
          <w:szCs w:val="32"/>
        </w:rPr>
        <w:t xml:space="preserve">   </w:t>
      </w:r>
      <w:r>
        <w:rPr>
          <w:rFonts w:ascii="黑体" w:hAnsi="黑体" w:eastAsia="黑体" w:cs="黑体"/>
          <w:b/>
          <w:bCs/>
          <w:color w:val="000000"/>
          <w:sz w:val="32"/>
          <w:szCs w:val="32"/>
        </w:rPr>
        <w:t xml:space="preserve"> </w:t>
      </w:r>
      <w:r>
        <w:rPr>
          <w:rFonts w:hint="eastAsia" w:ascii="黑体" w:hAnsi="黑体" w:eastAsia="黑体" w:cs="黑体"/>
          <w:b/>
          <w:bCs/>
          <w:color w:val="000000"/>
          <w:sz w:val="32"/>
          <w:szCs w:val="32"/>
        </w:rPr>
        <w:t>三、强化市场监管措施，营造公平竞争的市场环境</w:t>
      </w:r>
    </w:p>
    <w:p w14:paraId="25E0BCB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rPr>
          <w:rFonts w:eastAsia="Times New Roman"/>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全面推行“双随机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一公开”抽查监管模式，是深化简政放权、放管结合、优化服务改革工作的重要举措，是加强事中事后监管的关键环节。我县将严格按照国家和省市要求，整合全县执法部门监督管理资源，随机抽取检查对象，随机选派执法检查人员，抽查情况和抽查结果及时通过“国家企业信用信息公示系统（河北）”向社会公开，扎实开展“双随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一公开”工作。同时加强网络商品交易监管，强化商标专用权保护和合同监管，开展打击传销和规范直销工作，严厉打击不正当竞争行为等，进一步提高监管效能，规范市场秩序。</w:t>
      </w:r>
    </w:p>
    <w:p w14:paraId="7471DE3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rPr>
          <w:rFonts w:eastAsia="Times New Roman"/>
          <w:b/>
          <w:bCs/>
          <w:color w:val="000000"/>
          <w:sz w:val="32"/>
          <w:szCs w:val="32"/>
        </w:rPr>
      </w:pPr>
      <w:r>
        <w:rPr>
          <w:rFonts w:ascii="黑体" w:hAnsi="黑体" w:eastAsia="黑体" w:cs="黑体"/>
          <w:b/>
          <w:bCs/>
          <w:color w:val="000000"/>
          <w:sz w:val="32"/>
          <w:szCs w:val="32"/>
        </w:rPr>
        <w:t xml:space="preserve">    </w:t>
      </w:r>
      <w:r>
        <w:rPr>
          <w:rFonts w:hint="eastAsia" w:ascii="黑体" w:hAnsi="黑体" w:eastAsia="黑体" w:cs="黑体"/>
          <w:b/>
          <w:bCs/>
          <w:color w:val="000000"/>
          <w:sz w:val="32"/>
          <w:szCs w:val="32"/>
        </w:rPr>
        <w:t>四、强化消费维权，营造安全放心的消费环境</w:t>
      </w:r>
    </w:p>
    <w:p w14:paraId="4D56DB1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进一步加强</w:t>
      </w:r>
      <w:r>
        <w:rPr>
          <w:rFonts w:ascii="仿宋_GB2312" w:hAnsi="仿宋_GB2312" w:eastAsia="仿宋_GB2312" w:cs="仿宋_GB2312"/>
          <w:color w:val="000000"/>
          <w:sz w:val="32"/>
          <w:szCs w:val="32"/>
        </w:rPr>
        <w:t>12315</w:t>
      </w:r>
      <w:r>
        <w:rPr>
          <w:rFonts w:hint="eastAsia" w:ascii="仿宋_GB2312" w:hAnsi="仿宋_GB2312" w:eastAsia="仿宋_GB2312" w:cs="仿宋_GB2312"/>
          <w:color w:val="000000"/>
          <w:sz w:val="32"/>
          <w:szCs w:val="32"/>
        </w:rPr>
        <w:t>体系建设，扩大城乡基层消费维权网络覆盖面；强化流通领域商品质量监管和服务领域消费维权，依法查处流通领域不合格商品案件，努力构建企业自律、消费者参与、社会监督、政府监管的消费维权社会共治新机制。</w:t>
      </w:r>
      <w:r>
        <w:rPr>
          <w:rFonts w:ascii="仿宋_GB2312" w:hAnsi="仿宋_GB2312" w:eastAsia="仿宋_GB2312" w:cs="仿宋_GB2312"/>
          <w:color w:val="000000"/>
          <w:sz w:val="32"/>
          <w:szCs w:val="32"/>
        </w:rPr>
        <w:t xml:space="preserve"> </w:t>
      </w:r>
    </w:p>
    <w:p w14:paraId="755BD43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rPr>
          <w:rFonts w:eastAsia="Times New Roman"/>
          <w:b/>
          <w:bCs/>
          <w:color w:val="000000"/>
          <w:sz w:val="32"/>
          <w:szCs w:val="32"/>
        </w:rPr>
      </w:pPr>
      <w:r>
        <w:rPr>
          <w:rFonts w:ascii="黑体" w:hAnsi="黑体" w:eastAsia="黑体" w:cs="黑体"/>
          <w:b/>
          <w:bCs/>
          <w:color w:val="000000"/>
          <w:sz w:val="32"/>
          <w:szCs w:val="32"/>
        </w:rPr>
        <w:t xml:space="preserve">    </w:t>
      </w:r>
      <w:r>
        <w:rPr>
          <w:rFonts w:hint="eastAsia" w:ascii="黑体" w:hAnsi="黑体" w:eastAsia="黑体" w:cs="黑体"/>
          <w:b/>
          <w:bCs/>
          <w:color w:val="000000"/>
          <w:sz w:val="32"/>
          <w:szCs w:val="32"/>
        </w:rPr>
        <w:t>五、扎实推进商标战略计划，提升产品影响力和竞争力</w:t>
      </w:r>
    </w:p>
    <w:p w14:paraId="53EB9BC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结合我县支柱产业、特色产业等优势，加大商标培育和指导力度，确保实现申请商标、培育知名著名商标、培育地理标志商标件数完成市下达的任务目标。</w:t>
      </w:r>
    </w:p>
    <w:p w14:paraId="74564E08">
      <w:pPr>
        <w:autoSpaceDE w:val="0"/>
        <w:autoSpaceDN w:val="0"/>
        <w:adjustRightInd w:val="0"/>
        <w:ind w:firstLine="643" w:firstLineChars="200"/>
        <w:jc w:val="left"/>
        <w:rPr>
          <w:rFonts w:ascii="Times New Roman" w:hAnsi="Times New Roman" w:eastAsia="方正仿宋_GBK" w:cs="Times New Roman"/>
          <w:b/>
          <w:bCs/>
          <w:sz w:val="32"/>
          <w:szCs w:val="32"/>
        </w:rPr>
      </w:pPr>
      <w:r>
        <w:rPr>
          <w:rFonts w:hint="eastAsia" w:ascii="黑体" w:hAnsi="黑体" w:eastAsia="黑体" w:cs="黑体"/>
          <w:b/>
          <w:bCs/>
          <w:color w:val="000000"/>
          <w:sz w:val="32"/>
          <w:szCs w:val="32"/>
          <w:lang w:eastAsia="zh-CN"/>
        </w:rPr>
        <w:t>六、</w:t>
      </w:r>
      <w:r>
        <w:rPr>
          <w:rFonts w:hint="eastAsia" w:ascii="黑体" w:hAnsi="黑体" w:eastAsia="黑体" w:cs="黑体"/>
          <w:b/>
          <w:bCs/>
          <w:color w:val="000000"/>
          <w:sz w:val="32"/>
          <w:szCs w:val="32"/>
        </w:rPr>
        <w:t>分项绩效目标</w:t>
      </w:r>
      <w:r>
        <w:rPr>
          <w:rFonts w:ascii="Times New Roman" w:hAnsi="Times New Roman" w:eastAsia="方正仿宋_GBK" w:cs="方正仿宋_GBK"/>
          <w:b/>
          <w:bCs/>
          <w:sz w:val="32"/>
          <w:szCs w:val="32"/>
        </w:rPr>
        <w:fldChar w:fldCharType="begin"/>
      </w:r>
      <w:r>
        <w:rPr>
          <w:rFonts w:ascii="Times New Roman" w:hAnsi="Times New Roman" w:eastAsia="方正仿宋_GBK" w:cs="Times New Roman"/>
          <w:b/>
          <w:bCs/>
          <w:sz w:val="32"/>
          <w:szCs w:val="32"/>
        </w:rPr>
        <w:instrText xml:space="preserve">tc "</w:instrText>
      </w:r>
      <w:bookmarkStart w:id="0" w:name="_Toc29484629"/>
      <w:r>
        <w:rPr>
          <w:rFonts w:hint="eastAsia" w:ascii="Times New Roman" w:hAnsi="Times New Roman" w:eastAsia="方正仿宋_GBK" w:cs="方正仿宋_GBK"/>
          <w:b/>
          <w:bCs/>
          <w:sz w:val="32"/>
          <w:szCs w:val="32"/>
        </w:rPr>
        <w:instrText xml:space="preserve">分项绩效目标</w:instrText>
      </w:r>
      <w:bookmarkEnd w:id="0"/>
      <w:r>
        <w:rPr>
          <w:rFonts w:ascii="Times New Roman" w:hAnsi="Times New Roman" w:eastAsia="方正仿宋_GBK" w:cs="Times New Roman"/>
          <w:b/>
          <w:bCs/>
          <w:sz w:val="32"/>
          <w:szCs w:val="32"/>
        </w:rPr>
        <w:instrText xml:space="preserve">" \f A \l 0001</w:instrText>
      </w:r>
      <w:r>
        <w:rPr>
          <w:rFonts w:ascii="Times New Roman" w:hAnsi="Times New Roman" w:eastAsia="方正仿宋_GBK" w:cs="方正仿宋_GBK"/>
          <w:b/>
          <w:bCs/>
          <w:sz w:val="32"/>
          <w:szCs w:val="32"/>
        </w:rPr>
        <w:fldChar w:fldCharType="end"/>
      </w:r>
    </w:p>
    <w:p w14:paraId="26C638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r>
        <w:rPr>
          <w:rFonts w:hint="eastAsia" w:ascii="新宋体" w:hAnsi="新宋体" w:eastAsia="新宋体" w:cs="新宋体"/>
          <w:sz w:val="32"/>
          <w:szCs w:val="32"/>
        </w:rPr>
        <w:t>（</w:t>
      </w:r>
      <w:r>
        <w:rPr>
          <w:rFonts w:hint="eastAsia" w:ascii="Times New Roman" w:hAnsi="Times New Roman" w:eastAsia="仿宋" w:cs="仿宋"/>
          <w:sz w:val="32"/>
          <w:szCs w:val="32"/>
        </w:rPr>
        <w:t>一）</w:t>
      </w:r>
      <w:r>
        <w:rPr>
          <w:rFonts w:hint="eastAsia" w:eastAsia="仿宋" w:cs="仿宋"/>
          <w:sz w:val="32"/>
          <w:szCs w:val="32"/>
          <w:lang w:eastAsia="zh-CN"/>
        </w:rPr>
        <w:t>工商行政和食品药品</w:t>
      </w:r>
      <w:r>
        <w:rPr>
          <w:rFonts w:hint="eastAsia" w:ascii="Times New Roman" w:hAnsi="Times New Roman" w:eastAsia="仿宋" w:cs="仿宋"/>
          <w:sz w:val="32"/>
          <w:szCs w:val="32"/>
        </w:rPr>
        <w:t>事务职责</w:t>
      </w:r>
    </w:p>
    <w:p w14:paraId="1578289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r>
        <w:rPr>
          <w:rFonts w:hint="eastAsia" w:ascii="Times New Roman" w:hAnsi="Times New Roman" w:eastAsia="仿宋" w:cs="仿宋"/>
          <w:sz w:val="32"/>
          <w:szCs w:val="32"/>
        </w:rPr>
        <w:t>绩效目标：依法规范和维护全县各类市场经营秩序，监督管理市场交易行为和网络商品交易及有关服务的行为。</w:t>
      </w:r>
    </w:p>
    <w:p w14:paraId="7621482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r>
        <w:rPr>
          <w:rFonts w:hint="eastAsia" w:ascii="Times New Roman" w:hAnsi="Times New Roman" w:eastAsia="仿宋" w:cs="仿宋"/>
          <w:sz w:val="32"/>
          <w:szCs w:val="32"/>
        </w:rPr>
        <w:t>绩效指标：全县开展无照经营清理工作，实现经营者持照率达</w:t>
      </w:r>
      <w:r>
        <w:rPr>
          <w:rFonts w:ascii="Times New Roman" w:hAnsi="Times New Roman" w:eastAsia="仿宋" w:cs="Times New Roman"/>
          <w:sz w:val="32"/>
          <w:szCs w:val="32"/>
        </w:rPr>
        <w:t>98%</w:t>
      </w:r>
      <w:r>
        <w:rPr>
          <w:rFonts w:hint="eastAsia" w:ascii="Times New Roman" w:hAnsi="Times New Roman" w:eastAsia="仿宋" w:cs="仿宋"/>
          <w:sz w:val="32"/>
          <w:szCs w:val="32"/>
        </w:rPr>
        <w:t>以上，进一步加强企业年报公示工作，实现年报公示率达</w:t>
      </w:r>
      <w:r>
        <w:rPr>
          <w:rFonts w:ascii="Times New Roman" w:hAnsi="Times New Roman" w:eastAsia="仿宋" w:cs="Times New Roman"/>
          <w:sz w:val="32"/>
          <w:szCs w:val="32"/>
        </w:rPr>
        <w:t>95%</w:t>
      </w:r>
      <w:r>
        <w:rPr>
          <w:rFonts w:hint="eastAsia" w:ascii="Times New Roman" w:hAnsi="Times New Roman" w:eastAsia="仿宋" w:cs="仿宋"/>
          <w:sz w:val="32"/>
          <w:szCs w:val="32"/>
        </w:rPr>
        <w:t>以上。</w:t>
      </w:r>
    </w:p>
    <w:p w14:paraId="5426DE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r>
        <w:rPr>
          <w:rFonts w:hint="eastAsia" w:ascii="Times New Roman" w:hAnsi="Times New Roman" w:eastAsia="仿宋" w:cs="仿宋"/>
          <w:sz w:val="32"/>
          <w:szCs w:val="32"/>
        </w:rPr>
        <w:t>（二）执法办案职责</w:t>
      </w:r>
    </w:p>
    <w:p w14:paraId="4E3F3D2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r>
        <w:rPr>
          <w:rFonts w:hint="eastAsia" w:ascii="Times New Roman" w:hAnsi="Times New Roman" w:eastAsia="仿宋" w:cs="仿宋"/>
          <w:sz w:val="32"/>
          <w:szCs w:val="32"/>
        </w:rPr>
        <w:t>绩效目标：依法查处各类违法行为，组织开展专项执法行动。</w:t>
      </w:r>
    </w:p>
    <w:p w14:paraId="658942F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r>
        <w:rPr>
          <w:rFonts w:hint="eastAsia" w:ascii="Times New Roman" w:hAnsi="Times New Roman" w:eastAsia="仿宋" w:cs="仿宋"/>
          <w:sz w:val="32"/>
          <w:szCs w:val="32"/>
        </w:rPr>
        <w:t>绩效指标：抓好反不正当竞争执法培训，实现全系统执法人员参训覆盖率</w:t>
      </w:r>
      <w:r>
        <w:rPr>
          <w:rFonts w:ascii="Times New Roman" w:hAnsi="Times New Roman" w:eastAsia="仿宋" w:cs="Times New Roman"/>
          <w:sz w:val="32"/>
          <w:szCs w:val="32"/>
        </w:rPr>
        <w:t>100%</w:t>
      </w:r>
      <w:r>
        <w:rPr>
          <w:rFonts w:hint="eastAsia" w:ascii="Times New Roman" w:hAnsi="Times New Roman" w:eastAsia="仿宋" w:cs="仿宋"/>
          <w:sz w:val="32"/>
          <w:szCs w:val="32"/>
        </w:rPr>
        <w:t>。</w:t>
      </w:r>
    </w:p>
    <w:p w14:paraId="0345A26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r>
        <w:rPr>
          <w:rFonts w:hint="eastAsia" w:ascii="Times New Roman" w:hAnsi="Times New Roman" w:eastAsia="仿宋" w:cs="仿宋"/>
          <w:sz w:val="32"/>
          <w:szCs w:val="32"/>
        </w:rPr>
        <w:t>（三）消费者权益保护职责</w:t>
      </w:r>
    </w:p>
    <w:p w14:paraId="163696E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r>
        <w:rPr>
          <w:rFonts w:hint="eastAsia" w:ascii="Times New Roman" w:hAnsi="Times New Roman" w:eastAsia="仿宋" w:cs="仿宋"/>
          <w:sz w:val="32"/>
          <w:szCs w:val="32"/>
        </w:rPr>
        <w:t>绩效目标：加强基层维权网络建设，扩大</w:t>
      </w:r>
      <w:r>
        <w:rPr>
          <w:rFonts w:ascii="Times New Roman" w:hAnsi="Times New Roman" w:eastAsia="仿宋" w:cs="Times New Roman"/>
          <w:sz w:val="32"/>
          <w:szCs w:val="32"/>
        </w:rPr>
        <w:t>“12315”“</w:t>
      </w:r>
      <w:r>
        <w:rPr>
          <w:rFonts w:hint="eastAsia" w:ascii="Times New Roman" w:hAnsi="Times New Roman" w:eastAsia="仿宋" w:cs="仿宋"/>
          <w:sz w:val="32"/>
          <w:szCs w:val="32"/>
        </w:rPr>
        <w:t>五进</w:t>
      </w:r>
      <w:r>
        <w:rPr>
          <w:rFonts w:ascii="Times New Roman" w:hAnsi="Times New Roman" w:eastAsia="仿宋" w:cs="Times New Roman"/>
          <w:sz w:val="32"/>
          <w:szCs w:val="32"/>
        </w:rPr>
        <w:t>”</w:t>
      </w:r>
      <w:r>
        <w:rPr>
          <w:rFonts w:hint="eastAsia" w:ascii="Times New Roman" w:hAnsi="Times New Roman" w:eastAsia="仿宋" w:cs="仿宋"/>
          <w:sz w:val="32"/>
          <w:szCs w:val="32"/>
        </w:rPr>
        <w:t>覆盖面，组织</w:t>
      </w:r>
      <w:r>
        <w:rPr>
          <w:rFonts w:ascii="Times New Roman" w:hAnsi="Times New Roman" w:eastAsia="仿宋" w:cs="Times New Roman"/>
          <w:sz w:val="32"/>
          <w:szCs w:val="32"/>
        </w:rPr>
        <w:t>“</w:t>
      </w:r>
      <w:r>
        <w:rPr>
          <w:rFonts w:hint="eastAsia" w:ascii="Times New Roman" w:hAnsi="Times New Roman" w:eastAsia="仿宋" w:cs="仿宋"/>
          <w:sz w:val="32"/>
          <w:szCs w:val="32"/>
        </w:rPr>
        <w:t>诉转案</w:t>
      </w:r>
      <w:r>
        <w:rPr>
          <w:rFonts w:ascii="Times New Roman" w:hAnsi="Times New Roman" w:eastAsia="仿宋" w:cs="Times New Roman"/>
          <w:sz w:val="32"/>
          <w:szCs w:val="32"/>
        </w:rPr>
        <w:t>”</w:t>
      </w:r>
      <w:r>
        <w:rPr>
          <w:rFonts w:hint="eastAsia" w:ascii="Times New Roman" w:hAnsi="Times New Roman" w:eastAsia="仿宋" w:cs="仿宋"/>
          <w:sz w:val="32"/>
          <w:szCs w:val="32"/>
        </w:rPr>
        <w:t>工作经验交流会，提高</w:t>
      </w:r>
      <w:r>
        <w:rPr>
          <w:rFonts w:ascii="Times New Roman" w:hAnsi="Times New Roman" w:eastAsia="仿宋" w:cs="Times New Roman"/>
          <w:sz w:val="32"/>
          <w:szCs w:val="32"/>
        </w:rPr>
        <w:t>“</w:t>
      </w:r>
      <w:r>
        <w:rPr>
          <w:rFonts w:hint="eastAsia" w:ascii="Times New Roman" w:hAnsi="Times New Roman" w:eastAsia="仿宋" w:cs="仿宋"/>
          <w:sz w:val="32"/>
          <w:szCs w:val="32"/>
        </w:rPr>
        <w:t>诉转案</w:t>
      </w:r>
      <w:r>
        <w:rPr>
          <w:rFonts w:ascii="Times New Roman" w:hAnsi="Times New Roman" w:eastAsia="仿宋" w:cs="Times New Roman"/>
          <w:sz w:val="32"/>
          <w:szCs w:val="32"/>
        </w:rPr>
        <w:t>”</w:t>
      </w:r>
      <w:r>
        <w:rPr>
          <w:rFonts w:hint="eastAsia" w:ascii="Times New Roman" w:hAnsi="Times New Roman" w:eastAsia="仿宋" w:cs="仿宋"/>
          <w:sz w:val="32"/>
          <w:szCs w:val="32"/>
        </w:rPr>
        <w:t>质量。加强消费教育引导，打造消费教育基地。进一步做好整合后的</w:t>
      </w:r>
      <w:r>
        <w:rPr>
          <w:rFonts w:ascii="Times New Roman" w:hAnsi="Times New Roman" w:eastAsia="仿宋" w:cs="Times New Roman"/>
          <w:sz w:val="32"/>
          <w:szCs w:val="32"/>
        </w:rPr>
        <w:t>“12315”</w:t>
      </w:r>
      <w:r>
        <w:rPr>
          <w:rFonts w:hint="eastAsia" w:ascii="Times New Roman" w:hAnsi="Times New Roman" w:eastAsia="仿宋" w:cs="仿宋"/>
          <w:sz w:val="32"/>
          <w:szCs w:val="32"/>
        </w:rPr>
        <w:t>数据平台数据分析，研究建立重点领域、重点指标的监测、应急处理机制。</w:t>
      </w:r>
    </w:p>
    <w:p w14:paraId="7E010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p>
    <w:p w14:paraId="7AE03FF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r>
        <w:rPr>
          <w:rFonts w:hint="eastAsia" w:ascii="Times New Roman" w:hAnsi="Times New Roman" w:eastAsia="仿宋" w:cs="仿宋"/>
          <w:sz w:val="32"/>
          <w:szCs w:val="32"/>
        </w:rPr>
        <w:t>绩效指标：持续做好消费提示、消费警示、典型案例发布工作，</w:t>
      </w:r>
      <w:r>
        <w:rPr>
          <w:rFonts w:ascii="Times New Roman" w:hAnsi="Times New Roman" w:eastAsia="仿宋" w:cs="Times New Roman"/>
          <w:sz w:val="32"/>
          <w:szCs w:val="32"/>
        </w:rPr>
        <w:t>“</w:t>
      </w:r>
      <w:r>
        <w:rPr>
          <w:rFonts w:hint="eastAsia" w:eastAsia="仿宋" w:cs="Times New Roman"/>
          <w:sz w:val="32"/>
          <w:szCs w:val="32"/>
          <w:lang w:eastAsia="zh-CN"/>
        </w:rPr>
        <w:t>“3·15”国际消费者权益日</w:t>
      </w:r>
      <w:r>
        <w:rPr>
          <w:rFonts w:ascii="Times New Roman" w:hAnsi="Times New Roman" w:eastAsia="仿宋" w:cs="Times New Roman"/>
          <w:sz w:val="32"/>
          <w:szCs w:val="32"/>
        </w:rPr>
        <w:t>”</w:t>
      </w:r>
      <w:r>
        <w:rPr>
          <w:rFonts w:hint="eastAsia" w:ascii="Times New Roman" w:hAnsi="Times New Roman" w:eastAsia="仿宋" w:cs="仿宋"/>
          <w:sz w:val="32"/>
          <w:szCs w:val="32"/>
        </w:rPr>
        <w:t>期间宣传活动不少于</w:t>
      </w:r>
      <w:r>
        <w:rPr>
          <w:rFonts w:ascii="Times New Roman" w:hAnsi="Times New Roman" w:eastAsia="仿宋" w:cs="Times New Roman"/>
          <w:sz w:val="32"/>
          <w:szCs w:val="32"/>
        </w:rPr>
        <w:t>1</w:t>
      </w:r>
      <w:r>
        <w:rPr>
          <w:rFonts w:hint="eastAsia" w:ascii="Times New Roman" w:hAnsi="Times New Roman" w:eastAsia="仿宋" w:cs="仿宋"/>
          <w:sz w:val="32"/>
          <w:szCs w:val="32"/>
        </w:rPr>
        <w:t>次。</w:t>
      </w:r>
    </w:p>
    <w:p w14:paraId="14273D4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r>
        <w:rPr>
          <w:rFonts w:hint="eastAsia" w:ascii="Times New Roman" w:hAnsi="Times New Roman" w:eastAsia="仿宋" w:cs="仿宋"/>
          <w:sz w:val="32"/>
          <w:szCs w:val="32"/>
        </w:rPr>
        <w:t>（四）食品安全管理职责</w:t>
      </w:r>
    </w:p>
    <w:p w14:paraId="529EEB7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r>
        <w:rPr>
          <w:rFonts w:hint="eastAsia" w:ascii="Times New Roman" w:hAnsi="Times New Roman" w:eastAsia="仿宋" w:cs="仿宋"/>
          <w:sz w:val="32"/>
          <w:szCs w:val="32"/>
        </w:rPr>
        <w:t>绩效目标：通过对食品各个环节的强力监管，及时发现食品监管中存在的问题，重点突出食品安全城创建以及做好重大活动和暑期食品安全保障。确保食品（含保健食品）安全监管不出现重大事故，及时发现和排除食品安全问题。</w:t>
      </w:r>
    </w:p>
    <w:p w14:paraId="3EB1A2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r>
        <w:rPr>
          <w:rFonts w:hint="eastAsia" w:ascii="Times New Roman" w:hAnsi="Times New Roman" w:eastAsia="仿宋" w:cs="仿宋"/>
          <w:sz w:val="32"/>
          <w:szCs w:val="32"/>
        </w:rPr>
        <w:t>绩效指标：新增仪器设备数量、食品抽检计划完成率、产品生产检查率、餐饮、食堂等消费环节安全信息监测覆盖面均达到</w:t>
      </w:r>
      <w:r>
        <w:rPr>
          <w:rFonts w:ascii="Times New Roman" w:hAnsi="Times New Roman" w:eastAsia="仿宋" w:cs="Times New Roman"/>
          <w:sz w:val="32"/>
          <w:szCs w:val="32"/>
        </w:rPr>
        <w:t>80%</w:t>
      </w:r>
      <w:r>
        <w:rPr>
          <w:rFonts w:hint="eastAsia" w:ascii="Times New Roman" w:hAnsi="Times New Roman" w:eastAsia="仿宋" w:cs="仿宋"/>
          <w:sz w:val="32"/>
          <w:szCs w:val="32"/>
        </w:rPr>
        <w:t>以上，全县保健食品生产企业检查覆盖率</w:t>
      </w:r>
      <w:r>
        <w:rPr>
          <w:rFonts w:ascii="Times New Roman" w:hAnsi="Times New Roman" w:eastAsia="仿宋" w:cs="Times New Roman"/>
          <w:sz w:val="32"/>
          <w:szCs w:val="32"/>
        </w:rPr>
        <w:t>85%</w:t>
      </w:r>
      <w:r>
        <w:rPr>
          <w:rFonts w:hint="eastAsia" w:ascii="Times New Roman" w:hAnsi="Times New Roman" w:eastAsia="仿宋" w:cs="仿宋"/>
          <w:sz w:val="32"/>
          <w:szCs w:val="32"/>
        </w:rPr>
        <w:t>以上，不合格样品生产企业处理率</w:t>
      </w:r>
      <w:r>
        <w:rPr>
          <w:rFonts w:ascii="Times New Roman" w:hAnsi="Times New Roman" w:eastAsia="仿宋" w:cs="Times New Roman"/>
          <w:sz w:val="32"/>
          <w:szCs w:val="32"/>
        </w:rPr>
        <w:t>90%</w:t>
      </w:r>
      <w:r>
        <w:rPr>
          <w:rFonts w:hint="eastAsia" w:ascii="Times New Roman" w:hAnsi="Times New Roman" w:eastAsia="仿宋" w:cs="仿宋"/>
          <w:sz w:val="32"/>
          <w:szCs w:val="32"/>
        </w:rPr>
        <w:t>以上。</w:t>
      </w:r>
    </w:p>
    <w:p w14:paraId="73FB702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rPr>
          <w:rFonts w:hint="eastAsia" w:ascii="仿宋_GB2312" w:hAnsi="仿宋_GB2312" w:eastAsia="仿宋_GB2312" w:cs="仿宋_GB2312"/>
          <w:color w:val="000000"/>
          <w:sz w:val="32"/>
          <w:szCs w:val="32"/>
        </w:rPr>
      </w:pPr>
    </w:p>
    <w:p w14:paraId="205D6454">
      <w:pPr>
        <w:ind w:firstLine="630" w:firstLineChars="196"/>
        <w:outlineLvl w:val="0"/>
        <w:rPr>
          <w:rFonts w:ascii="黑体" w:hAnsi="黑体" w:eastAsia="黑体"/>
          <w:b/>
          <w:bCs/>
          <w:sz w:val="32"/>
          <w:szCs w:val="32"/>
        </w:rPr>
      </w:pPr>
      <w:r>
        <w:rPr>
          <w:rFonts w:hint="eastAsia" w:ascii="黑体" w:hAnsi="黑体" w:eastAsia="黑体" w:cs="黑体"/>
          <w:b/>
          <w:bCs/>
          <w:sz w:val="32"/>
          <w:szCs w:val="32"/>
        </w:rPr>
        <w:t>部门职责及工作活动绩效目标指标：</w:t>
      </w:r>
    </w:p>
    <w:p w14:paraId="438A58A8">
      <w:pPr>
        <w:jc w:val="center"/>
        <w:outlineLvl w:val="0"/>
        <w:rPr>
          <w:rFonts w:ascii="方正小标宋_GBK" w:eastAsia="方正小标宋_GBK"/>
          <w:sz w:val="32"/>
          <w:szCs w:val="32"/>
        </w:rPr>
      </w:pPr>
      <w:bookmarkStart w:id="1" w:name="_Toc485832993"/>
      <w:r>
        <w:rPr>
          <w:rFonts w:hint="eastAsia" w:ascii="方正小标宋_GBK" w:eastAsia="方正小标宋_GBK" w:cs="方正小标宋_GBK"/>
          <w:sz w:val="32"/>
          <w:szCs w:val="32"/>
        </w:rPr>
        <w:t>部门职责</w:t>
      </w:r>
      <w:r>
        <w:rPr>
          <w:rFonts w:ascii="方正小标宋_GBK" w:eastAsia="方正小标宋_GBK" w:cs="方正小标宋_GBK"/>
          <w:sz w:val="32"/>
          <w:szCs w:val="32"/>
        </w:rPr>
        <w:t>-</w:t>
      </w:r>
      <w:r>
        <w:rPr>
          <w:rFonts w:hint="eastAsia" w:ascii="方正小标宋_GBK" w:eastAsia="方正小标宋_GBK" w:cs="方正小标宋_GBK"/>
          <w:sz w:val="32"/>
          <w:szCs w:val="32"/>
        </w:rPr>
        <w:t>工作活动绩效目标</w:t>
      </w:r>
      <w:bookmarkEnd w:id="1"/>
    </w:p>
    <w:tbl>
      <w:tblPr>
        <w:tblStyle w:val="4"/>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78490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vAlign w:val="center"/>
          </w:tcPr>
          <w:p w14:paraId="789810AE">
            <w:pPr>
              <w:spacing w:line="300" w:lineRule="exact"/>
              <w:jc w:val="left"/>
              <w:rPr>
                <w:rFonts w:ascii="方正小标宋_GBK" w:eastAsia="方正小标宋_GBK"/>
                <w:sz w:val="24"/>
                <w:szCs w:val="24"/>
              </w:rPr>
            </w:pPr>
            <w:r>
              <w:rPr>
                <w:rFonts w:ascii="方正小标宋_GBK" w:eastAsia="方正小标宋_GBK" w:cs="方正小标宋_GBK"/>
                <w:sz w:val="24"/>
                <w:szCs w:val="24"/>
              </w:rPr>
              <w:t>450</w:t>
            </w:r>
            <w:r>
              <w:rPr>
                <w:rFonts w:hint="eastAsia" w:ascii="方正小标宋_GBK" w:eastAsia="方正小标宋_GBK" w:cs="方正小标宋_GBK"/>
                <w:sz w:val="24"/>
                <w:szCs w:val="24"/>
              </w:rPr>
              <w:t>馆陶县工商行政和食品药品监督管理局</w:t>
            </w:r>
          </w:p>
        </w:tc>
        <w:tc>
          <w:tcPr>
            <w:tcW w:w="2948" w:type="dxa"/>
            <w:gridSpan w:val="4"/>
            <w:tcBorders>
              <w:top w:val="single" w:color="FFFFFF" w:sz="6" w:space="0"/>
              <w:left w:val="single" w:color="FFFFFF" w:sz="6" w:space="0"/>
              <w:right w:val="single" w:color="FFFFFF" w:sz="6" w:space="0"/>
            </w:tcBorders>
            <w:vAlign w:val="center"/>
          </w:tcPr>
          <w:p w14:paraId="78A764F6">
            <w:pPr>
              <w:spacing w:line="300" w:lineRule="exact"/>
              <w:jc w:val="right"/>
              <w:rPr>
                <w:rFonts w:ascii="方正书宋_GBK" w:eastAsia="方正书宋_GBK"/>
                <w:sz w:val="24"/>
                <w:szCs w:val="24"/>
              </w:rPr>
            </w:pPr>
            <w:r>
              <w:rPr>
                <w:rFonts w:hint="eastAsia" w:ascii="方正书宋_GBK" w:eastAsia="方正书宋_GBK" w:cs="方正书宋_GBK"/>
                <w:sz w:val="24"/>
                <w:szCs w:val="24"/>
              </w:rPr>
              <w:t>单位：元</w:t>
            </w:r>
          </w:p>
        </w:tc>
      </w:tr>
      <w:tr w14:paraId="52A39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vAlign w:val="center"/>
          </w:tcPr>
          <w:p w14:paraId="600BBEE2">
            <w:pPr>
              <w:spacing w:line="300" w:lineRule="exact"/>
              <w:jc w:val="center"/>
              <w:rPr>
                <w:rFonts w:ascii="方正书宋_GBK" w:eastAsia="方正书宋_GBK"/>
                <w:b/>
                <w:bCs/>
              </w:rPr>
            </w:pPr>
            <w:r>
              <w:rPr>
                <w:rFonts w:hint="eastAsia" w:ascii="方正书宋_GBK" w:eastAsia="方正书宋_GBK" w:cs="方正书宋_GBK"/>
                <w:b/>
                <w:bCs/>
              </w:rPr>
              <w:t>职责活动</w:t>
            </w:r>
          </w:p>
        </w:tc>
        <w:tc>
          <w:tcPr>
            <w:tcW w:w="1276" w:type="dxa"/>
            <w:vMerge w:val="restart"/>
            <w:vAlign w:val="center"/>
          </w:tcPr>
          <w:p w14:paraId="07D3F234">
            <w:pPr>
              <w:spacing w:line="300" w:lineRule="exact"/>
              <w:jc w:val="center"/>
              <w:rPr>
                <w:rFonts w:ascii="方正书宋_GBK" w:eastAsia="方正书宋_GBK"/>
                <w:b/>
                <w:bCs/>
              </w:rPr>
            </w:pPr>
            <w:r>
              <w:rPr>
                <w:rFonts w:hint="eastAsia" w:ascii="方正书宋_GBK" w:eastAsia="方正书宋_GBK" w:cs="方正书宋_GBK"/>
                <w:b/>
                <w:bCs/>
              </w:rPr>
              <w:t>年度预算数</w:t>
            </w:r>
          </w:p>
        </w:tc>
        <w:tc>
          <w:tcPr>
            <w:tcW w:w="2976" w:type="dxa"/>
            <w:vMerge w:val="restart"/>
            <w:vAlign w:val="center"/>
          </w:tcPr>
          <w:p w14:paraId="24FCA545">
            <w:pPr>
              <w:spacing w:line="300" w:lineRule="exact"/>
              <w:jc w:val="center"/>
              <w:rPr>
                <w:rFonts w:ascii="方正书宋_GBK" w:eastAsia="方正书宋_GBK"/>
                <w:b/>
                <w:bCs/>
              </w:rPr>
            </w:pPr>
            <w:r>
              <w:rPr>
                <w:rFonts w:hint="eastAsia" w:ascii="方正书宋_GBK" w:eastAsia="方正书宋_GBK" w:cs="方正书宋_GBK"/>
                <w:b/>
                <w:bCs/>
              </w:rPr>
              <w:t>内容描述</w:t>
            </w:r>
          </w:p>
        </w:tc>
        <w:tc>
          <w:tcPr>
            <w:tcW w:w="2976" w:type="dxa"/>
            <w:vMerge w:val="restart"/>
            <w:vAlign w:val="center"/>
          </w:tcPr>
          <w:p w14:paraId="4341E198">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1417" w:type="dxa"/>
            <w:vMerge w:val="restart"/>
            <w:vAlign w:val="center"/>
          </w:tcPr>
          <w:p w14:paraId="110BD24E">
            <w:pPr>
              <w:spacing w:line="300" w:lineRule="exact"/>
              <w:jc w:val="center"/>
              <w:rPr>
                <w:rFonts w:ascii="方正书宋_GBK" w:eastAsia="方正书宋_GBK"/>
                <w:b/>
                <w:bCs/>
              </w:rPr>
            </w:pPr>
            <w:r>
              <w:rPr>
                <w:rFonts w:hint="eastAsia" w:ascii="方正书宋_GBK" w:eastAsia="方正书宋_GBK" w:cs="方正书宋_GBK"/>
                <w:b/>
                <w:bCs/>
              </w:rPr>
              <w:t>绩效指标</w:t>
            </w:r>
          </w:p>
        </w:tc>
        <w:tc>
          <w:tcPr>
            <w:tcW w:w="2948" w:type="dxa"/>
            <w:gridSpan w:val="4"/>
            <w:vAlign w:val="center"/>
          </w:tcPr>
          <w:p w14:paraId="4D9D79E6">
            <w:pPr>
              <w:spacing w:line="300" w:lineRule="exact"/>
              <w:jc w:val="center"/>
              <w:rPr>
                <w:rFonts w:ascii="方正书宋_GBK" w:eastAsia="方正书宋_GBK"/>
                <w:b/>
                <w:bCs/>
              </w:rPr>
            </w:pPr>
            <w:r>
              <w:rPr>
                <w:rFonts w:hint="eastAsia" w:ascii="方正书宋_GBK" w:eastAsia="方正书宋_GBK" w:cs="方正书宋_GBK"/>
                <w:b/>
                <w:bCs/>
              </w:rPr>
              <w:t>评价标准</w:t>
            </w:r>
          </w:p>
        </w:tc>
      </w:tr>
      <w:tr w14:paraId="07CBC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vAlign w:val="center"/>
          </w:tcPr>
          <w:p w14:paraId="4028CB41">
            <w:pPr>
              <w:spacing w:line="300" w:lineRule="exact"/>
              <w:jc w:val="left"/>
              <w:outlineLvl w:val="0"/>
            </w:pPr>
          </w:p>
        </w:tc>
        <w:tc>
          <w:tcPr>
            <w:tcW w:w="1276" w:type="dxa"/>
            <w:vMerge w:val="continue"/>
            <w:vAlign w:val="center"/>
          </w:tcPr>
          <w:p w14:paraId="3B6F13EF">
            <w:pPr>
              <w:spacing w:line="300" w:lineRule="exact"/>
              <w:jc w:val="left"/>
              <w:outlineLvl w:val="0"/>
            </w:pPr>
          </w:p>
        </w:tc>
        <w:tc>
          <w:tcPr>
            <w:tcW w:w="2976" w:type="dxa"/>
            <w:vMerge w:val="continue"/>
            <w:vAlign w:val="center"/>
          </w:tcPr>
          <w:p w14:paraId="7B46EA52">
            <w:pPr>
              <w:spacing w:line="300" w:lineRule="exact"/>
              <w:jc w:val="left"/>
              <w:outlineLvl w:val="0"/>
            </w:pPr>
          </w:p>
        </w:tc>
        <w:tc>
          <w:tcPr>
            <w:tcW w:w="2976" w:type="dxa"/>
            <w:vMerge w:val="continue"/>
            <w:vAlign w:val="center"/>
          </w:tcPr>
          <w:p w14:paraId="7B7CAC86">
            <w:pPr>
              <w:spacing w:line="300" w:lineRule="exact"/>
              <w:jc w:val="left"/>
              <w:outlineLvl w:val="0"/>
            </w:pPr>
          </w:p>
        </w:tc>
        <w:tc>
          <w:tcPr>
            <w:tcW w:w="1417" w:type="dxa"/>
            <w:vMerge w:val="continue"/>
            <w:vAlign w:val="center"/>
          </w:tcPr>
          <w:p w14:paraId="455BB5AE">
            <w:pPr>
              <w:spacing w:line="300" w:lineRule="exact"/>
              <w:jc w:val="left"/>
              <w:outlineLvl w:val="0"/>
            </w:pPr>
          </w:p>
        </w:tc>
        <w:tc>
          <w:tcPr>
            <w:tcW w:w="737" w:type="dxa"/>
            <w:vAlign w:val="center"/>
          </w:tcPr>
          <w:p w14:paraId="15D34DC6">
            <w:pPr>
              <w:spacing w:line="300" w:lineRule="exact"/>
              <w:jc w:val="center"/>
              <w:rPr>
                <w:rFonts w:ascii="方正书宋_GBK" w:eastAsia="方正书宋_GBK"/>
                <w:b/>
                <w:bCs/>
              </w:rPr>
            </w:pPr>
            <w:r>
              <w:rPr>
                <w:rFonts w:hint="eastAsia" w:ascii="方正书宋_GBK" w:eastAsia="方正书宋_GBK" w:cs="方正书宋_GBK"/>
                <w:b/>
                <w:bCs/>
              </w:rPr>
              <w:t>优</w:t>
            </w:r>
          </w:p>
        </w:tc>
        <w:tc>
          <w:tcPr>
            <w:tcW w:w="737" w:type="dxa"/>
            <w:vAlign w:val="center"/>
          </w:tcPr>
          <w:p w14:paraId="54AC10E3">
            <w:pPr>
              <w:spacing w:line="300" w:lineRule="exact"/>
              <w:jc w:val="center"/>
              <w:rPr>
                <w:rFonts w:ascii="方正书宋_GBK" w:eastAsia="方正书宋_GBK"/>
                <w:b/>
                <w:bCs/>
              </w:rPr>
            </w:pPr>
            <w:r>
              <w:rPr>
                <w:rFonts w:hint="eastAsia" w:ascii="方正书宋_GBK" w:eastAsia="方正书宋_GBK" w:cs="方正书宋_GBK"/>
                <w:b/>
                <w:bCs/>
              </w:rPr>
              <w:t>良</w:t>
            </w:r>
          </w:p>
        </w:tc>
        <w:tc>
          <w:tcPr>
            <w:tcW w:w="737" w:type="dxa"/>
            <w:vAlign w:val="center"/>
          </w:tcPr>
          <w:p w14:paraId="66D646D4">
            <w:pPr>
              <w:spacing w:line="300" w:lineRule="exact"/>
              <w:jc w:val="center"/>
              <w:rPr>
                <w:rFonts w:ascii="方正书宋_GBK" w:eastAsia="方正书宋_GBK"/>
                <w:b/>
                <w:bCs/>
              </w:rPr>
            </w:pPr>
            <w:r>
              <w:rPr>
                <w:rFonts w:hint="eastAsia" w:ascii="方正书宋_GBK" w:eastAsia="方正书宋_GBK" w:cs="方正书宋_GBK"/>
                <w:b/>
                <w:bCs/>
              </w:rPr>
              <w:t>中</w:t>
            </w:r>
          </w:p>
        </w:tc>
        <w:tc>
          <w:tcPr>
            <w:tcW w:w="737" w:type="dxa"/>
            <w:vAlign w:val="center"/>
          </w:tcPr>
          <w:p w14:paraId="1F0A794E">
            <w:pPr>
              <w:spacing w:line="300" w:lineRule="exact"/>
              <w:jc w:val="center"/>
              <w:rPr>
                <w:rFonts w:ascii="方正书宋_GBK" w:eastAsia="方正书宋_GBK"/>
                <w:b/>
                <w:bCs/>
              </w:rPr>
            </w:pPr>
            <w:r>
              <w:rPr>
                <w:rFonts w:hint="eastAsia" w:ascii="方正书宋_GBK" w:eastAsia="方正书宋_GBK" w:cs="方正书宋_GBK"/>
                <w:b/>
                <w:bCs/>
              </w:rPr>
              <w:t>差</w:t>
            </w:r>
          </w:p>
        </w:tc>
      </w:tr>
      <w:tr w14:paraId="1D87A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6381551">
            <w:pPr>
              <w:spacing w:line="300" w:lineRule="exact"/>
              <w:jc w:val="center"/>
              <w:rPr>
                <w:rFonts w:ascii="方正书宋_GBK" w:eastAsia="方正书宋_GBK"/>
                <w:b/>
                <w:bCs/>
              </w:rPr>
            </w:pPr>
            <w:r>
              <w:rPr>
                <w:rFonts w:hint="eastAsia" w:ascii="方正书宋_GBK" w:eastAsia="方正书宋_GBK" w:cs="方正书宋_GBK"/>
                <w:b/>
                <w:bCs/>
              </w:rPr>
              <w:t>工商管理事务</w:t>
            </w:r>
          </w:p>
        </w:tc>
        <w:tc>
          <w:tcPr>
            <w:tcW w:w="1276" w:type="dxa"/>
            <w:vAlign w:val="center"/>
          </w:tcPr>
          <w:p w14:paraId="0C1A3A6D">
            <w:pPr>
              <w:spacing w:line="300" w:lineRule="exact"/>
              <w:jc w:val="left"/>
              <w:rPr>
                <w:rFonts w:ascii="方正书宋_GBK" w:eastAsia="方正书宋_GBK"/>
              </w:rPr>
            </w:pPr>
            <w:r>
              <w:rPr>
                <w:rFonts w:ascii="方正书宋_GBK" w:eastAsia="方正书宋_GBK" w:cs="方正书宋_GBK"/>
              </w:rPr>
              <w:t>600000</w:t>
            </w:r>
          </w:p>
        </w:tc>
        <w:tc>
          <w:tcPr>
            <w:tcW w:w="2976" w:type="dxa"/>
            <w:vAlign w:val="center"/>
          </w:tcPr>
          <w:p w14:paraId="1B529ED3">
            <w:pPr>
              <w:spacing w:line="300" w:lineRule="exact"/>
              <w:jc w:val="left"/>
              <w:rPr>
                <w:rFonts w:ascii="方正书宋_GBK" w:eastAsia="方正书宋_GBK"/>
              </w:rPr>
            </w:pPr>
            <w:r>
              <w:rPr>
                <w:rFonts w:hint="eastAsia" w:ascii="方正书宋_GBK" w:eastAsia="方正书宋_GBK" w:cs="方正书宋_GBK"/>
              </w:rPr>
              <w:t>运用行政与法律手段，对市场经营主体及市场行为进行行政指导、监督管理。</w:t>
            </w:r>
          </w:p>
        </w:tc>
        <w:tc>
          <w:tcPr>
            <w:tcW w:w="2976" w:type="dxa"/>
            <w:vAlign w:val="center"/>
          </w:tcPr>
          <w:p w14:paraId="404F157C">
            <w:pPr>
              <w:spacing w:line="300" w:lineRule="exact"/>
              <w:jc w:val="left"/>
              <w:rPr>
                <w:rFonts w:ascii="方正书宋_GBK" w:eastAsia="方正书宋_GBK"/>
              </w:rPr>
            </w:pPr>
            <w:r>
              <w:rPr>
                <w:rFonts w:hint="eastAsia" w:ascii="方正书宋_GBK" w:eastAsia="方正书宋_GBK" w:cs="方正书宋_GBK"/>
              </w:rPr>
              <w:t>建立和维护市场秩序，服务地方经济发展。</w:t>
            </w:r>
          </w:p>
        </w:tc>
        <w:tc>
          <w:tcPr>
            <w:tcW w:w="1417" w:type="dxa"/>
            <w:vAlign w:val="center"/>
          </w:tcPr>
          <w:p w14:paraId="3F756C51">
            <w:pPr>
              <w:spacing w:line="300" w:lineRule="exact"/>
              <w:jc w:val="left"/>
              <w:rPr>
                <w:rFonts w:ascii="方正书宋_GBK" w:eastAsia="方正书宋_GBK"/>
              </w:rPr>
            </w:pPr>
          </w:p>
        </w:tc>
        <w:tc>
          <w:tcPr>
            <w:tcW w:w="737" w:type="dxa"/>
            <w:vAlign w:val="center"/>
          </w:tcPr>
          <w:p w14:paraId="0F7550E4">
            <w:pPr>
              <w:spacing w:line="300" w:lineRule="exact"/>
              <w:jc w:val="center"/>
              <w:rPr>
                <w:rFonts w:ascii="方正书宋_GBK" w:eastAsia="方正书宋_GBK"/>
              </w:rPr>
            </w:pPr>
          </w:p>
        </w:tc>
        <w:tc>
          <w:tcPr>
            <w:tcW w:w="737" w:type="dxa"/>
            <w:vAlign w:val="center"/>
          </w:tcPr>
          <w:p w14:paraId="4D870765">
            <w:pPr>
              <w:spacing w:line="300" w:lineRule="exact"/>
              <w:jc w:val="center"/>
              <w:rPr>
                <w:rFonts w:ascii="方正书宋_GBK" w:eastAsia="方正书宋_GBK"/>
              </w:rPr>
            </w:pPr>
          </w:p>
        </w:tc>
        <w:tc>
          <w:tcPr>
            <w:tcW w:w="737" w:type="dxa"/>
            <w:vAlign w:val="center"/>
          </w:tcPr>
          <w:p w14:paraId="02E6E0B7">
            <w:pPr>
              <w:spacing w:line="300" w:lineRule="exact"/>
              <w:jc w:val="center"/>
              <w:rPr>
                <w:rFonts w:ascii="方正书宋_GBK" w:eastAsia="方正书宋_GBK"/>
              </w:rPr>
            </w:pPr>
          </w:p>
        </w:tc>
        <w:tc>
          <w:tcPr>
            <w:tcW w:w="737" w:type="dxa"/>
            <w:vAlign w:val="center"/>
          </w:tcPr>
          <w:p w14:paraId="0D6C6B33">
            <w:pPr>
              <w:spacing w:line="300" w:lineRule="exact"/>
              <w:jc w:val="center"/>
              <w:rPr>
                <w:rFonts w:ascii="方正书宋_GBK" w:eastAsia="方正书宋_GBK"/>
              </w:rPr>
            </w:pPr>
          </w:p>
        </w:tc>
      </w:tr>
      <w:tr w14:paraId="08ED5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45B85175">
            <w:pPr>
              <w:spacing w:line="300" w:lineRule="exact"/>
              <w:jc w:val="left"/>
              <w:rPr>
                <w:rFonts w:ascii="方正书宋_GBK" w:eastAsia="方正书宋_GBK"/>
                <w:b/>
                <w:bCs/>
              </w:rPr>
            </w:pPr>
            <w:r>
              <w:rPr>
                <w:rFonts w:hint="eastAsia" w:ascii="方正书宋_GBK" w:eastAsia="方正书宋_GBK" w:cs="方正书宋_GBK"/>
                <w:b/>
                <w:bCs/>
              </w:rPr>
              <w:t>　　市场监督管理</w:t>
            </w:r>
          </w:p>
        </w:tc>
        <w:tc>
          <w:tcPr>
            <w:tcW w:w="1276" w:type="dxa"/>
            <w:vMerge w:val="restart"/>
            <w:vAlign w:val="center"/>
          </w:tcPr>
          <w:p w14:paraId="0FBA735B">
            <w:pPr>
              <w:spacing w:line="300" w:lineRule="exact"/>
              <w:jc w:val="left"/>
              <w:rPr>
                <w:rFonts w:ascii="方正书宋_GBK" w:eastAsia="方正书宋_GBK"/>
              </w:rPr>
            </w:pPr>
          </w:p>
        </w:tc>
        <w:tc>
          <w:tcPr>
            <w:tcW w:w="2976" w:type="dxa"/>
            <w:vMerge w:val="restart"/>
            <w:vAlign w:val="center"/>
          </w:tcPr>
          <w:p w14:paraId="6BF025CD">
            <w:pPr>
              <w:spacing w:line="300" w:lineRule="exact"/>
              <w:jc w:val="left"/>
              <w:rPr>
                <w:rFonts w:ascii="方正书宋_GBK" w:eastAsia="方正书宋_GBK"/>
              </w:rPr>
            </w:pPr>
            <w:r>
              <w:rPr>
                <w:rFonts w:hint="eastAsia" w:ascii="方正书宋_GBK" w:eastAsia="方正书宋_GBK" w:cs="方正书宋_GBK"/>
              </w:rPr>
              <w:t>依法规范和维护全县各类市场经营秩序，监督管理市场交易行为和网络商品交易及有关服务的行为。依法实施合同行政监督管理，负责管理动产抵押登记，组织监管管理拍卖行为，依法查处合同欺诈等违法行为。</w:t>
            </w:r>
          </w:p>
        </w:tc>
        <w:tc>
          <w:tcPr>
            <w:tcW w:w="2976" w:type="dxa"/>
            <w:vMerge w:val="restart"/>
            <w:vAlign w:val="center"/>
          </w:tcPr>
          <w:p w14:paraId="204D40B6">
            <w:pPr>
              <w:spacing w:line="300" w:lineRule="exact"/>
              <w:jc w:val="left"/>
              <w:rPr>
                <w:rFonts w:ascii="方正书宋_GBK" w:eastAsia="方正书宋_GBK"/>
              </w:rPr>
            </w:pPr>
            <w:r>
              <w:rPr>
                <w:rFonts w:hint="eastAsia" w:ascii="方正书宋_GBK" w:eastAsia="方正书宋_GBK" w:cs="方正书宋_GBK"/>
              </w:rPr>
              <w:t>增强各类市场诚信经营意识和规范网络交易管理，维护市场秩序。</w:t>
            </w:r>
          </w:p>
        </w:tc>
        <w:tc>
          <w:tcPr>
            <w:tcW w:w="1417" w:type="dxa"/>
            <w:vAlign w:val="center"/>
          </w:tcPr>
          <w:p w14:paraId="44897261">
            <w:pPr>
              <w:spacing w:line="300" w:lineRule="exact"/>
              <w:jc w:val="left"/>
              <w:rPr>
                <w:rFonts w:ascii="方正书宋_GBK" w:eastAsia="方正书宋_GBK"/>
              </w:rPr>
            </w:pPr>
            <w:r>
              <w:rPr>
                <w:rFonts w:hint="eastAsia" w:ascii="方正书宋_GBK" w:eastAsia="方正书宋_GBK" w:cs="方正书宋_GBK"/>
              </w:rPr>
              <w:t>监管执法计划完成率</w:t>
            </w:r>
          </w:p>
        </w:tc>
        <w:tc>
          <w:tcPr>
            <w:tcW w:w="737" w:type="dxa"/>
            <w:vAlign w:val="center"/>
          </w:tcPr>
          <w:p w14:paraId="030B0A76">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22E4468C">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70%</w:t>
            </w:r>
          </w:p>
        </w:tc>
        <w:tc>
          <w:tcPr>
            <w:tcW w:w="737" w:type="dxa"/>
            <w:vAlign w:val="center"/>
          </w:tcPr>
          <w:p w14:paraId="5A448AFC">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50%</w:t>
            </w:r>
          </w:p>
        </w:tc>
        <w:tc>
          <w:tcPr>
            <w:tcW w:w="737" w:type="dxa"/>
            <w:vAlign w:val="center"/>
          </w:tcPr>
          <w:p w14:paraId="20D341AF">
            <w:pPr>
              <w:spacing w:line="300" w:lineRule="exact"/>
              <w:jc w:val="center"/>
              <w:rPr>
                <w:rFonts w:ascii="方正书宋_GBK" w:eastAsia="方正书宋_GBK" w:cs="方正书宋_GBK"/>
              </w:rPr>
            </w:pPr>
            <w:r>
              <w:rPr>
                <w:rFonts w:ascii="方正书宋_GBK" w:eastAsia="方正书宋_GBK" w:cs="方正书宋_GBK"/>
              </w:rPr>
              <w:t>&lt;50%</w:t>
            </w:r>
          </w:p>
        </w:tc>
      </w:tr>
      <w:tr w14:paraId="0A5B2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4EEE7A51">
            <w:pPr>
              <w:spacing w:line="300" w:lineRule="exact"/>
              <w:jc w:val="left"/>
              <w:rPr>
                <w:rFonts w:ascii="方正书宋_GBK" w:eastAsia="方正书宋_GBK"/>
                <w:b/>
                <w:bCs/>
              </w:rPr>
            </w:pPr>
          </w:p>
        </w:tc>
        <w:tc>
          <w:tcPr>
            <w:tcW w:w="1276" w:type="dxa"/>
            <w:vMerge w:val="continue"/>
            <w:vAlign w:val="center"/>
          </w:tcPr>
          <w:p w14:paraId="6F8BC37C">
            <w:pPr>
              <w:spacing w:line="300" w:lineRule="exact"/>
              <w:jc w:val="left"/>
              <w:rPr>
                <w:rFonts w:ascii="方正书宋_GBK" w:eastAsia="方正书宋_GBK"/>
              </w:rPr>
            </w:pPr>
          </w:p>
        </w:tc>
        <w:tc>
          <w:tcPr>
            <w:tcW w:w="2976" w:type="dxa"/>
            <w:vMerge w:val="continue"/>
            <w:vAlign w:val="center"/>
          </w:tcPr>
          <w:p w14:paraId="3491C5CD">
            <w:pPr>
              <w:spacing w:line="300" w:lineRule="exact"/>
              <w:jc w:val="left"/>
              <w:rPr>
                <w:rFonts w:ascii="方正书宋_GBK" w:eastAsia="方正书宋_GBK"/>
              </w:rPr>
            </w:pPr>
          </w:p>
        </w:tc>
        <w:tc>
          <w:tcPr>
            <w:tcW w:w="2976" w:type="dxa"/>
            <w:vMerge w:val="continue"/>
            <w:vAlign w:val="center"/>
          </w:tcPr>
          <w:p w14:paraId="489FD117">
            <w:pPr>
              <w:spacing w:line="300" w:lineRule="exact"/>
              <w:jc w:val="left"/>
              <w:rPr>
                <w:rFonts w:ascii="方正书宋_GBK" w:eastAsia="方正书宋_GBK"/>
              </w:rPr>
            </w:pPr>
          </w:p>
        </w:tc>
        <w:tc>
          <w:tcPr>
            <w:tcW w:w="1417" w:type="dxa"/>
            <w:vAlign w:val="center"/>
          </w:tcPr>
          <w:p w14:paraId="2BAAFBC5">
            <w:pPr>
              <w:spacing w:line="300" w:lineRule="exact"/>
              <w:jc w:val="left"/>
              <w:rPr>
                <w:rFonts w:ascii="方正书宋_GBK" w:eastAsia="方正书宋_GBK"/>
              </w:rPr>
            </w:pPr>
            <w:r>
              <w:rPr>
                <w:rFonts w:hint="eastAsia" w:ascii="方正书宋_GBK" w:eastAsia="方正书宋_GBK" w:cs="方正书宋_GBK"/>
              </w:rPr>
              <w:t>网络市场交易监管开展率</w:t>
            </w:r>
          </w:p>
        </w:tc>
        <w:tc>
          <w:tcPr>
            <w:tcW w:w="737" w:type="dxa"/>
            <w:vAlign w:val="center"/>
          </w:tcPr>
          <w:p w14:paraId="0A508BC4">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46F226CE">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70%</w:t>
            </w:r>
          </w:p>
        </w:tc>
        <w:tc>
          <w:tcPr>
            <w:tcW w:w="737" w:type="dxa"/>
            <w:vAlign w:val="center"/>
          </w:tcPr>
          <w:p w14:paraId="2AC4ED5C">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50%</w:t>
            </w:r>
          </w:p>
        </w:tc>
        <w:tc>
          <w:tcPr>
            <w:tcW w:w="737" w:type="dxa"/>
            <w:vAlign w:val="center"/>
          </w:tcPr>
          <w:p w14:paraId="53404A09">
            <w:pPr>
              <w:spacing w:line="300" w:lineRule="exact"/>
              <w:jc w:val="center"/>
              <w:rPr>
                <w:rFonts w:ascii="方正书宋_GBK" w:eastAsia="方正书宋_GBK" w:cs="方正书宋_GBK"/>
              </w:rPr>
            </w:pPr>
            <w:r>
              <w:rPr>
                <w:rFonts w:ascii="方正书宋_GBK" w:eastAsia="方正书宋_GBK" w:cs="方正书宋_GBK"/>
              </w:rPr>
              <w:t>&lt;50%</w:t>
            </w:r>
          </w:p>
        </w:tc>
      </w:tr>
      <w:tr w14:paraId="0907C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4DF513BA">
            <w:pPr>
              <w:spacing w:line="300" w:lineRule="exact"/>
              <w:jc w:val="left"/>
              <w:rPr>
                <w:rFonts w:ascii="方正书宋_GBK" w:eastAsia="方正书宋_GBK"/>
                <w:b/>
                <w:bCs/>
              </w:rPr>
            </w:pPr>
          </w:p>
        </w:tc>
        <w:tc>
          <w:tcPr>
            <w:tcW w:w="1276" w:type="dxa"/>
            <w:vMerge w:val="continue"/>
            <w:vAlign w:val="center"/>
          </w:tcPr>
          <w:p w14:paraId="6AF64D54">
            <w:pPr>
              <w:spacing w:line="300" w:lineRule="exact"/>
              <w:jc w:val="left"/>
              <w:rPr>
                <w:rFonts w:ascii="方正书宋_GBK" w:eastAsia="方正书宋_GBK"/>
              </w:rPr>
            </w:pPr>
          </w:p>
        </w:tc>
        <w:tc>
          <w:tcPr>
            <w:tcW w:w="2976" w:type="dxa"/>
            <w:vMerge w:val="continue"/>
            <w:vAlign w:val="center"/>
          </w:tcPr>
          <w:p w14:paraId="25055BA8">
            <w:pPr>
              <w:spacing w:line="300" w:lineRule="exact"/>
              <w:jc w:val="left"/>
              <w:rPr>
                <w:rFonts w:ascii="方正书宋_GBK" w:eastAsia="方正书宋_GBK"/>
              </w:rPr>
            </w:pPr>
          </w:p>
        </w:tc>
        <w:tc>
          <w:tcPr>
            <w:tcW w:w="2976" w:type="dxa"/>
            <w:vMerge w:val="continue"/>
            <w:vAlign w:val="center"/>
          </w:tcPr>
          <w:p w14:paraId="742B30DA">
            <w:pPr>
              <w:spacing w:line="300" w:lineRule="exact"/>
              <w:jc w:val="left"/>
              <w:rPr>
                <w:rFonts w:ascii="方正书宋_GBK" w:eastAsia="方正书宋_GBK"/>
              </w:rPr>
            </w:pPr>
          </w:p>
        </w:tc>
        <w:tc>
          <w:tcPr>
            <w:tcW w:w="1417" w:type="dxa"/>
            <w:vAlign w:val="center"/>
          </w:tcPr>
          <w:p w14:paraId="1FCF9E80">
            <w:pPr>
              <w:spacing w:line="300" w:lineRule="exact"/>
              <w:jc w:val="left"/>
              <w:rPr>
                <w:rFonts w:ascii="方正书宋_GBK" w:eastAsia="方正书宋_GBK"/>
              </w:rPr>
            </w:pPr>
            <w:r>
              <w:rPr>
                <w:rFonts w:hint="eastAsia" w:ascii="方正书宋_GBK" w:eastAsia="方正书宋_GBK" w:cs="方正书宋_GBK"/>
              </w:rPr>
              <w:t>市场监管执法案件办结率</w:t>
            </w:r>
          </w:p>
        </w:tc>
        <w:tc>
          <w:tcPr>
            <w:tcW w:w="737" w:type="dxa"/>
            <w:vAlign w:val="center"/>
          </w:tcPr>
          <w:p w14:paraId="65E3D5D3">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5701F9F0">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70%</w:t>
            </w:r>
          </w:p>
        </w:tc>
        <w:tc>
          <w:tcPr>
            <w:tcW w:w="737" w:type="dxa"/>
            <w:vAlign w:val="center"/>
          </w:tcPr>
          <w:p w14:paraId="2871A6F6">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50%</w:t>
            </w:r>
          </w:p>
        </w:tc>
        <w:tc>
          <w:tcPr>
            <w:tcW w:w="737" w:type="dxa"/>
            <w:vAlign w:val="center"/>
          </w:tcPr>
          <w:p w14:paraId="12E7C1CA">
            <w:pPr>
              <w:spacing w:line="300" w:lineRule="exact"/>
              <w:jc w:val="center"/>
              <w:rPr>
                <w:rFonts w:ascii="方正书宋_GBK" w:eastAsia="方正书宋_GBK" w:cs="方正书宋_GBK"/>
              </w:rPr>
            </w:pPr>
            <w:r>
              <w:rPr>
                <w:rFonts w:ascii="方正书宋_GBK" w:eastAsia="方正书宋_GBK" w:cs="方正书宋_GBK"/>
              </w:rPr>
              <w:t>&lt;50%</w:t>
            </w:r>
          </w:p>
        </w:tc>
      </w:tr>
      <w:tr w14:paraId="1903A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5C8701D7">
            <w:pPr>
              <w:spacing w:line="300" w:lineRule="exact"/>
              <w:jc w:val="center"/>
              <w:rPr>
                <w:rFonts w:ascii="方正书宋_GBK" w:eastAsia="方正书宋_GBK"/>
                <w:b/>
                <w:bCs/>
              </w:rPr>
            </w:pPr>
            <w:r>
              <w:rPr>
                <w:rFonts w:hint="eastAsia" w:ascii="方正书宋_GBK" w:eastAsia="方正书宋_GBK" w:cs="方正书宋_GBK"/>
                <w:b/>
                <w:bCs/>
              </w:rPr>
              <w:t>市场主体登记与监管</w:t>
            </w:r>
          </w:p>
        </w:tc>
        <w:tc>
          <w:tcPr>
            <w:tcW w:w="1276" w:type="dxa"/>
            <w:vMerge w:val="restart"/>
            <w:vAlign w:val="center"/>
          </w:tcPr>
          <w:p w14:paraId="72D10031">
            <w:pPr>
              <w:spacing w:line="300" w:lineRule="exact"/>
              <w:jc w:val="left"/>
              <w:rPr>
                <w:rFonts w:ascii="方正书宋_GBK" w:eastAsia="方正书宋_GBK" w:cs="方正书宋_GBK"/>
              </w:rPr>
            </w:pPr>
            <w:r>
              <w:rPr>
                <w:rFonts w:ascii="方正书宋_GBK" w:eastAsia="方正书宋_GBK" w:cs="方正书宋_GBK"/>
              </w:rPr>
              <w:t>350000.00</w:t>
            </w:r>
          </w:p>
        </w:tc>
        <w:tc>
          <w:tcPr>
            <w:tcW w:w="2976" w:type="dxa"/>
            <w:vMerge w:val="restart"/>
            <w:vAlign w:val="center"/>
          </w:tcPr>
          <w:p w14:paraId="7C3FC1B1">
            <w:pPr>
              <w:spacing w:line="300" w:lineRule="exact"/>
              <w:jc w:val="left"/>
              <w:rPr>
                <w:rFonts w:ascii="方正书宋_GBK" w:eastAsia="方正书宋_GBK"/>
              </w:rPr>
            </w:pPr>
            <w:r>
              <w:rPr>
                <w:rFonts w:hint="eastAsia" w:ascii="方正书宋_GBK" w:eastAsia="方正书宋_GBK" w:cs="方正书宋_GBK"/>
              </w:rPr>
              <w:t>全县各类企业、农民专业合作社和从事经营活动的单位、个人等市场主体的登记注册和监督管理，依法查处取缔无照经营，组织指导全县企业、个体工商户、商品交易市场信用分类管理。开展非公党建与安全生产工作。</w:t>
            </w:r>
          </w:p>
        </w:tc>
        <w:tc>
          <w:tcPr>
            <w:tcW w:w="2976" w:type="dxa"/>
            <w:vMerge w:val="restart"/>
            <w:vAlign w:val="center"/>
          </w:tcPr>
          <w:p w14:paraId="3CCD054D">
            <w:pPr>
              <w:spacing w:line="300" w:lineRule="exact"/>
              <w:jc w:val="left"/>
              <w:rPr>
                <w:rFonts w:ascii="方正书宋_GBK" w:eastAsia="方正书宋_GBK"/>
              </w:rPr>
            </w:pPr>
            <w:r>
              <w:rPr>
                <w:rFonts w:hint="eastAsia" w:ascii="方正书宋_GBK" w:eastAsia="方正书宋_GBK" w:cs="方正书宋_GBK"/>
              </w:rPr>
              <w:t>促进市场主体的快速增长。强化信用体系建设，构建</w:t>
            </w:r>
            <w:r>
              <w:rPr>
                <w:rFonts w:ascii="方正书宋_GBK" w:eastAsia="方正书宋_GBK"/>
              </w:rPr>
              <w:t>“</w:t>
            </w:r>
            <w:r>
              <w:rPr>
                <w:rFonts w:hint="eastAsia" w:ascii="方正书宋_GBK" w:eastAsia="方正书宋_GBK" w:cs="方正书宋_GBK"/>
              </w:rPr>
              <w:t>一处违法、处处受限</w:t>
            </w:r>
            <w:r>
              <w:rPr>
                <w:rFonts w:ascii="方正书宋_GBK" w:eastAsia="方正书宋_GBK"/>
              </w:rPr>
              <w:t>”</w:t>
            </w:r>
            <w:r>
              <w:rPr>
                <w:rFonts w:hint="eastAsia" w:ascii="方正书宋_GBK" w:eastAsia="方正书宋_GBK" w:cs="方正书宋_GBK"/>
              </w:rPr>
              <w:t>监管局面，为政府决策和社会公众提供信息服务。</w:t>
            </w:r>
          </w:p>
        </w:tc>
        <w:tc>
          <w:tcPr>
            <w:tcW w:w="1417" w:type="dxa"/>
            <w:vAlign w:val="center"/>
          </w:tcPr>
          <w:p w14:paraId="3519657D">
            <w:pPr>
              <w:spacing w:line="300" w:lineRule="exact"/>
              <w:jc w:val="left"/>
              <w:rPr>
                <w:rFonts w:ascii="方正书宋_GBK" w:eastAsia="方正书宋_GBK"/>
              </w:rPr>
            </w:pPr>
            <w:r>
              <w:rPr>
                <w:rFonts w:hint="eastAsia" w:ascii="方正书宋_GBK" w:eastAsia="方正书宋_GBK" w:cs="方正书宋_GBK"/>
              </w:rPr>
              <w:t>市场主体抽查率</w:t>
            </w:r>
          </w:p>
        </w:tc>
        <w:tc>
          <w:tcPr>
            <w:tcW w:w="737" w:type="dxa"/>
            <w:vAlign w:val="center"/>
          </w:tcPr>
          <w:p w14:paraId="515EBB3A">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1F17EFAF">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80%</w:t>
            </w:r>
          </w:p>
        </w:tc>
        <w:tc>
          <w:tcPr>
            <w:tcW w:w="737" w:type="dxa"/>
            <w:vAlign w:val="center"/>
          </w:tcPr>
          <w:p w14:paraId="10029C1B">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70%</w:t>
            </w:r>
          </w:p>
        </w:tc>
        <w:tc>
          <w:tcPr>
            <w:tcW w:w="737" w:type="dxa"/>
            <w:vAlign w:val="center"/>
          </w:tcPr>
          <w:p w14:paraId="58307C2A">
            <w:pPr>
              <w:spacing w:line="300" w:lineRule="exact"/>
              <w:jc w:val="center"/>
              <w:rPr>
                <w:rFonts w:ascii="方正书宋_GBK" w:eastAsia="方正书宋_GBK" w:cs="方正书宋_GBK"/>
              </w:rPr>
            </w:pPr>
            <w:r>
              <w:rPr>
                <w:rFonts w:ascii="方正书宋_GBK" w:eastAsia="方正书宋_GBK" w:cs="方正书宋_GBK"/>
              </w:rPr>
              <w:t>&lt;70%</w:t>
            </w:r>
          </w:p>
        </w:tc>
      </w:tr>
      <w:tr w14:paraId="02B79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19951D93">
            <w:pPr>
              <w:spacing w:line="300" w:lineRule="exact"/>
              <w:jc w:val="left"/>
              <w:rPr>
                <w:rFonts w:ascii="方正书宋_GBK" w:eastAsia="方正书宋_GBK"/>
                <w:b/>
                <w:bCs/>
              </w:rPr>
            </w:pPr>
          </w:p>
        </w:tc>
        <w:tc>
          <w:tcPr>
            <w:tcW w:w="1276" w:type="dxa"/>
            <w:vMerge w:val="continue"/>
            <w:vAlign w:val="center"/>
          </w:tcPr>
          <w:p w14:paraId="564B120E">
            <w:pPr>
              <w:spacing w:line="300" w:lineRule="exact"/>
              <w:jc w:val="left"/>
              <w:rPr>
                <w:rFonts w:ascii="方正书宋_GBK" w:eastAsia="方正书宋_GBK"/>
              </w:rPr>
            </w:pPr>
          </w:p>
        </w:tc>
        <w:tc>
          <w:tcPr>
            <w:tcW w:w="2976" w:type="dxa"/>
            <w:vMerge w:val="continue"/>
            <w:vAlign w:val="center"/>
          </w:tcPr>
          <w:p w14:paraId="305DC73F">
            <w:pPr>
              <w:spacing w:line="300" w:lineRule="exact"/>
              <w:jc w:val="left"/>
              <w:rPr>
                <w:rFonts w:ascii="方正书宋_GBK" w:eastAsia="方正书宋_GBK"/>
              </w:rPr>
            </w:pPr>
          </w:p>
        </w:tc>
        <w:tc>
          <w:tcPr>
            <w:tcW w:w="2976" w:type="dxa"/>
            <w:vMerge w:val="continue"/>
            <w:vAlign w:val="center"/>
          </w:tcPr>
          <w:p w14:paraId="67EE21F5">
            <w:pPr>
              <w:spacing w:line="300" w:lineRule="exact"/>
              <w:jc w:val="left"/>
              <w:rPr>
                <w:rFonts w:ascii="方正书宋_GBK" w:eastAsia="方正书宋_GBK"/>
              </w:rPr>
            </w:pPr>
          </w:p>
        </w:tc>
        <w:tc>
          <w:tcPr>
            <w:tcW w:w="1417" w:type="dxa"/>
            <w:vAlign w:val="center"/>
          </w:tcPr>
          <w:p w14:paraId="789C2CE7">
            <w:pPr>
              <w:spacing w:line="300" w:lineRule="exact"/>
              <w:jc w:val="left"/>
              <w:rPr>
                <w:rFonts w:ascii="方正书宋_GBK" w:eastAsia="方正书宋_GBK"/>
              </w:rPr>
            </w:pPr>
            <w:r>
              <w:rPr>
                <w:rFonts w:hint="eastAsia" w:ascii="方正书宋_GBK" w:eastAsia="方正书宋_GBK" w:cs="方正书宋_GBK"/>
              </w:rPr>
              <w:t>开展市场主体登记等工作的宣传活动次数</w:t>
            </w:r>
          </w:p>
        </w:tc>
        <w:tc>
          <w:tcPr>
            <w:tcW w:w="737" w:type="dxa"/>
            <w:vAlign w:val="center"/>
          </w:tcPr>
          <w:p w14:paraId="715729CE">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5</w:t>
            </w:r>
          </w:p>
        </w:tc>
        <w:tc>
          <w:tcPr>
            <w:tcW w:w="737" w:type="dxa"/>
            <w:vAlign w:val="center"/>
          </w:tcPr>
          <w:p w14:paraId="282D6EB1">
            <w:pPr>
              <w:spacing w:line="300" w:lineRule="exact"/>
              <w:jc w:val="center"/>
              <w:rPr>
                <w:rFonts w:ascii="方正书宋_GBK" w:eastAsia="方正书宋_GBK" w:cs="方正书宋_GBK"/>
              </w:rPr>
            </w:pPr>
            <w:r>
              <w:rPr>
                <w:rFonts w:ascii="方正书宋_GBK" w:eastAsia="方正书宋_GBK" w:cs="方正书宋_GBK"/>
              </w:rPr>
              <w:t>4</w:t>
            </w:r>
          </w:p>
        </w:tc>
        <w:tc>
          <w:tcPr>
            <w:tcW w:w="737" w:type="dxa"/>
            <w:vAlign w:val="center"/>
          </w:tcPr>
          <w:p w14:paraId="22F98CA8">
            <w:pPr>
              <w:spacing w:line="300" w:lineRule="exact"/>
              <w:jc w:val="center"/>
              <w:rPr>
                <w:rFonts w:ascii="方正书宋_GBK" w:eastAsia="方正书宋_GBK" w:cs="方正书宋_GBK"/>
              </w:rPr>
            </w:pPr>
            <w:r>
              <w:rPr>
                <w:rFonts w:ascii="方正书宋_GBK" w:eastAsia="方正书宋_GBK" w:cs="方正书宋_GBK"/>
              </w:rPr>
              <w:t>3</w:t>
            </w:r>
          </w:p>
        </w:tc>
        <w:tc>
          <w:tcPr>
            <w:tcW w:w="737" w:type="dxa"/>
            <w:vAlign w:val="center"/>
          </w:tcPr>
          <w:p w14:paraId="71C10C87">
            <w:pPr>
              <w:spacing w:line="300" w:lineRule="exact"/>
              <w:jc w:val="center"/>
              <w:rPr>
                <w:rFonts w:ascii="方正书宋_GBK" w:eastAsia="方正书宋_GBK" w:cs="方正书宋_GBK"/>
              </w:rPr>
            </w:pPr>
            <w:r>
              <w:rPr>
                <w:rFonts w:ascii="方正书宋_GBK" w:eastAsia="方正书宋_GBK" w:cs="方正书宋_GBK"/>
              </w:rPr>
              <w:t>&lt;3</w:t>
            </w:r>
          </w:p>
        </w:tc>
      </w:tr>
      <w:tr w14:paraId="6F3DD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2AF3D1C6">
            <w:pPr>
              <w:spacing w:line="300" w:lineRule="exact"/>
              <w:jc w:val="left"/>
              <w:rPr>
                <w:rFonts w:ascii="方正书宋_GBK" w:eastAsia="方正书宋_GBK"/>
                <w:b/>
                <w:bCs/>
              </w:rPr>
            </w:pPr>
          </w:p>
        </w:tc>
        <w:tc>
          <w:tcPr>
            <w:tcW w:w="1276" w:type="dxa"/>
            <w:vMerge w:val="continue"/>
            <w:vAlign w:val="center"/>
          </w:tcPr>
          <w:p w14:paraId="697912CF">
            <w:pPr>
              <w:spacing w:line="300" w:lineRule="exact"/>
              <w:jc w:val="left"/>
              <w:rPr>
                <w:rFonts w:ascii="方正书宋_GBK" w:eastAsia="方正书宋_GBK"/>
              </w:rPr>
            </w:pPr>
          </w:p>
        </w:tc>
        <w:tc>
          <w:tcPr>
            <w:tcW w:w="2976" w:type="dxa"/>
            <w:vMerge w:val="continue"/>
            <w:vAlign w:val="center"/>
          </w:tcPr>
          <w:p w14:paraId="601A4926">
            <w:pPr>
              <w:spacing w:line="300" w:lineRule="exact"/>
              <w:jc w:val="left"/>
              <w:rPr>
                <w:rFonts w:ascii="方正书宋_GBK" w:eastAsia="方正书宋_GBK"/>
              </w:rPr>
            </w:pPr>
          </w:p>
        </w:tc>
        <w:tc>
          <w:tcPr>
            <w:tcW w:w="2976" w:type="dxa"/>
            <w:vMerge w:val="continue"/>
            <w:vAlign w:val="center"/>
          </w:tcPr>
          <w:p w14:paraId="43C6A396">
            <w:pPr>
              <w:spacing w:line="300" w:lineRule="exact"/>
              <w:jc w:val="left"/>
              <w:rPr>
                <w:rFonts w:ascii="方正书宋_GBK" w:eastAsia="方正书宋_GBK"/>
              </w:rPr>
            </w:pPr>
          </w:p>
        </w:tc>
        <w:tc>
          <w:tcPr>
            <w:tcW w:w="1417" w:type="dxa"/>
            <w:vAlign w:val="center"/>
          </w:tcPr>
          <w:p w14:paraId="643049CB">
            <w:pPr>
              <w:spacing w:line="300" w:lineRule="exact"/>
              <w:jc w:val="left"/>
              <w:rPr>
                <w:rFonts w:ascii="方正书宋_GBK" w:eastAsia="方正书宋_GBK"/>
              </w:rPr>
            </w:pPr>
            <w:r>
              <w:rPr>
                <w:rFonts w:hint="eastAsia" w:ascii="方正书宋_GBK" w:eastAsia="方正书宋_GBK" w:cs="方正书宋_GBK"/>
              </w:rPr>
              <w:t>企业登记率</w:t>
            </w:r>
          </w:p>
        </w:tc>
        <w:tc>
          <w:tcPr>
            <w:tcW w:w="737" w:type="dxa"/>
            <w:vAlign w:val="center"/>
          </w:tcPr>
          <w:p w14:paraId="6D257149">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12F7D78D">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80%</w:t>
            </w:r>
          </w:p>
        </w:tc>
        <w:tc>
          <w:tcPr>
            <w:tcW w:w="737" w:type="dxa"/>
            <w:vAlign w:val="center"/>
          </w:tcPr>
          <w:p w14:paraId="1DFDB1F9">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70%</w:t>
            </w:r>
          </w:p>
        </w:tc>
        <w:tc>
          <w:tcPr>
            <w:tcW w:w="737" w:type="dxa"/>
            <w:vAlign w:val="center"/>
          </w:tcPr>
          <w:p w14:paraId="33ECE31E">
            <w:pPr>
              <w:spacing w:line="300" w:lineRule="exact"/>
              <w:jc w:val="center"/>
              <w:rPr>
                <w:rFonts w:ascii="方正书宋_GBK" w:eastAsia="方正书宋_GBK" w:cs="方正书宋_GBK"/>
              </w:rPr>
            </w:pPr>
            <w:r>
              <w:rPr>
                <w:rFonts w:ascii="方正书宋_GBK" w:eastAsia="方正书宋_GBK" w:cs="方正书宋_GBK"/>
              </w:rPr>
              <w:t>&lt;70%</w:t>
            </w:r>
          </w:p>
        </w:tc>
      </w:tr>
      <w:tr w14:paraId="1E697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722D51BB">
            <w:pPr>
              <w:spacing w:line="300" w:lineRule="exact"/>
              <w:jc w:val="left"/>
              <w:rPr>
                <w:rFonts w:ascii="方正书宋_GBK" w:eastAsia="方正书宋_GBK"/>
                <w:b/>
                <w:bCs/>
              </w:rPr>
            </w:pPr>
          </w:p>
        </w:tc>
        <w:tc>
          <w:tcPr>
            <w:tcW w:w="1276" w:type="dxa"/>
            <w:vMerge w:val="continue"/>
            <w:vAlign w:val="center"/>
          </w:tcPr>
          <w:p w14:paraId="6AEA069A">
            <w:pPr>
              <w:spacing w:line="300" w:lineRule="exact"/>
              <w:jc w:val="left"/>
              <w:rPr>
                <w:rFonts w:ascii="方正书宋_GBK" w:eastAsia="方正书宋_GBK"/>
              </w:rPr>
            </w:pPr>
          </w:p>
        </w:tc>
        <w:tc>
          <w:tcPr>
            <w:tcW w:w="2976" w:type="dxa"/>
            <w:vMerge w:val="continue"/>
            <w:vAlign w:val="center"/>
          </w:tcPr>
          <w:p w14:paraId="2D9B3354">
            <w:pPr>
              <w:spacing w:line="300" w:lineRule="exact"/>
              <w:jc w:val="left"/>
              <w:rPr>
                <w:rFonts w:ascii="方正书宋_GBK" w:eastAsia="方正书宋_GBK"/>
              </w:rPr>
            </w:pPr>
          </w:p>
        </w:tc>
        <w:tc>
          <w:tcPr>
            <w:tcW w:w="2976" w:type="dxa"/>
            <w:vMerge w:val="continue"/>
            <w:vAlign w:val="center"/>
          </w:tcPr>
          <w:p w14:paraId="06546E6F">
            <w:pPr>
              <w:spacing w:line="300" w:lineRule="exact"/>
              <w:jc w:val="left"/>
              <w:rPr>
                <w:rFonts w:ascii="方正书宋_GBK" w:eastAsia="方正书宋_GBK"/>
              </w:rPr>
            </w:pPr>
          </w:p>
        </w:tc>
        <w:tc>
          <w:tcPr>
            <w:tcW w:w="1417" w:type="dxa"/>
            <w:vAlign w:val="center"/>
          </w:tcPr>
          <w:p w14:paraId="0EC92944">
            <w:pPr>
              <w:spacing w:line="300" w:lineRule="exact"/>
              <w:jc w:val="left"/>
              <w:rPr>
                <w:rFonts w:ascii="方正书宋_GBK" w:eastAsia="方正书宋_GBK"/>
              </w:rPr>
            </w:pPr>
            <w:r>
              <w:rPr>
                <w:rFonts w:hint="eastAsia" w:ascii="方正书宋_GBK" w:eastAsia="方正书宋_GBK" w:cs="方正书宋_GBK"/>
              </w:rPr>
              <w:t>市场主体违法案件受理办结率</w:t>
            </w:r>
          </w:p>
        </w:tc>
        <w:tc>
          <w:tcPr>
            <w:tcW w:w="737" w:type="dxa"/>
            <w:vAlign w:val="center"/>
          </w:tcPr>
          <w:p w14:paraId="7F3465BC">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69F8919F">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80%</w:t>
            </w:r>
          </w:p>
        </w:tc>
        <w:tc>
          <w:tcPr>
            <w:tcW w:w="737" w:type="dxa"/>
            <w:vAlign w:val="center"/>
          </w:tcPr>
          <w:p w14:paraId="62612DA1">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70%</w:t>
            </w:r>
          </w:p>
        </w:tc>
        <w:tc>
          <w:tcPr>
            <w:tcW w:w="737" w:type="dxa"/>
            <w:vAlign w:val="center"/>
          </w:tcPr>
          <w:p w14:paraId="63C4CED0">
            <w:pPr>
              <w:spacing w:line="300" w:lineRule="exact"/>
              <w:jc w:val="center"/>
              <w:rPr>
                <w:rFonts w:ascii="方正书宋_GBK" w:eastAsia="方正书宋_GBK" w:cs="方正书宋_GBK"/>
              </w:rPr>
            </w:pPr>
            <w:r>
              <w:rPr>
                <w:rFonts w:ascii="方正书宋_GBK" w:eastAsia="方正书宋_GBK" w:cs="方正书宋_GBK"/>
              </w:rPr>
              <w:t>&lt;70%</w:t>
            </w:r>
          </w:p>
        </w:tc>
      </w:tr>
      <w:tr w14:paraId="627BF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394EA2B7">
            <w:pPr>
              <w:spacing w:line="300" w:lineRule="exact"/>
              <w:jc w:val="center"/>
              <w:rPr>
                <w:rFonts w:ascii="方正书宋_GBK" w:eastAsia="方正书宋_GBK"/>
                <w:b/>
                <w:bCs/>
              </w:rPr>
            </w:pPr>
            <w:r>
              <w:rPr>
                <w:rFonts w:hint="eastAsia" w:ascii="方正书宋_GBK" w:eastAsia="方正书宋_GBK" w:cs="方正书宋_GBK"/>
                <w:b/>
                <w:bCs/>
              </w:rPr>
              <w:t>流通领域商品质量监督管理</w:t>
            </w:r>
          </w:p>
        </w:tc>
        <w:tc>
          <w:tcPr>
            <w:tcW w:w="1276" w:type="dxa"/>
            <w:vMerge w:val="restart"/>
            <w:vAlign w:val="center"/>
          </w:tcPr>
          <w:p w14:paraId="5316C98A">
            <w:pPr>
              <w:spacing w:line="300" w:lineRule="exact"/>
              <w:jc w:val="left"/>
              <w:rPr>
                <w:rFonts w:ascii="方正书宋_GBK" w:eastAsia="方正书宋_GBK"/>
              </w:rPr>
            </w:pPr>
          </w:p>
        </w:tc>
        <w:tc>
          <w:tcPr>
            <w:tcW w:w="2976" w:type="dxa"/>
            <w:vMerge w:val="restart"/>
            <w:vAlign w:val="center"/>
          </w:tcPr>
          <w:p w14:paraId="62B1E222">
            <w:pPr>
              <w:spacing w:line="300" w:lineRule="exact"/>
              <w:jc w:val="left"/>
              <w:rPr>
                <w:rFonts w:ascii="方正书宋_GBK" w:eastAsia="方正书宋_GBK"/>
              </w:rPr>
            </w:pPr>
            <w:r>
              <w:rPr>
                <w:rFonts w:hint="eastAsia" w:ascii="方正书宋_GBK" w:eastAsia="方正书宋_GBK" w:cs="方正书宋_GBK"/>
              </w:rPr>
              <w:t>依法对流通领域商品质量（不含食品、农资、成品油）进行抽查检验，开展对生产资料、农资、成品油等进行分批次抽检。</w:t>
            </w:r>
          </w:p>
        </w:tc>
        <w:tc>
          <w:tcPr>
            <w:tcW w:w="2976" w:type="dxa"/>
            <w:vMerge w:val="restart"/>
            <w:vAlign w:val="center"/>
          </w:tcPr>
          <w:p w14:paraId="7C861708">
            <w:pPr>
              <w:spacing w:line="300" w:lineRule="exact"/>
              <w:jc w:val="left"/>
              <w:rPr>
                <w:rFonts w:ascii="方正书宋_GBK" w:eastAsia="方正书宋_GBK"/>
              </w:rPr>
            </w:pPr>
            <w:r>
              <w:rPr>
                <w:rFonts w:hint="eastAsia" w:ascii="方正书宋_GBK" w:eastAsia="方正书宋_GBK" w:cs="方正书宋_GBK"/>
              </w:rPr>
              <w:t>通过开展抽检工作，不断提升我县流通领域商品质量水平。保护农民利益，更好的维护正常的市场经济秩序。</w:t>
            </w:r>
          </w:p>
        </w:tc>
        <w:tc>
          <w:tcPr>
            <w:tcW w:w="1417" w:type="dxa"/>
            <w:vAlign w:val="center"/>
          </w:tcPr>
          <w:p w14:paraId="05B97425">
            <w:pPr>
              <w:spacing w:line="300" w:lineRule="exact"/>
              <w:jc w:val="left"/>
              <w:rPr>
                <w:rFonts w:ascii="方正书宋_GBK" w:eastAsia="方正书宋_GBK"/>
              </w:rPr>
            </w:pPr>
            <w:r>
              <w:rPr>
                <w:rFonts w:hint="eastAsia" w:ascii="方正书宋_GBK" w:eastAsia="方正书宋_GBK" w:cs="方正书宋_GBK"/>
              </w:rPr>
              <w:t>对流通领域商品违法案件处罚率</w:t>
            </w:r>
          </w:p>
        </w:tc>
        <w:tc>
          <w:tcPr>
            <w:tcW w:w="737" w:type="dxa"/>
            <w:vAlign w:val="center"/>
          </w:tcPr>
          <w:p w14:paraId="6FFC0034">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03216155">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80%</w:t>
            </w:r>
          </w:p>
        </w:tc>
        <w:tc>
          <w:tcPr>
            <w:tcW w:w="737" w:type="dxa"/>
            <w:vAlign w:val="center"/>
          </w:tcPr>
          <w:p w14:paraId="5E1E7B4D">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70%</w:t>
            </w:r>
          </w:p>
        </w:tc>
        <w:tc>
          <w:tcPr>
            <w:tcW w:w="737" w:type="dxa"/>
            <w:vAlign w:val="center"/>
          </w:tcPr>
          <w:p w14:paraId="02B8F388">
            <w:pPr>
              <w:spacing w:line="300" w:lineRule="exact"/>
              <w:jc w:val="center"/>
              <w:rPr>
                <w:rFonts w:ascii="方正书宋_GBK" w:eastAsia="方正书宋_GBK" w:cs="方正书宋_GBK"/>
              </w:rPr>
            </w:pPr>
            <w:r>
              <w:rPr>
                <w:rFonts w:ascii="方正书宋_GBK" w:eastAsia="方正书宋_GBK" w:cs="方正书宋_GBK"/>
              </w:rPr>
              <w:t>&lt;70%</w:t>
            </w:r>
          </w:p>
        </w:tc>
      </w:tr>
      <w:tr w14:paraId="6CD3A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67EE3EA7">
            <w:pPr>
              <w:spacing w:line="300" w:lineRule="exact"/>
              <w:jc w:val="left"/>
              <w:rPr>
                <w:rFonts w:ascii="方正书宋_GBK" w:eastAsia="方正书宋_GBK"/>
                <w:b/>
                <w:bCs/>
              </w:rPr>
            </w:pPr>
          </w:p>
        </w:tc>
        <w:tc>
          <w:tcPr>
            <w:tcW w:w="1276" w:type="dxa"/>
            <w:vMerge w:val="continue"/>
            <w:vAlign w:val="center"/>
          </w:tcPr>
          <w:p w14:paraId="050A8EF3">
            <w:pPr>
              <w:spacing w:line="300" w:lineRule="exact"/>
              <w:jc w:val="left"/>
              <w:rPr>
                <w:rFonts w:ascii="方正书宋_GBK" w:eastAsia="方正书宋_GBK"/>
              </w:rPr>
            </w:pPr>
          </w:p>
        </w:tc>
        <w:tc>
          <w:tcPr>
            <w:tcW w:w="2976" w:type="dxa"/>
            <w:vMerge w:val="continue"/>
            <w:vAlign w:val="center"/>
          </w:tcPr>
          <w:p w14:paraId="22C635E0">
            <w:pPr>
              <w:spacing w:line="300" w:lineRule="exact"/>
              <w:jc w:val="left"/>
              <w:rPr>
                <w:rFonts w:ascii="方正书宋_GBK" w:eastAsia="方正书宋_GBK"/>
              </w:rPr>
            </w:pPr>
          </w:p>
        </w:tc>
        <w:tc>
          <w:tcPr>
            <w:tcW w:w="2976" w:type="dxa"/>
            <w:vMerge w:val="continue"/>
            <w:vAlign w:val="center"/>
          </w:tcPr>
          <w:p w14:paraId="591E61A2">
            <w:pPr>
              <w:spacing w:line="300" w:lineRule="exact"/>
              <w:jc w:val="left"/>
              <w:rPr>
                <w:rFonts w:ascii="方正书宋_GBK" w:eastAsia="方正书宋_GBK"/>
              </w:rPr>
            </w:pPr>
          </w:p>
        </w:tc>
        <w:tc>
          <w:tcPr>
            <w:tcW w:w="1417" w:type="dxa"/>
            <w:vAlign w:val="center"/>
          </w:tcPr>
          <w:p w14:paraId="45BE952C">
            <w:pPr>
              <w:spacing w:line="300" w:lineRule="exact"/>
              <w:jc w:val="left"/>
              <w:rPr>
                <w:rFonts w:ascii="方正书宋_GBK" w:eastAsia="方正书宋_GBK"/>
              </w:rPr>
            </w:pPr>
            <w:r>
              <w:rPr>
                <w:rFonts w:hint="eastAsia" w:ascii="方正书宋_GBK" w:eastAsia="方正书宋_GBK" w:cs="方正书宋_GBK"/>
              </w:rPr>
              <w:t>商品抽检率</w:t>
            </w:r>
          </w:p>
        </w:tc>
        <w:tc>
          <w:tcPr>
            <w:tcW w:w="737" w:type="dxa"/>
            <w:vAlign w:val="center"/>
          </w:tcPr>
          <w:p w14:paraId="29F99E59">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4E637DF6">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70%</w:t>
            </w:r>
          </w:p>
        </w:tc>
        <w:tc>
          <w:tcPr>
            <w:tcW w:w="737" w:type="dxa"/>
            <w:vAlign w:val="center"/>
          </w:tcPr>
          <w:p w14:paraId="640E4618">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50%</w:t>
            </w:r>
          </w:p>
        </w:tc>
        <w:tc>
          <w:tcPr>
            <w:tcW w:w="737" w:type="dxa"/>
            <w:vAlign w:val="center"/>
          </w:tcPr>
          <w:p w14:paraId="75C61E39">
            <w:pPr>
              <w:spacing w:line="300" w:lineRule="exact"/>
              <w:jc w:val="center"/>
              <w:rPr>
                <w:rFonts w:ascii="方正书宋_GBK" w:eastAsia="方正书宋_GBK" w:cs="方正书宋_GBK"/>
              </w:rPr>
            </w:pPr>
            <w:r>
              <w:rPr>
                <w:rFonts w:ascii="方正书宋_GBK" w:eastAsia="方正书宋_GBK" w:cs="方正书宋_GBK"/>
              </w:rPr>
              <w:t>&lt;50%</w:t>
            </w:r>
          </w:p>
        </w:tc>
      </w:tr>
      <w:tr w14:paraId="16F97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585AE001">
            <w:pPr>
              <w:spacing w:line="300" w:lineRule="exact"/>
              <w:jc w:val="left"/>
              <w:rPr>
                <w:rFonts w:ascii="方正书宋_GBK" w:eastAsia="方正书宋_GBK"/>
                <w:b/>
                <w:bCs/>
              </w:rPr>
            </w:pPr>
          </w:p>
        </w:tc>
        <w:tc>
          <w:tcPr>
            <w:tcW w:w="1276" w:type="dxa"/>
            <w:vMerge w:val="continue"/>
            <w:vAlign w:val="center"/>
          </w:tcPr>
          <w:p w14:paraId="386C68D0">
            <w:pPr>
              <w:spacing w:line="300" w:lineRule="exact"/>
              <w:jc w:val="left"/>
              <w:rPr>
                <w:rFonts w:ascii="方正书宋_GBK" w:eastAsia="方正书宋_GBK"/>
              </w:rPr>
            </w:pPr>
          </w:p>
        </w:tc>
        <w:tc>
          <w:tcPr>
            <w:tcW w:w="2976" w:type="dxa"/>
            <w:vMerge w:val="continue"/>
            <w:vAlign w:val="center"/>
          </w:tcPr>
          <w:p w14:paraId="57B81509">
            <w:pPr>
              <w:spacing w:line="300" w:lineRule="exact"/>
              <w:jc w:val="left"/>
              <w:rPr>
                <w:rFonts w:ascii="方正书宋_GBK" w:eastAsia="方正书宋_GBK"/>
              </w:rPr>
            </w:pPr>
          </w:p>
        </w:tc>
        <w:tc>
          <w:tcPr>
            <w:tcW w:w="2976" w:type="dxa"/>
            <w:vMerge w:val="continue"/>
            <w:vAlign w:val="center"/>
          </w:tcPr>
          <w:p w14:paraId="73C45309">
            <w:pPr>
              <w:spacing w:line="300" w:lineRule="exact"/>
              <w:jc w:val="left"/>
              <w:rPr>
                <w:rFonts w:ascii="方正书宋_GBK" w:eastAsia="方正书宋_GBK"/>
              </w:rPr>
            </w:pPr>
          </w:p>
        </w:tc>
        <w:tc>
          <w:tcPr>
            <w:tcW w:w="1417" w:type="dxa"/>
            <w:vAlign w:val="center"/>
          </w:tcPr>
          <w:p w14:paraId="4449FEE6">
            <w:pPr>
              <w:spacing w:line="300" w:lineRule="exact"/>
              <w:jc w:val="left"/>
              <w:rPr>
                <w:rFonts w:ascii="方正书宋_GBK" w:eastAsia="方正书宋_GBK"/>
              </w:rPr>
            </w:pPr>
            <w:r>
              <w:rPr>
                <w:rFonts w:hint="eastAsia" w:ascii="方正书宋_GBK" w:eastAsia="方正书宋_GBK" w:cs="方正书宋_GBK"/>
              </w:rPr>
              <w:t>农资、成品油抽检率</w:t>
            </w:r>
          </w:p>
        </w:tc>
        <w:tc>
          <w:tcPr>
            <w:tcW w:w="737" w:type="dxa"/>
            <w:vAlign w:val="center"/>
          </w:tcPr>
          <w:p w14:paraId="4DFA508E">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01B967CB">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70%</w:t>
            </w:r>
          </w:p>
        </w:tc>
        <w:tc>
          <w:tcPr>
            <w:tcW w:w="737" w:type="dxa"/>
            <w:vAlign w:val="center"/>
          </w:tcPr>
          <w:p w14:paraId="7CF23586">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50%</w:t>
            </w:r>
          </w:p>
        </w:tc>
        <w:tc>
          <w:tcPr>
            <w:tcW w:w="737" w:type="dxa"/>
            <w:vAlign w:val="center"/>
          </w:tcPr>
          <w:p w14:paraId="45D4797F">
            <w:pPr>
              <w:spacing w:line="300" w:lineRule="exact"/>
              <w:jc w:val="center"/>
              <w:rPr>
                <w:rFonts w:ascii="方正书宋_GBK" w:eastAsia="方正书宋_GBK" w:cs="方正书宋_GBK"/>
              </w:rPr>
            </w:pPr>
            <w:r>
              <w:rPr>
                <w:rFonts w:ascii="方正书宋_GBK" w:eastAsia="方正书宋_GBK" w:cs="方正书宋_GBK"/>
              </w:rPr>
              <w:t>&lt;50%</w:t>
            </w:r>
          </w:p>
        </w:tc>
      </w:tr>
      <w:tr w14:paraId="6971D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134A6C29">
            <w:pPr>
              <w:spacing w:line="300" w:lineRule="exact"/>
              <w:jc w:val="left"/>
              <w:rPr>
                <w:rFonts w:ascii="方正书宋_GBK" w:eastAsia="方正书宋_GBK"/>
                <w:b/>
                <w:bCs/>
              </w:rPr>
            </w:pPr>
            <w:r>
              <w:rPr>
                <w:rFonts w:hint="eastAsia" w:ascii="方正书宋_GBK" w:eastAsia="方正书宋_GBK" w:cs="方正书宋_GBK"/>
                <w:b/>
                <w:bCs/>
              </w:rPr>
              <w:t>　　商标广告监督管理</w:t>
            </w:r>
          </w:p>
        </w:tc>
        <w:tc>
          <w:tcPr>
            <w:tcW w:w="1276" w:type="dxa"/>
            <w:vMerge w:val="restart"/>
            <w:vAlign w:val="center"/>
          </w:tcPr>
          <w:p w14:paraId="65555822">
            <w:pPr>
              <w:spacing w:line="300" w:lineRule="exact"/>
              <w:jc w:val="left"/>
              <w:rPr>
                <w:rFonts w:ascii="方正书宋_GBK" w:eastAsia="方正书宋_GBK"/>
              </w:rPr>
            </w:pPr>
            <w:r>
              <w:rPr>
                <w:rFonts w:ascii="方正书宋_GBK" w:eastAsia="方正书宋_GBK" w:cs="方正书宋_GBK"/>
              </w:rPr>
              <w:t>200000</w:t>
            </w:r>
          </w:p>
        </w:tc>
        <w:tc>
          <w:tcPr>
            <w:tcW w:w="2976" w:type="dxa"/>
            <w:vMerge w:val="restart"/>
            <w:vAlign w:val="center"/>
          </w:tcPr>
          <w:p w14:paraId="2345FDFF">
            <w:pPr>
              <w:spacing w:line="300" w:lineRule="exact"/>
              <w:jc w:val="left"/>
              <w:rPr>
                <w:rFonts w:ascii="方正书宋_GBK" w:eastAsia="方正书宋_GBK"/>
              </w:rPr>
            </w:pPr>
            <w:r>
              <w:rPr>
                <w:rFonts w:hint="eastAsia" w:ascii="方正书宋_GBK" w:eastAsia="方正书宋_GBK" w:cs="方正书宋_GBK"/>
              </w:rPr>
              <w:t>实施全县商标管理工作，依法保护商标专用权和查处商标侵权行为，推荐和保护驰名商标，管理和保护特殊标志、官方标志以及著名商标，指导全县广告业发展，监督管理广告活动。</w:t>
            </w:r>
          </w:p>
        </w:tc>
        <w:tc>
          <w:tcPr>
            <w:tcW w:w="2976" w:type="dxa"/>
            <w:vMerge w:val="restart"/>
            <w:vAlign w:val="center"/>
          </w:tcPr>
          <w:p w14:paraId="3E0623A5">
            <w:pPr>
              <w:spacing w:line="300" w:lineRule="exact"/>
              <w:jc w:val="left"/>
              <w:rPr>
                <w:rFonts w:ascii="方正书宋_GBK" w:eastAsia="方正书宋_GBK"/>
              </w:rPr>
            </w:pPr>
            <w:r>
              <w:rPr>
                <w:rFonts w:hint="eastAsia" w:ascii="方正书宋_GBK" w:eastAsia="方正书宋_GBK" w:cs="方正书宋_GBK"/>
              </w:rPr>
              <w:t>开展全县商标管理工作。指导广告业发展，负责广告活动的监督管理工作。</w:t>
            </w:r>
          </w:p>
        </w:tc>
        <w:tc>
          <w:tcPr>
            <w:tcW w:w="1417" w:type="dxa"/>
            <w:vAlign w:val="center"/>
          </w:tcPr>
          <w:p w14:paraId="423D303C">
            <w:pPr>
              <w:spacing w:line="300" w:lineRule="exact"/>
              <w:jc w:val="left"/>
              <w:rPr>
                <w:rFonts w:ascii="方正书宋_GBK" w:eastAsia="方正书宋_GBK"/>
              </w:rPr>
            </w:pPr>
            <w:r>
              <w:rPr>
                <w:rFonts w:hint="eastAsia" w:ascii="方正书宋_GBK" w:eastAsia="方正书宋_GBK" w:cs="方正书宋_GBK"/>
              </w:rPr>
              <w:t>广告监测覆盖率</w:t>
            </w:r>
          </w:p>
        </w:tc>
        <w:tc>
          <w:tcPr>
            <w:tcW w:w="737" w:type="dxa"/>
            <w:vAlign w:val="center"/>
          </w:tcPr>
          <w:p w14:paraId="6BD0CF90">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0EE046CF">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70%</w:t>
            </w:r>
          </w:p>
        </w:tc>
        <w:tc>
          <w:tcPr>
            <w:tcW w:w="737" w:type="dxa"/>
            <w:vAlign w:val="center"/>
          </w:tcPr>
          <w:p w14:paraId="2C47216E">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50%</w:t>
            </w:r>
          </w:p>
        </w:tc>
        <w:tc>
          <w:tcPr>
            <w:tcW w:w="737" w:type="dxa"/>
            <w:vAlign w:val="center"/>
          </w:tcPr>
          <w:p w14:paraId="338DE770">
            <w:pPr>
              <w:spacing w:line="300" w:lineRule="exact"/>
              <w:jc w:val="center"/>
              <w:rPr>
                <w:rFonts w:ascii="方正书宋_GBK" w:eastAsia="方正书宋_GBK" w:cs="方正书宋_GBK"/>
              </w:rPr>
            </w:pPr>
            <w:r>
              <w:rPr>
                <w:rFonts w:ascii="方正书宋_GBK" w:eastAsia="方正书宋_GBK" w:cs="方正书宋_GBK"/>
              </w:rPr>
              <w:t>&lt;50%</w:t>
            </w:r>
          </w:p>
        </w:tc>
      </w:tr>
      <w:tr w14:paraId="1A795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71CADEF3">
            <w:pPr>
              <w:spacing w:line="300" w:lineRule="exact"/>
              <w:jc w:val="left"/>
              <w:rPr>
                <w:rFonts w:ascii="方正书宋_GBK" w:eastAsia="方正书宋_GBK"/>
                <w:b/>
                <w:bCs/>
              </w:rPr>
            </w:pPr>
          </w:p>
        </w:tc>
        <w:tc>
          <w:tcPr>
            <w:tcW w:w="1276" w:type="dxa"/>
            <w:vMerge w:val="continue"/>
            <w:vAlign w:val="center"/>
          </w:tcPr>
          <w:p w14:paraId="4D43066A">
            <w:pPr>
              <w:spacing w:line="300" w:lineRule="exact"/>
              <w:jc w:val="left"/>
              <w:rPr>
                <w:rFonts w:ascii="方正书宋_GBK" w:eastAsia="方正书宋_GBK"/>
              </w:rPr>
            </w:pPr>
          </w:p>
        </w:tc>
        <w:tc>
          <w:tcPr>
            <w:tcW w:w="2976" w:type="dxa"/>
            <w:vMerge w:val="continue"/>
            <w:vAlign w:val="center"/>
          </w:tcPr>
          <w:p w14:paraId="426FEA1B">
            <w:pPr>
              <w:spacing w:line="300" w:lineRule="exact"/>
              <w:jc w:val="left"/>
              <w:rPr>
                <w:rFonts w:ascii="方正书宋_GBK" w:eastAsia="方正书宋_GBK"/>
              </w:rPr>
            </w:pPr>
          </w:p>
        </w:tc>
        <w:tc>
          <w:tcPr>
            <w:tcW w:w="2976" w:type="dxa"/>
            <w:vMerge w:val="continue"/>
            <w:vAlign w:val="center"/>
          </w:tcPr>
          <w:p w14:paraId="108DD27F">
            <w:pPr>
              <w:spacing w:line="300" w:lineRule="exact"/>
              <w:jc w:val="left"/>
              <w:rPr>
                <w:rFonts w:ascii="方正书宋_GBK" w:eastAsia="方正书宋_GBK"/>
              </w:rPr>
            </w:pPr>
          </w:p>
        </w:tc>
        <w:tc>
          <w:tcPr>
            <w:tcW w:w="1417" w:type="dxa"/>
            <w:vAlign w:val="center"/>
          </w:tcPr>
          <w:p w14:paraId="18FC7827">
            <w:pPr>
              <w:spacing w:line="300" w:lineRule="exact"/>
              <w:jc w:val="left"/>
              <w:rPr>
                <w:rFonts w:ascii="方正书宋_GBK" w:eastAsia="方正书宋_GBK"/>
              </w:rPr>
            </w:pPr>
            <w:r>
              <w:rPr>
                <w:rFonts w:hint="eastAsia" w:ascii="方正书宋_GBK" w:eastAsia="方正书宋_GBK" w:cs="方正书宋_GBK"/>
              </w:rPr>
              <w:t>广告案件查处率</w:t>
            </w:r>
          </w:p>
        </w:tc>
        <w:tc>
          <w:tcPr>
            <w:tcW w:w="737" w:type="dxa"/>
            <w:vAlign w:val="center"/>
          </w:tcPr>
          <w:p w14:paraId="2A67A0C8">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29D3D289">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70%</w:t>
            </w:r>
          </w:p>
        </w:tc>
        <w:tc>
          <w:tcPr>
            <w:tcW w:w="737" w:type="dxa"/>
            <w:vAlign w:val="center"/>
          </w:tcPr>
          <w:p w14:paraId="65A36F3C">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50%</w:t>
            </w:r>
          </w:p>
        </w:tc>
        <w:tc>
          <w:tcPr>
            <w:tcW w:w="737" w:type="dxa"/>
            <w:vAlign w:val="center"/>
          </w:tcPr>
          <w:p w14:paraId="4D726904">
            <w:pPr>
              <w:spacing w:line="300" w:lineRule="exact"/>
              <w:jc w:val="center"/>
              <w:rPr>
                <w:rFonts w:ascii="方正书宋_GBK" w:eastAsia="方正书宋_GBK" w:cs="方正书宋_GBK"/>
              </w:rPr>
            </w:pPr>
            <w:r>
              <w:rPr>
                <w:rFonts w:ascii="方正书宋_GBK" w:eastAsia="方正书宋_GBK" w:cs="方正书宋_GBK"/>
              </w:rPr>
              <w:t>&lt;50%</w:t>
            </w:r>
          </w:p>
        </w:tc>
      </w:tr>
      <w:tr w14:paraId="31E1B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64E30C4B">
            <w:pPr>
              <w:spacing w:line="300" w:lineRule="exact"/>
              <w:jc w:val="left"/>
              <w:rPr>
                <w:rFonts w:ascii="方正书宋_GBK" w:eastAsia="方正书宋_GBK"/>
                <w:b/>
                <w:bCs/>
              </w:rPr>
            </w:pPr>
          </w:p>
        </w:tc>
        <w:tc>
          <w:tcPr>
            <w:tcW w:w="1276" w:type="dxa"/>
            <w:vMerge w:val="continue"/>
            <w:vAlign w:val="center"/>
          </w:tcPr>
          <w:p w14:paraId="31268AB7">
            <w:pPr>
              <w:spacing w:line="300" w:lineRule="exact"/>
              <w:jc w:val="left"/>
              <w:rPr>
                <w:rFonts w:ascii="方正书宋_GBK" w:eastAsia="方正书宋_GBK"/>
              </w:rPr>
            </w:pPr>
          </w:p>
        </w:tc>
        <w:tc>
          <w:tcPr>
            <w:tcW w:w="2976" w:type="dxa"/>
            <w:vMerge w:val="continue"/>
            <w:vAlign w:val="center"/>
          </w:tcPr>
          <w:p w14:paraId="164871F5">
            <w:pPr>
              <w:spacing w:line="300" w:lineRule="exact"/>
              <w:jc w:val="left"/>
              <w:rPr>
                <w:rFonts w:ascii="方正书宋_GBK" w:eastAsia="方正书宋_GBK"/>
              </w:rPr>
            </w:pPr>
          </w:p>
        </w:tc>
        <w:tc>
          <w:tcPr>
            <w:tcW w:w="2976" w:type="dxa"/>
            <w:vMerge w:val="continue"/>
            <w:vAlign w:val="center"/>
          </w:tcPr>
          <w:p w14:paraId="6196C896">
            <w:pPr>
              <w:spacing w:line="300" w:lineRule="exact"/>
              <w:jc w:val="left"/>
              <w:rPr>
                <w:rFonts w:ascii="方正书宋_GBK" w:eastAsia="方正书宋_GBK"/>
              </w:rPr>
            </w:pPr>
          </w:p>
        </w:tc>
        <w:tc>
          <w:tcPr>
            <w:tcW w:w="1417" w:type="dxa"/>
            <w:vAlign w:val="center"/>
          </w:tcPr>
          <w:p w14:paraId="6DDB8163">
            <w:pPr>
              <w:spacing w:line="300" w:lineRule="exact"/>
              <w:jc w:val="left"/>
              <w:rPr>
                <w:rFonts w:ascii="方正书宋_GBK" w:eastAsia="方正书宋_GBK"/>
              </w:rPr>
            </w:pPr>
            <w:r>
              <w:rPr>
                <w:rFonts w:hint="eastAsia" w:ascii="方正书宋_GBK" w:eastAsia="方正书宋_GBK" w:cs="方正书宋_GBK"/>
              </w:rPr>
              <w:t>推荐驰名商标工作完成率</w:t>
            </w:r>
          </w:p>
        </w:tc>
        <w:tc>
          <w:tcPr>
            <w:tcW w:w="737" w:type="dxa"/>
            <w:vAlign w:val="center"/>
          </w:tcPr>
          <w:p w14:paraId="33AAB6A5">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74F505C4">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70%</w:t>
            </w:r>
          </w:p>
        </w:tc>
        <w:tc>
          <w:tcPr>
            <w:tcW w:w="737" w:type="dxa"/>
            <w:vAlign w:val="center"/>
          </w:tcPr>
          <w:p w14:paraId="3FD6E66A">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50%</w:t>
            </w:r>
          </w:p>
        </w:tc>
        <w:tc>
          <w:tcPr>
            <w:tcW w:w="737" w:type="dxa"/>
            <w:vAlign w:val="center"/>
          </w:tcPr>
          <w:p w14:paraId="6DFA2700">
            <w:pPr>
              <w:spacing w:line="300" w:lineRule="exact"/>
              <w:jc w:val="center"/>
              <w:rPr>
                <w:rFonts w:ascii="方正书宋_GBK" w:eastAsia="方正书宋_GBK" w:cs="方正书宋_GBK"/>
              </w:rPr>
            </w:pPr>
            <w:r>
              <w:rPr>
                <w:rFonts w:ascii="方正书宋_GBK" w:eastAsia="方正书宋_GBK" w:cs="方正书宋_GBK"/>
              </w:rPr>
              <w:t>&lt;50%</w:t>
            </w:r>
          </w:p>
        </w:tc>
      </w:tr>
      <w:tr w14:paraId="2AF98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56DCED86">
            <w:pPr>
              <w:spacing w:line="300" w:lineRule="exact"/>
              <w:jc w:val="left"/>
              <w:rPr>
                <w:rFonts w:ascii="方正书宋_GBK" w:eastAsia="方正书宋_GBK"/>
                <w:b/>
                <w:bCs/>
              </w:rPr>
            </w:pPr>
          </w:p>
        </w:tc>
        <w:tc>
          <w:tcPr>
            <w:tcW w:w="1276" w:type="dxa"/>
            <w:vMerge w:val="continue"/>
            <w:vAlign w:val="center"/>
          </w:tcPr>
          <w:p w14:paraId="10099845">
            <w:pPr>
              <w:spacing w:line="300" w:lineRule="exact"/>
              <w:jc w:val="left"/>
              <w:rPr>
                <w:rFonts w:ascii="方正书宋_GBK" w:eastAsia="方正书宋_GBK"/>
              </w:rPr>
            </w:pPr>
          </w:p>
        </w:tc>
        <w:tc>
          <w:tcPr>
            <w:tcW w:w="2976" w:type="dxa"/>
            <w:vMerge w:val="continue"/>
            <w:vAlign w:val="center"/>
          </w:tcPr>
          <w:p w14:paraId="6EC9C6EB">
            <w:pPr>
              <w:spacing w:line="300" w:lineRule="exact"/>
              <w:jc w:val="left"/>
              <w:rPr>
                <w:rFonts w:ascii="方正书宋_GBK" w:eastAsia="方正书宋_GBK"/>
              </w:rPr>
            </w:pPr>
          </w:p>
        </w:tc>
        <w:tc>
          <w:tcPr>
            <w:tcW w:w="2976" w:type="dxa"/>
            <w:vMerge w:val="continue"/>
            <w:vAlign w:val="center"/>
          </w:tcPr>
          <w:p w14:paraId="3C5A3808">
            <w:pPr>
              <w:spacing w:line="300" w:lineRule="exact"/>
              <w:jc w:val="left"/>
              <w:rPr>
                <w:rFonts w:ascii="方正书宋_GBK" w:eastAsia="方正书宋_GBK"/>
              </w:rPr>
            </w:pPr>
          </w:p>
        </w:tc>
        <w:tc>
          <w:tcPr>
            <w:tcW w:w="1417" w:type="dxa"/>
            <w:vAlign w:val="center"/>
          </w:tcPr>
          <w:p w14:paraId="46E6FA87">
            <w:pPr>
              <w:spacing w:line="300" w:lineRule="exact"/>
              <w:jc w:val="left"/>
              <w:rPr>
                <w:rFonts w:ascii="方正书宋_GBK" w:eastAsia="方正书宋_GBK"/>
              </w:rPr>
            </w:pPr>
            <w:r>
              <w:rPr>
                <w:rFonts w:hint="eastAsia" w:ascii="方正书宋_GBK" w:eastAsia="方正书宋_GBK" w:cs="方正书宋_GBK"/>
              </w:rPr>
              <w:t>商标案件查处率</w:t>
            </w:r>
          </w:p>
        </w:tc>
        <w:tc>
          <w:tcPr>
            <w:tcW w:w="737" w:type="dxa"/>
            <w:vAlign w:val="center"/>
          </w:tcPr>
          <w:p w14:paraId="2B01EEA6">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20F83D87">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70%</w:t>
            </w:r>
          </w:p>
        </w:tc>
        <w:tc>
          <w:tcPr>
            <w:tcW w:w="737" w:type="dxa"/>
            <w:vAlign w:val="center"/>
          </w:tcPr>
          <w:p w14:paraId="50F32BC5">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50%</w:t>
            </w:r>
          </w:p>
        </w:tc>
        <w:tc>
          <w:tcPr>
            <w:tcW w:w="737" w:type="dxa"/>
            <w:vAlign w:val="center"/>
          </w:tcPr>
          <w:p w14:paraId="7B481882">
            <w:pPr>
              <w:spacing w:line="300" w:lineRule="exact"/>
              <w:jc w:val="center"/>
              <w:rPr>
                <w:rFonts w:ascii="方正书宋_GBK" w:eastAsia="方正书宋_GBK" w:cs="方正书宋_GBK"/>
              </w:rPr>
            </w:pPr>
            <w:r>
              <w:rPr>
                <w:rFonts w:ascii="方正书宋_GBK" w:eastAsia="方正书宋_GBK" w:cs="方正书宋_GBK"/>
              </w:rPr>
              <w:t>&lt;50%</w:t>
            </w:r>
          </w:p>
        </w:tc>
      </w:tr>
      <w:tr w14:paraId="6A33F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F062DF5">
            <w:pPr>
              <w:spacing w:line="300" w:lineRule="exact"/>
              <w:jc w:val="center"/>
              <w:rPr>
                <w:rFonts w:ascii="方正书宋_GBK" w:eastAsia="方正书宋_GBK"/>
                <w:b/>
                <w:bCs/>
              </w:rPr>
            </w:pPr>
            <w:r>
              <w:rPr>
                <w:rFonts w:hint="eastAsia" w:ascii="方正书宋_GBK" w:eastAsia="方正书宋_GBK" w:cs="方正书宋_GBK"/>
                <w:b/>
                <w:bCs/>
              </w:rPr>
              <w:t>执法办案</w:t>
            </w:r>
          </w:p>
        </w:tc>
        <w:tc>
          <w:tcPr>
            <w:tcW w:w="1276" w:type="dxa"/>
            <w:vAlign w:val="center"/>
          </w:tcPr>
          <w:p w14:paraId="27DB79F9">
            <w:pPr>
              <w:spacing w:line="300" w:lineRule="exact"/>
              <w:jc w:val="left"/>
              <w:rPr>
                <w:rFonts w:ascii="方正书宋_GBK" w:eastAsia="方正书宋_GBK"/>
              </w:rPr>
            </w:pPr>
          </w:p>
        </w:tc>
        <w:tc>
          <w:tcPr>
            <w:tcW w:w="2976" w:type="dxa"/>
            <w:vAlign w:val="center"/>
          </w:tcPr>
          <w:p w14:paraId="09188ECB">
            <w:pPr>
              <w:spacing w:line="300" w:lineRule="exact"/>
              <w:jc w:val="left"/>
              <w:rPr>
                <w:rFonts w:ascii="方正书宋_GBK" w:eastAsia="方正书宋_GBK"/>
              </w:rPr>
            </w:pPr>
            <w:r>
              <w:rPr>
                <w:rFonts w:hint="eastAsia" w:ascii="方正书宋_GBK" w:eastAsia="方正书宋_GBK" w:cs="方正书宋_GBK"/>
              </w:rPr>
              <w:t>依法查处违法直销和传销行为，依法监督管理直销企业和直销员及其直销活动；根据授权负责垄断协议、滥用市场支配地位、滥用行政权力排除限制竞争方面的反垄断执法工作。依法查处经济违法行为。</w:t>
            </w:r>
          </w:p>
        </w:tc>
        <w:tc>
          <w:tcPr>
            <w:tcW w:w="2976" w:type="dxa"/>
            <w:vAlign w:val="center"/>
          </w:tcPr>
          <w:p w14:paraId="462B3481">
            <w:pPr>
              <w:spacing w:line="300" w:lineRule="exact"/>
              <w:jc w:val="left"/>
              <w:rPr>
                <w:rFonts w:ascii="方正书宋_GBK" w:eastAsia="方正书宋_GBK"/>
              </w:rPr>
            </w:pPr>
            <w:r>
              <w:rPr>
                <w:rFonts w:hint="eastAsia" w:ascii="方正书宋_GBK" w:eastAsia="方正书宋_GBK" w:cs="方正书宋_GBK"/>
              </w:rPr>
              <w:t>严厉打击各类违法行为，更好地维护市场经济和社会秩序。</w:t>
            </w:r>
          </w:p>
        </w:tc>
        <w:tc>
          <w:tcPr>
            <w:tcW w:w="1417" w:type="dxa"/>
            <w:vAlign w:val="center"/>
          </w:tcPr>
          <w:p w14:paraId="61E6FF30">
            <w:pPr>
              <w:spacing w:line="300" w:lineRule="exact"/>
              <w:jc w:val="left"/>
              <w:rPr>
                <w:rFonts w:ascii="方正书宋_GBK" w:eastAsia="方正书宋_GBK"/>
              </w:rPr>
            </w:pPr>
          </w:p>
        </w:tc>
        <w:tc>
          <w:tcPr>
            <w:tcW w:w="737" w:type="dxa"/>
            <w:vAlign w:val="center"/>
          </w:tcPr>
          <w:p w14:paraId="686D9E9D">
            <w:pPr>
              <w:spacing w:line="300" w:lineRule="exact"/>
              <w:jc w:val="center"/>
              <w:rPr>
                <w:rFonts w:ascii="方正书宋_GBK" w:eastAsia="方正书宋_GBK"/>
              </w:rPr>
            </w:pPr>
          </w:p>
        </w:tc>
        <w:tc>
          <w:tcPr>
            <w:tcW w:w="737" w:type="dxa"/>
            <w:vAlign w:val="center"/>
          </w:tcPr>
          <w:p w14:paraId="7D876A05">
            <w:pPr>
              <w:spacing w:line="300" w:lineRule="exact"/>
              <w:jc w:val="center"/>
              <w:rPr>
                <w:rFonts w:ascii="方正书宋_GBK" w:eastAsia="方正书宋_GBK"/>
              </w:rPr>
            </w:pPr>
          </w:p>
        </w:tc>
        <w:tc>
          <w:tcPr>
            <w:tcW w:w="737" w:type="dxa"/>
            <w:vAlign w:val="center"/>
          </w:tcPr>
          <w:p w14:paraId="58515992">
            <w:pPr>
              <w:spacing w:line="300" w:lineRule="exact"/>
              <w:jc w:val="center"/>
              <w:rPr>
                <w:rFonts w:ascii="方正书宋_GBK" w:eastAsia="方正书宋_GBK"/>
              </w:rPr>
            </w:pPr>
          </w:p>
        </w:tc>
        <w:tc>
          <w:tcPr>
            <w:tcW w:w="737" w:type="dxa"/>
            <w:vAlign w:val="center"/>
          </w:tcPr>
          <w:p w14:paraId="5860C193">
            <w:pPr>
              <w:spacing w:line="300" w:lineRule="exact"/>
              <w:jc w:val="center"/>
              <w:rPr>
                <w:rFonts w:ascii="方正书宋_GBK" w:eastAsia="方正书宋_GBK"/>
              </w:rPr>
            </w:pPr>
          </w:p>
        </w:tc>
      </w:tr>
      <w:tr w14:paraId="1055E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48A61A4C">
            <w:pPr>
              <w:spacing w:line="300" w:lineRule="exact"/>
              <w:jc w:val="left"/>
              <w:rPr>
                <w:rFonts w:ascii="方正书宋_GBK" w:eastAsia="方正书宋_GBK"/>
                <w:b/>
                <w:bCs/>
              </w:rPr>
            </w:pPr>
            <w:r>
              <w:rPr>
                <w:rFonts w:hint="eastAsia" w:ascii="方正书宋_GBK" w:eastAsia="方正书宋_GBK" w:cs="方正书宋_GBK"/>
                <w:b/>
                <w:bCs/>
              </w:rPr>
              <w:t>　　执法办案</w:t>
            </w:r>
          </w:p>
        </w:tc>
        <w:tc>
          <w:tcPr>
            <w:tcW w:w="1276" w:type="dxa"/>
            <w:vMerge w:val="restart"/>
            <w:vAlign w:val="center"/>
          </w:tcPr>
          <w:p w14:paraId="086CB8FE">
            <w:pPr>
              <w:spacing w:line="300" w:lineRule="exact"/>
              <w:jc w:val="left"/>
              <w:rPr>
                <w:rFonts w:ascii="方正书宋_GBK" w:eastAsia="方正书宋_GBK"/>
              </w:rPr>
            </w:pPr>
          </w:p>
        </w:tc>
        <w:tc>
          <w:tcPr>
            <w:tcW w:w="2976" w:type="dxa"/>
            <w:vMerge w:val="restart"/>
            <w:vAlign w:val="center"/>
          </w:tcPr>
          <w:p w14:paraId="2618234C">
            <w:pPr>
              <w:spacing w:line="300" w:lineRule="exact"/>
              <w:jc w:val="left"/>
              <w:rPr>
                <w:rFonts w:ascii="方正书宋_GBK" w:eastAsia="方正书宋_GBK"/>
              </w:rPr>
            </w:pPr>
            <w:r>
              <w:rPr>
                <w:rFonts w:hint="eastAsia" w:ascii="方正书宋_GBK" w:eastAsia="方正书宋_GBK" w:cs="方正书宋_GBK"/>
              </w:rPr>
              <w:t>依法查处各类违法行为，组织开展专项执法行动，查处性质恶劣、跨区域、社会影响大、严重损害群众利益和破坏市场秩序的大案要案，开展与执法办案有关的各项工作，维护公平竞争的市场秩序。</w:t>
            </w:r>
          </w:p>
        </w:tc>
        <w:tc>
          <w:tcPr>
            <w:tcW w:w="2976" w:type="dxa"/>
            <w:vMerge w:val="restart"/>
            <w:vAlign w:val="center"/>
          </w:tcPr>
          <w:p w14:paraId="317F767B">
            <w:pPr>
              <w:spacing w:line="300" w:lineRule="exact"/>
              <w:jc w:val="left"/>
              <w:rPr>
                <w:rFonts w:ascii="方正书宋_GBK" w:eastAsia="方正书宋_GBK"/>
              </w:rPr>
            </w:pPr>
            <w:r>
              <w:rPr>
                <w:rFonts w:hint="eastAsia" w:ascii="方正书宋_GBK" w:eastAsia="方正书宋_GBK" w:cs="方正书宋_GBK"/>
              </w:rPr>
              <w:t>构建打击传销体系，促进社会和谐稳定，维护公平竞争的市场秩序。</w:t>
            </w:r>
          </w:p>
        </w:tc>
        <w:tc>
          <w:tcPr>
            <w:tcW w:w="1417" w:type="dxa"/>
            <w:vAlign w:val="center"/>
          </w:tcPr>
          <w:p w14:paraId="24EFE9A0">
            <w:pPr>
              <w:spacing w:line="300" w:lineRule="exact"/>
              <w:jc w:val="left"/>
              <w:rPr>
                <w:rFonts w:ascii="方正书宋_GBK" w:eastAsia="方正书宋_GBK" w:cs="方正书宋_GBK"/>
              </w:rPr>
            </w:pPr>
            <w:r>
              <w:rPr>
                <w:rFonts w:hint="eastAsia" w:ascii="方正书宋_GBK" w:eastAsia="方正书宋_GBK" w:cs="方正书宋_GBK"/>
              </w:rPr>
              <w:t>对企业行政指导工作次数（次</w:t>
            </w:r>
            <w:r>
              <w:rPr>
                <w:rFonts w:ascii="方正书宋_GBK" w:eastAsia="方正书宋_GBK" w:cs="方正书宋_GBK"/>
              </w:rPr>
              <w:t>)</w:t>
            </w:r>
          </w:p>
        </w:tc>
        <w:tc>
          <w:tcPr>
            <w:tcW w:w="737" w:type="dxa"/>
            <w:vAlign w:val="center"/>
          </w:tcPr>
          <w:p w14:paraId="7E50417D">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4</w:t>
            </w:r>
          </w:p>
        </w:tc>
        <w:tc>
          <w:tcPr>
            <w:tcW w:w="737" w:type="dxa"/>
            <w:vAlign w:val="center"/>
          </w:tcPr>
          <w:p w14:paraId="10C61627">
            <w:pPr>
              <w:spacing w:line="300" w:lineRule="exact"/>
              <w:jc w:val="center"/>
              <w:rPr>
                <w:rFonts w:ascii="方正书宋_GBK" w:eastAsia="方正书宋_GBK" w:cs="方正书宋_GBK"/>
              </w:rPr>
            </w:pPr>
            <w:r>
              <w:rPr>
                <w:rFonts w:ascii="方正书宋_GBK" w:eastAsia="方正书宋_GBK" w:cs="方正书宋_GBK"/>
              </w:rPr>
              <w:t>3</w:t>
            </w:r>
          </w:p>
        </w:tc>
        <w:tc>
          <w:tcPr>
            <w:tcW w:w="737" w:type="dxa"/>
            <w:vAlign w:val="center"/>
          </w:tcPr>
          <w:p w14:paraId="090658AB">
            <w:pPr>
              <w:spacing w:line="300" w:lineRule="exact"/>
              <w:jc w:val="center"/>
              <w:rPr>
                <w:rFonts w:ascii="方正书宋_GBK" w:eastAsia="方正书宋_GBK" w:cs="方正书宋_GBK"/>
              </w:rPr>
            </w:pPr>
            <w:r>
              <w:rPr>
                <w:rFonts w:ascii="方正书宋_GBK" w:eastAsia="方正书宋_GBK" w:cs="方正书宋_GBK"/>
              </w:rPr>
              <w:t>2</w:t>
            </w:r>
          </w:p>
        </w:tc>
        <w:tc>
          <w:tcPr>
            <w:tcW w:w="737" w:type="dxa"/>
            <w:vAlign w:val="center"/>
          </w:tcPr>
          <w:p w14:paraId="67927118">
            <w:pPr>
              <w:spacing w:line="300" w:lineRule="exact"/>
              <w:jc w:val="center"/>
              <w:rPr>
                <w:rFonts w:ascii="方正书宋_GBK" w:eastAsia="方正书宋_GBK" w:cs="方正书宋_GBK"/>
              </w:rPr>
            </w:pPr>
            <w:r>
              <w:rPr>
                <w:rFonts w:ascii="方正书宋_GBK" w:eastAsia="方正书宋_GBK" w:cs="方正书宋_GBK"/>
              </w:rPr>
              <w:t>&lt;2</w:t>
            </w:r>
          </w:p>
        </w:tc>
      </w:tr>
      <w:tr w14:paraId="2527D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167148D5">
            <w:pPr>
              <w:spacing w:line="300" w:lineRule="exact"/>
              <w:jc w:val="left"/>
              <w:rPr>
                <w:rFonts w:ascii="方正书宋_GBK" w:eastAsia="方正书宋_GBK"/>
                <w:b/>
                <w:bCs/>
              </w:rPr>
            </w:pPr>
          </w:p>
        </w:tc>
        <w:tc>
          <w:tcPr>
            <w:tcW w:w="1276" w:type="dxa"/>
            <w:vMerge w:val="continue"/>
            <w:vAlign w:val="center"/>
          </w:tcPr>
          <w:p w14:paraId="022BBD97">
            <w:pPr>
              <w:spacing w:line="300" w:lineRule="exact"/>
              <w:jc w:val="left"/>
              <w:rPr>
                <w:rFonts w:ascii="方正书宋_GBK" w:eastAsia="方正书宋_GBK"/>
              </w:rPr>
            </w:pPr>
          </w:p>
        </w:tc>
        <w:tc>
          <w:tcPr>
            <w:tcW w:w="2976" w:type="dxa"/>
            <w:vMerge w:val="continue"/>
            <w:vAlign w:val="center"/>
          </w:tcPr>
          <w:p w14:paraId="10F774D0">
            <w:pPr>
              <w:spacing w:line="300" w:lineRule="exact"/>
              <w:jc w:val="left"/>
              <w:rPr>
                <w:rFonts w:ascii="方正书宋_GBK" w:eastAsia="方正书宋_GBK"/>
              </w:rPr>
            </w:pPr>
          </w:p>
        </w:tc>
        <w:tc>
          <w:tcPr>
            <w:tcW w:w="2976" w:type="dxa"/>
            <w:vMerge w:val="continue"/>
            <w:vAlign w:val="center"/>
          </w:tcPr>
          <w:p w14:paraId="7185F011">
            <w:pPr>
              <w:spacing w:line="300" w:lineRule="exact"/>
              <w:jc w:val="left"/>
              <w:rPr>
                <w:rFonts w:ascii="方正书宋_GBK" w:eastAsia="方正书宋_GBK"/>
              </w:rPr>
            </w:pPr>
          </w:p>
        </w:tc>
        <w:tc>
          <w:tcPr>
            <w:tcW w:w="1417" w:type="dxa"/>
            <w:vAlign w:val="center"/>
          </w:tcPr>
          <w:p w14:paraId="04D15DA0">
            <w:pPr>
              <w:spacing w:line="300" w:lineRule="exact"/>
              <w:jc w:val="left"/>
              <w:rPr>
                <w:rFonts w:ascii="方正书宋_GBK" w:eastAsia="方正书宋_GBK"/>
              </w:rPr>
            </w:pPr>
            <w:r>
              <w:rPr>
                <w:rFonts w:hint="eastAsia" w:ascii="方正书宋_GBK" w:eastAsia="方正书宋_GBK" w:cs="方正书宋_GBK"/>
              </w:rPr>
              <w:t>执法案件查处率</w:t>
            </w:r>
          </w:p>
        </w:tc>
        <w:tc>
          <w:tcPr>
            <w:tcW w:w="737" w:type="dxa"/>
            <w:vAlign w:val="center"/>
          </w:tcPr>
          <w:p w14:paraId="7F57934C">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2B37A406">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70%</w:t>
            </w:r>
          </w:p>
        </w:tc>
        <w:tc>
          <w:tcPr>
            <w:tcW w:w="737" w:type="dxa"/>
            <w:vAlign w:val="center"/>
          </w:tcPr>
          <w:p w14:paraId="6384C3D2">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50%</w:t>
            </w:r>
          </w:p>
        </w:tc>
        <w:tc>
          <w:tcPr>
            <w:tcW w:w="737" w:type="dxa"/>
            <w:vAlign w:val="center"/>
          </w:tcPr>
          <w:p w14:paraId="2575442B">
            <w:pPr>
              <w:spacing w:line="300" w:lineRule="exact"/>
              <w:jc w:val="center"/>
              <w:rPr>
                <w:rFonts w:ascii="方正书宋_GBK" w:eastAsia="方正书宋_GBK" w:cs="方正书宋_GBK"/>
              </w:rPr>
            </w:pPr>
            <w:r>
              <w:rPr>
                <w:rFonts w:ascii="方正书宋_GBK" w:eastAsia="方正书宋_GBK" w:cs="方正书宋_GBK"/>
              </w:rPr>
              <w:t>&lt;50%</w:t>
            </w:r>
          </w:p>
        </w:tc>
      </w:tr>
      <w:tr w14:paraId="5417A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6CB5F36B">
            <w:pPr>
              <w:spacing w:line="300" w:lineRule="exact"/>
              <w:jc w:val="left"/>
              <w:rPr>
                <w:rFonts w:ascii="方正书宋_GBK" w:eastAsia="方正书宋_GBK"/>
                <w:b/>
                <w:bCs/>
              </w:rPr>
            </w:pPr>
          </w:p>
        </w:tc>
        <w:tc>
          <w:tcPr>
            <w:tcW w:w="1276" w:type="dxa"/>
            <w:vMerge w:val="continue"/>
            <w:vAlign w:val="center"/>
          </w:tcPr>
          <w:p w14:paraId="7232032D">
            <w:pPr>
              <w:spacing w:line="300" w:lineRule="exact"/>
              <w:jc w:val="left"/>
              <w:rPr>
                <w:rFonts w:ascii="方正书宋_GBK" w:eastAsia="方正书宋_GBK"/>
              </w:rPr>
            </w:pPr>
          </w:p>
        </w:tc>
        <w:tc>
          <w:tcPr>
            <w:tcW w:w="2976" w:type="dxa"/>
            <w:vMerge w:val="continue"/>
            <w:vAlign w:val="center"/>
          </w:tcPr>
          <w:p w14:paraId="2A7F0891">
            <w:pPr>
              <w:spacing w:line="300" w:lineRule="exact"/>
              <w:jc w:val="left"/>
              <w:rPr>
                <w:rFonts w:ascii="方正书宋_GBK" w:eastAsia="方正书宋_GBK"/>
              </w:rPr>
            </w:pPr>
          </w:p>
        </w:tc>
        <w:tc>
          <w:tcPr>
            <w:tcW w:w="2976" w:type="dxa"/>
            <w:vMerge w:val="continue"/>
            <w:vAlign w:val="center"/>
          </w:tcPr>
          <w:p w14:paraId="77ECC600">
            <w:pPr>
              <w:spacing w:line="300" w:lineRule="exact"/>
              <w:jc w:val="left"/>
              <w:rPr>
                <w:rFonts w:ascii="方正书宋_GBK" w:eastAsia="方正书宋_GBK"/>
              </w:rPr>
            </w:pPr>
          </w:p>
        </w:tc>
        <w:tc>
          <w:tcPr>
            <w:tcW w:w="1417" w:type="dxa"/>
            <w:vAlign w:val="center"/>
          </w:tcPr>
          <w:p w14:paraId="2B1FAD25">
            <w:pPr>
              <w:spacing w:line="300" w:lineRule="exact"/>
              <w:jc w:val="left"/>
              <w:rPr>
                <w:rFonts w:ascii="方正书宋_GBK" w:eastAsia="方正书宋_GBK"/>
              </w:rPr>
            </w:pPr>
            <w:r>
              <w:rPr>
                <w:rFonts w:hint="eastAsia" w:ascii="方正书宋_GBK" w:eastAsia="方正书宋_GBK" w:cs="方正书宋_GBK"/>
              </w:rPr>
              <w:t>上级授权反垄断案件查处率</w:t>
            </w:r>
          </w:p>
        </w:tc>
        <w:tc>
          <w:tcPr>
            <w:tcW w:w="737" w:type="dxa"/>
            <w:vAlign w:val="center"/>
          </w:tcPr>
          <w:p w14:paraId="65EF1AFE">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39A9E3EE">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70%</w:t>
            </w:r>
          </w:p>
        </w:tc>
        <w:tc>
          <w:tcPr>
            <w:tcW w:w="737" w:type="dxa"/>
            <w:vAlign w:val="center"/>
          </w:tcPr>
          <w:p w14:paraId="3F30575C">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50%</w:t>
            </w:r>
          </w:p>
        </w:tc>
        <w:tc>
          <w:tcPr>
            <w:tcW w:w="737" w:type="dxa"/>
            <w:vAlign w:val="center"/>
          </w:tcPr>
          <w:p w14:paraId="4FFE14F0">
            <w:pPr>
              <w:spacing w:line="300" w:lineRule="exact"/>
              <w:jc w:val="center"/>
              <w:rPr>
                <w:rFonts w:ascii="方正书宋_GBK" w:eastAsia="方正书宋_GBK" w:cs="方正书宋_GBK"/>
              </w:rPr>
            </w:pPr>
            <w:r>
              <w:rPr>
                <w:rFonts w:ascii="方正书宋_GBK" w:eastAsia="方正书宋_GBK" w:cs="方正书宋_GBK"/>
              </w:rPr>
              <w:t>&lt;50%</w:t>
            </w:r>
          </w:p>
        </w:tc>
      </w:tr>
      <w:tr w14:paraId="290C8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3E87D08">
            <w:pPr>
              <w:spacing w:line="300" w:lineRule="exact"/>
              <w:jc w:val="center"/>
              <w:rPr>
                <w:rFonts w:ascii="方正书宋_GBK" w:eastAsia="方正书宋_GBK"/>
                <w:b/>
                <w:bCs/>
              </w:rPr>
            </w:pPr>
            <w:r>
              <w:rPr>
                <w:rFonts w:hint="eastAsia" w:ascii="方正书宋_GBK" w:eastAsia="方正书宋_GBK" w:cs="方正书宋_GBK"/>
                <w:b/>
                <w:bCs/>
              </w:rPr>
              <w:t>消费者权益保护</w:t>
            </w:r>
          </w:p>
        </w:tc>
        <w:tc>
          <w:tcPr>
            <w:tcW w:w="1276" w:type="dxa"/>
            <w:vAlign w:val="center"/>
          </w:tcPr>
          <w:p w14:paraId="1AEDE238">
            <w:pPr>
              <w:spacing w:line="300" w:lineRule="exact"/>
              <w:jc w:val="left"/>
              <w:rPr>
                <w:rFonts w:ascii="方正书宋_GBK" w:eastAsia="方正书宋_GBK"/>
              </w:rPr>
            </w:pPr>
          </w:p>
        </w:tc>
        <w:tc>
          <w:tcPr>
            <w:tcW w:w="2976" w:type="dxa"/>
            <w:vAlign w:val="center"/>
          </w:tcPr>
          <w:p w14:paraId="66C4B85B">
            <w:pPr>
              <w:spacing w:line="300" w:lineRule="exact"/>
              <w:jc w:val="left"/>
              <w:rPr>
                <w:rFonts w:ascii="方正书宋_GBK" w:eastAsia="方正书宋_GBK"/>
              </w:rPr>
            </w:pPr>
            <w:r>
              <w:rPr>
                <w:rFonts w:hint="eastAsia" w:ascii="方正书宋_GBK" w:eastAsia="方正书宋_GBK" w:cs="方正书宋_GBK"/>
              </w:rPr>
              <w:t>开展全县消费者权益保护工作，查处侵害消费者权益的行为</w:t>
            </w:r>
            <w:r>
              <w:rPr>
                <w:rFonts w:ascii="方正书宋_GBK" w:eastAsia="方正书宋_GBK" w:cs="方正书宋_GBK"/>
              </w:rPr>
              <w:t>;</w:t>
            </w:r>
            <w:r>
              <w:rPr>
                <w:rFonts w:hint="eastAsia" w:ascii="方正书宋_GBK" w:eastAsia="方正书宋_GBK" w:cs="方正书宋_GBK"/>
              </w:rPr>
              <w:t>处理消费者和经营者投诉举报工作；调解消费纠纷工作；保护消费者合法权益，维护经营者正当利益。</w:t>
            </w:r>
          </w:p>
        </w:tc>
        <w:tc>
          <w:tcPr>
            <w:tcW w:w="2976" w:type="dxa"/>
            <w:vAlign w:val="center"/>
          </w:tcPr>
          <w:p w14:paraId="65C91C48">
            <w:pPr>
              <w:spacing w:line="300" w:lineRule="exact"/>
              <w:jc w:val="left"/>
              <w:rPr>
                <w:rFonts w:ascii="方正书宋_GBK" w:eastAsia="方正书宋_GBK"/>
              </w:rPr>
            </w:pPr>
            <w:r>
              <w:rPr>
                <w:rFonts w:hint="eastAsia" w:ascii="方正书宋_GBK" w:eastAsia="方正书宋_GBK" w:cs="方正书宋_GBK"/>
              </w:rPr>
              <w:t>通过调解处理消费纠纷，组织开展查处侵害消费者合法权益案件，稳定社会秩序，为构建</w:t>
            </w:r>
            <w:r>
              <w:rPr>
                <w:rFonts w:ascii="方正书宋_GBK" w:eastAsia="方正书宋_GBK"/>
              </w:rPr>
              <w:t>“</w:t>
            </w:r>
            <w:r>
              <w:rPr>
                <w:rFonts w:hint="eastAsia" w:ascii="方正书宋_GBK" w:eastAsia="方正书宋_GBK" w:cs="方正书宋_GBK"/>
              </w:rPr>
              <w:t>和谐社会</w:t>
            </w:r>
            <w:r>
              <w:rPr>
                <w:rFonts w:ascii="方正书宋_GBK" w:eastAsia="方正书宋_GBK"/>
              </w:rPr>
              <w:t>”</w:t>
            </w:r>
            <w:r>
              <w:rPr>
                <w:rFonts w:hint="eastAsia" w:ascii="方正书宋_GBK" w:eastAsia="方正书宋_GBK" w:cs="方正书宋_GBK"/>
              </w:rPr>
              <w:t>做出积极的贡献。</w:t>
            </w:r>
          </w:p>
        </w:tc>
        <w:tc>
          <w:tcPr>
            <w:tcW w:w="1417" w:type="dxa"/>
            <w:vAlign w:val="center"/>
          </w:tcPr>
          <w:p w14:paraId="797F8135">
            <w:pPr>
              <w:spacing w:line="300" w:lineRule="exact"/>
              <w:jc w:val="left"/>
              <w:rPr>
                <w:rFonts w:ascii="方正书宋_GBK" w:eastAsia="方正书宋_GBK"/>
              </w:rPr>
            </w:pPr>
          </w:p>
        </w:tc>
        <w:tc>
          <w:tcPr>
            <w:tcW w:w="737" w:type="dxa"/>
            <w:vAlign w:val="center"/>
          </w:tcPr>
          <w:p w14:paraId="5A3D17EF">
            <w:pPr>
              <w:spacing w:line="300" w:lineRule="exact"/>
              <w:jc w:val="center"/>
              <w:rPr>
                <w:rFonts w:ascii="方正书宋_GBK" w:eastAsia="方正书宋_GBK"/>
              </w:rPr>
            </w:pPr>
          </w:p>
        </w:tc>
        <w:tc>
          <w:tcPr>
            <w:tcW w:w="737" w:type="dxa"/>
            <w:vAlign w:val="center"/>
          </w:tcPr>
          <w:p w14:paraId="7DFDF062">
            <w:pPr>
              <w:spacing w:line="300" w:lineRule="exact"/>
              <w:jc w:val="center"/>
              <w:rPr>
                <w:rFonts w:ascii="方正书宋_GBK" w:eastAsia="方正书宋_GBK"/>
              </w:rPr>
            </w:pPr>
          </w:p>
        </w:tc>
        <w:tc>
          <w:tcPr>
            <w:tcW w:w="737" w:type="dxa"/>
            <w:vAlign w:val="center"/>
          </w:tcPr>
          <w:p w14:paraId="3AB3A930">
            <w:pPr>
              <w:spacing w:line="300" w:lineRule="exact"/>
              <w:jc w:val="center"/>
              <w:rPr>
                <w:rFonts w:ascii="方正书宋_GBK" w:eastAsia="方正书宋_GBK"/>
              </w:rPr>
            </w:pPr>
          </w:p>
        </w:tc>
        <w:tc>
          <w:tcPr>
            <w:tcW w:w="737" w:type="dxa"/>
            <w:vAlign w:val="center"/>
          </w:tcPr>
          <w:p w14:paraId="565EF5F8">
            <w:pPr>
              <w:spacing w:line="300" w:lineRule="exact"/>
              <w:jc w:val="center"/>
              <w:rPr>
                <w:rFonts w:ascii="方正书宋_GBK" w:eastAsia="方正书宋_GBK"/>
              </w:rPr>
            </w:pPr>
          </w:p>
        </w:tc>
      </w:tr>
      <w:tr w14:paraId="01E40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1EBA3417">
            <w:pPr>
              <w:spacing w:line="300" w:lineRule="exact"/>
              <w:jc w:val="left"/>
              <w:rPr>
                <w:rFonts w:ascii="方正书宋_GBK" w:eastAsia="方正书宋_GBK"/>
                <w:b/>
                <w:bCs/>
              </w:rPr>
            </w:pPr>
            <w:r>
              <w:rPr>
                <w:rFonts w:hint="eastAsia" w:ascii="方正书宋_GBK" w:eastAsia="方正书宋_GBK" w:cs="方正书宋_GBK"/>
                <w:b/>
                <w:bCs/>
              </w:rPr>
              <w:t>　　消费者权益保护</w:t>
            </w:r>
          </w:p>
        </w:tc>
        <w:tc>
          <w:tcPr>
            <w:tcW w:w="1276" w:type="dxa"/>
            <w:vMerge w:val="restart"/>
            <w:vAlign w:val="center"/>
          </w:tcPr>
          <w:p w14:paraId="60818C48">
            <w:pPr>
              <w:spacing w:line="300" w:lineRule="exact"/>
              <w:jc w:val="left"/>
              <w:rPr>
                <w:rFonts w:ascii="方正书宋_GBK" w:eastAsia="方正书宋_GBK"/>
              </w:rPr>
            </w:pPr>
          </w:p>
        </w:tc>
        <w:tc>
          <w:tcPr>
            <w:tcW w:w="2976" w:type="dxa"/>
            <w:vMerge w:val="restart"/>
            <w:vAlign w:val="center"/>
          </w:tcPr>
          <w:p w14:paraId="798C5DD8">
            <w:pPr>
              <w:spacing w:line="300" w:lineRule="exact"/>
              <w:jc w:val="left"/>
              <w:rPr>
                <w:rFonts w:ascii="方正书宋_GBK" w:eastAsia="方正书宋_GBK"/>
              </w:rPr>
            </w:pPr>
            <w:r>
              <w:rPr>
                <w:rFonts w:hint="eastAsia" w:ascii="方正书宋_GBK" w:eastAsia="方正书宋_GBK" w:cs="方正书宋_GBK"/>
              </w:rPr>
              <w:t>开展全县消费者权益保护工作，查处经营假冒伪劣商品等违法行为；开展查处侵害消费者权益的行为，处理消费者和经营者投诉举报，指导调解消费纠纷工作，保护消费者合法权益，维护经营者正当利益。</w:t>
            </w:r>
          </w:p>
        </w:tc>
        <w:tc>
          <w:tcPr>
            <w:tcW w:w="2976" w:type="dxa"/>
            <w:vMerge w:val="restart"/>
            <w:vAlign w:val="center"/>
          </w:tcPr>
          <w:p w14:paraId="42C340D2">
            <w:pPr>
              <w:spacing w:line="300" w:lineRule="exact"/>
              <w:jc w:val="left"/>
              <w:rPr>
                <w:rFonts w:ascii="方正书宋_GBK" w:eastAsia="方正书宋_GBK"/>
              </w:rPr>
            </w:pPr>
            <w:r>
              <w:rPr>
                <w:rFonts w:hint="eastAsia" w:ascii="方正书宋_GBK" w:eastAsia="方正书宋_GBK" w:cs="方正书宋_GBK"/>
              </w:rPr>
              <w:t>建立、健全消费者权益保护机制，增强群众自我保护的消费维权意识，构建</w:t>
            </w:r>
            <w:r>
              <w:rPr>
                <w:rFonts w:ascii="方正书宋_GBK" w:eastAsia="方正书宋_GBK"/>
              </w:rPr>
              <w:t>“</w:t>
            </w:r>
            <w:r>
              <w:rPr>
                <w:rFonts w:hint="eastAsia" w:ascii="方正书宋_GBK" w:eastAsia="方正书宋_GBK" w:cs="方正书宋_GBK"/>
              </w:rPr>
              <w:t>和谐社会</w:t>
            </w:r>
            <w:r>
              <w:rPr>
                <w:rFonts w:ascii="方正书宋_GBK" w:eastAsia="方正书宋_GBK"/>
              </w:rPr>
              <w:t>”</w:t>
            </w:r>
            <w:r>
              <w:rPr>
                <w:rFonts w:hint="eastAsia" w:ascii="方正书宋_GBK" w:eastAsia="方正书宋_GBK" w:cs="方正书宋_GBK"/>
              </w:rPr>
              <w:t>。</w:t>
            </w:r>
          </w:p>
        </w:tc>
        <w:tc>
          <w:tcPr>
            <w:tcW w:w="1417" w:type="dxa"/>
            <w:vAlign w:val="center"/>
          </w:tcPr>
          <w:p w14:paraId="4D71E724">
            <w:pPr>
              <w:spacing w:line="300" w:lineRule="exact"/>
              <w:jc w:val="left"/>
              <w:rPr>
                <w:rFonts w:ascii="方正书宋_GBK" w:eastAsia="方正书宋_GBK"/>
              </w:rPr>
            </w:pPr>
            <w:r>
              <w:rPr>
                <w:rFonts w:hint="eastAsia" w:ascii="方正书宋_GBK" w:eastAsia="方正书宋_GBK" w:cs="方正书宋_GBK"/>
              </w:rPr>
              <w:t>消费者权益宣传活动</w:t>
            </w:r>
          </w:p>
        </w:tc>
        <w:tc>
          <w:tcPr>
            <w:tcW w:w="737" w:type="dxa"/>
            <w:vAlign w:val="center"/>
          </w:tcPr>
          <w:p w14:paraId="533D1779">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7</w:t>
            </w:r>
          </w:p>
        </w:tc>
        <w:tc>
          <w:tcPr>
            <w:tcW w:w="737" w:type="dxa"/>
            <w:vAlign w:val="center"/>
          </w:tcPr>
          <w:p w14:paraId="401C962E">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5</w:t>
            </w:r>
          </w:p>
        </w:tc>
        <w:tc>
          <w:tcPr>
            <w:tcW w:w="737" w:type="dxa"/>
            <w:vAlign w:val="center"/>
          </w:tcPr>
          <w:p w14:paraId="7DA79CFA">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3</w:t>
            </w:r>
          </w:p>
        </w:tc>
        <w:tc>
          <w:tcPr>
            <w:tcW w:w="737" w:type="dxa"/>
            <w:vAlign w:val="center"/>
          </w:tcPr>
          <w:p w14:paraId="6527E8BB">
            <w:pPr>
              <w:spacing w:line="300" w:lineRule="exact"/>
              <w:jc w:val="center"/>
              <w:rPr>
                <w:rFonts w:ascii="方正书宋_GBK" w:eastAsia="方正书宋_GBK" w:cs="方正书宋_GBK"/>
              </w:rPr>
            </w:pPr>
            <w:r>
              <w:rPr>
                <w:rFonts w:ascii="方正书宋_GBK" w:eastAsia="方正书宋_GBK" w:cs="方正书宋_GBK"/>
              </w:rPr>
              <w:t>&lt;3</w:t>
            </w:r>
          </w:p>
        </w:tc>
      </w:tr>
      <w:tr w14:paraId="02E27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67C6E17F">
            <w:pPr>
              <w:spacing w:line="300" w:lineRule="exact"/>
              <w:jc w:val="left"/>
              <w:rPr>
                <w:rFonts w:ascii="方正书宋_GBK" w:eastAsia="方正书宋_GBK"/>
                <w:b/>
                <w:bCs/>
              </w:rPr>
            </w:pPr>
          </w:p>
        </w:tc>
        <w:tc>
          <w:tcPr>
            <w:tcW w:w="1276" w:type="dxa"/>
            <w:vMerge w:val="continue"/>
            <w:vAlign w:val="center"/>
          </w:tcPr>
          <w:p w14:paraId="07558F2D">
            <w:pPr>
              <w:spacing w:line="300" w:lineRule="exact"/>
              <w:jc w:val="left"/>
              <w:rPr>
                <w:rFonts w:ascii="方正书宋_GBK" w:eastAsia="方正书宋_GBK"/>
              </w:rPr>
            </w:pPr>
          </w:p>
        </w:tc>
        <w:tc>
          <w:tcPr>
            <w:tcW w:w="2976" w:type="dxa"/>
            <w:vMerge w:val="continue"/>
            <w:vAlign w:val="center"/>
          </w:tcPr>
          <w:p w14:paraId="47B3CD56">
            <w:pPr>
              <w:spacing w:line="300" w:lineRule="exact"/>
              <w:jc w:val="left"/>
              <w:rPr>
                <w:rFonts w:ascii="方正书宋_GBK" w:eastAsia="方正书宋_GBK"/>
              </w:rPr>
            </w:pPr>
          </w:p>
        </w:tc>
        <w:tc>
          <w:tcPr>
            <w:tcW w:w="2976" w:type="dxa"/>
            <w:vMerge w:val="continue"/>
            <w:vAlign w:val="center"/>
          </w:tcPr>
          <w:p w14:paraId="1FB2F09D">
            <w:pPr>
              <w:spacing w:line="300" w:lineRule="exact"/>
              <w:jc w:val="left"/>
              <w:rPr>
                <w:rFonts w:ascii="方正书宋_GBK" w:eastAsia="方正书宋_GBK"/>
              </w:rPr>
            </w:pPr>
          </w:p>
        </w:tc>
        <w:tc>
          <w:tcPr>
            <w:tcW w:w="1417" w:type="dxa"/>
            <w:vAlign w:val="center"/>
          </w:tcPr>
          <w:p w14:paraId="366B94AB">
            <w:pPr>
              <w:spacing w:line="300" w:lineRule="exact"/>
              <w:jc w:val="left"/>
              <w:rPr>
                <w:rFonts w:ascii="方正书宋_GBK" w:eastAsia="方正书宋_GBK"/>
              </w:rPr>
            </w:pPr>
            <w:r>
              <w:rPr>
                <w:rFonts w:hint="eastAsia" w:ascii="方正书宋_GBK" w:eastAsia="方正书宋_GBK" w:cs="方正书宋_GBK"/>
              </w:rPr>
              <w:t>消费投诉办结率</w:t>
            </w:r>
          </w:p>
        </w:tc>
        <w:tc>
          <w:tcPr>
            <w:tcW w:w="737" w:type="dxa"/>
            <w:vAlign w:val="center"/>
          </w:tcPr>
          <w:p w14:paraId="4B77FB2C">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4C455899">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80%</w:t>
            </w:r>
          </w:p>
        </w:tc>
        <w:tc>
          <w:tcPr>
            <w:tcW w:w="737" w:type="dxa"/>
            <w:vAlign w:val="center"/>
          </w:tcPr>
          <w:p w14:paraId="0EF45628">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70%</w:t>
            </w:r>
          </w:p>
        </w:tc>
        <w:tc>
          <w:tcPr>
            <w:tcW w:w="737" w:type="dxa"/>
            <w:vAlign w:val="center"/>
          </w:tcPr>
          <w:p w14:paraId="755329AE">
            <w:pPr>
              <w:spacing w:line="300" w:lineRule="exact"/>
              <w:jc w:val="center"/>
              <w:rPr>
                <w:rFonts w:ascii="方正书宋_GBK" w:eastAsia="方正书宋_GBK" w:cs="方正书宋_GBK"/>
              </w:rPr>
            </w:pPr>
            <w:r>
              <w:rPr>
                <w:rFonts w:ascii="方正书宋_GBK" w:eastAsia="方正书宋_GBK" w:cs="方正书宋_GBK"/>
              </w:rPr>
              <w:t>&lt;70%</w:t>
            </w:r>
          </w:p>
        </w:tc>
      </w:tr>
      <w:tr w14:paraId="71938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A0698A8">
            <w:pPr>
              <w:spacing w:line="300" w:lineRule="exact"/>
              <w:jc w:val="center"/>
              <w:rPr>
                <w:rFonts w:ascii="方正书宋_GBK" w:eastAsia="方正书宋_GBK"/>
                <w:b/>
                <w:bCs/>
              </w:rPr>
            </w:pPr>
            <w:r>
              <w:rPr>
                <w:rFonts w:hint="eastAsia" w:ascii="方正书宋_GBK" w:eastAsia="方正书宋_GBK" w:cs="方正书宋_GBK"/>
                <w:b/>
                <w:bCs/>
              </w:rPr>
              <w:t>工商政务管理</w:t>
            </w:r>
          </w:p>
        </w:tc>
        <w:tc>
          <w:tcPr>
            <w:tcW w:w="1276" w:type="dxa"/>
            <w:vAlign w:val="center"/>
          </w:tcPr>
          <w:p w14:paraId="229605DB">
            <w:pPr>
              <w:spacing w:line="300" w:lineRule="exact"/>
              <w:jc w:val="left"/>
              <w:rPr>
                <w:rFonts w:ascii="方正书宋_GBK" w:eastAsia="方正书宋_GBK"/>
              </w:rPr>
            </w:pPr>
          </w:p>
        </w:tc>
        <w:tc>
          <w:tcPr>
            <w:tcW w:w="2976" w:type="dxa"/>
            <w:vAlign w:val="center"/>
          </w:tcPr>
          <w:p w14:paraId="76CBD98E">
            <w:pPr>
              <w:spacing w:line="300" w:lineRule="exact"/>
              <w:jc w:val="left"/>
              <w:rPr>
                <w:rFonts w:ascii="方正书宋_GBK" w:eastAsia="方正书宋_GBK"/>
              </w:rPr>
            </w:pPr>
            <w:r>
              <w:rPr>
                <w:rFonts w:hint="eastAsia" w:ascii="方正书宋_GBK" w:eastAsia="方正书宋_GBK" w:cs="方正书宋_GBK"/>
              </w:rPr>
              <w:t>贯彻落实工商行政管理地方性法规、政府规章，拟订全县工商行政管理办法、措施和制度，加强工商队伍建设</w:t>
            </w:r>
            <w:r>
              <w:rPr>
                <w:rFonts w:ascii="方正书宋_GBK" w:eastAsia="方正书宋_GBK" w:cs="方正书宋_GBK"/>
              </w:rPr>
              <w:t>,</w:t>
            </w:r>
            <w:r>
              <w:rPr>
                <w:rFonts w:hint="eastAsia" w:ascii="方正书宋_GBK" w:eastAsia="方正书宋_GBK" w:cs="方正书宋_GBK"/>
              </w:rPr>
              <w:t>开展教育培训及法律服务工作，做好机关后勤保障等其他工作。</w:t>
            </w:r>
          </w:p>
        </w:tc>
        <w:tc>
          <w:tcPr>
            <w:tcW w:w="2976" w:type="dxa"/>
            <w:vAlign w:val="center"/>
          </w:tcPr>
          <w:p w14:paraId="165F05B5">
            <w:pPr>
              <w:spacing w:line="300" w:lineRule="exact"/>
              <w:jc w:val="left"/>
              <w:rPr>
                <w:rFonts w:ascii="方正书宋_GBK" w:eastAsia="方正书宋_GBK"/>
              </w:rPr>
            </w:pPr>
            <w:r>
              <w:rPr>
                <w:rFonts w:hint="eastAsia" w:ascii="方正书宋_GBK" w:eastAsia="方正书宋_GBK" w:cs="方正书宋_GBK"/>
              </w:rPr>
              <w:t>加强工商管理能力建设，完成各项工作任务。</w:t>
            </w:r>
          </w:p>
        </w:tc>
        <w:tc>
          <w:tcPr>
            <w:tcW w:w="1417" w:type="dxa"/>
            <w:vAlign w:val="center"/>
          </w:tcPr>
          <w:p w14:paraId="5442DD21">
            <w:pPr>
              <w:spacing w:line="300" w:lineRule="exact"/>
              <w:jc w:val="left"/>
              <w:rPr>
                <w:rFonts w:ascii="方正书宋_GBK" w:eastAsia="方正书宋_GBK"/>
              </w:rPr>
            </w:pPr>
          </w:p>
        </w:tc>
        <w:tc>
          <w:tcPr>
            <w:tcW w:w="737" w:type="dxa"/>
            <w:vAlign w:val="center"/>
          </w:tcPr>
          <w:p w14:paraId="45914080">
            <w:pPr>
              <w:spacing w:line="300" w:lineRule="exact"/>
              <w:jc w:val="center"/>
              <w:rPr>
                <w:rFonts w:ascii="方正书宋_GBK" w:eastAsia="方正书宋_GBK"/>
              </w:rPr>
            </w:pPr>
          </w:p>
        </w:tc>
        <w:tc>
          <w:tcPr>
            <w:tcW w:w="737" w:type="dxa"/>
            <w:vAlign w:val="center"/>
          </w:tcPr>
          <w:p w14:paraId="50C2EB6D">
            <w:pPr>
              <w:spacing w:line="300" w:lineRule="exact"/>
              <w:jc w:val="center"/>
              <w:rPr>
                <w:rFonts w:ascii="方正书宋_GBK" w:eastAsia="方正书宋_GBK"/>
              </w:rPr>
            </w:pPr>
          </w:p>
        </w:tc>
        <w:tc>
          <w:tcPr>
            <w:tcW w:w="737" w:type="dxa"/>
            <w:vAlign w:val="center"/>
          </w:tcPr>
          <w:p w14:paraId="234BA52A">
            <w:pPr>
              <w:spacing w:line="300" w:lineRule="exact"/>
              <w:jc w:val="center"/>
              <w:rPr>
                <w:rFonts w:ascii="方正书宋_GBK" w:eastAsia="方正书宋_GBK"/>
              </w:rPr>
            </w:pPr>
          </w:p>
        </w:tc>
        <w:tc>
          <w:tcPr>
            <w:tcW w:w="737" w:type="dxa"/>
            <w:vAlign w:val="center"/>
          </w:tcPr>
          <w:p w14:paraId="203436EE">
            <w:pPr>
              <w:spacing w:line="300" w:lineRule="exact"/>
              <w:jc w:val="center"/>
              <w:rPr>
                <w:rFonts w:ascii="方正书宋_GBK" w:eastAsia="方正书宋_GBK"/>
              </w:rPr>
            </w:pPr>
          </w:p>
        </w:tc>
      </w:tr>
      <w:tr w14:paraId="7819D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3354C110">
            <w:pPr>
              <w:spacing w:line="300" w:lineRule="exact"/>
              <w:jc w:val="left"/>
              <w:rPr>
                <w:rFonts w:ascii="方正书宋_GBK" w:eastAsia="方正书宋_GBK"/>
                <w:b/>
                <w:bCs/>
              </w:rPr>
            </w:pPr>
            <w:r>
              <w:rPr>
                <w:rFonts w:hint="eastAsia" w:ascii="方正书宋_GBK" w:eastAsia="方正书宋_GBK" w:cs="方正书宋_GBK"/>
                <w:b/>
                <w:bCs/>
              </w:rPr>
              <w:t>　　综合业务管理</w:t>
            </w:r>
          </w:p>
        </w:tc>
        <w:tc>
          <w:tcPr>
            <w:tcW w:w="1276" w:type="dxa"/>
            <w:vMerge w:val="restart"/>
            <w:vAlign w:val="center"/>
          </w:tcPr>
          <w:p w14:paraId="733B2771">
            <w:pPr>
              <w:spacing w:line="300" w:lineRule="exact"/>
              <w:jc w:val="left"/>
              <w:rPr>
                <w:rFonts w:ascii="方正书宋_GBK" w:eastAsia="方正书宋_GBK"/>
              </w:rPr>
            </w:pPr>
          </w:p>
        </w:tc>
        <w:tc>
          <w:tcPr>
            <w:tcW w:w="2976" w:type="dxa"/>
            <w:vMerge w:val="restart"/>
            <w:vAlign w:val="center"/>
          </w:tcPr>
          <w:p w14:paraId="692AA1B6">
            <w:pPr>
              <w:spacing w:line="300" w:lineRule="exact"/>
              <w:jc w:val="left"/>
              <w:rPr>
                <w:rFonts w:ascii="方正书宋_GBK" w:eastAsia="方正书宋_GBK"/>
              </w:rPr>
            </w:pPr>
            <w:r>
              <w:rPr>
                <w:rFonts w:hint="eastAsia" w:ascii="方正书宋_GBK" w:eastAsia="方正书宋_GBK" w:cs="方正书宋_GBK"/>
              </w:rPr>
              <w:t>开展全县工商系统人员宣传、教育、培训工作。进行工商行政执法、消保维权报道和舆论监督，开展工商文化建设工作，承办县政府交办其他事项。</w:t>
            </w:r>
          </w:p>
        </w:tc>
        <w:tc>
          <w:tcPr>
            <w:tcW w:w="2976" w:type="dxa"/>
            <w:vMerge w:val="restart"/>
            <w:vAlign w:val="center"/>
          </w:tcPr>
          <w:p w14:paraId="5DBFA2D5">
            <w:pPr>
              <w:spacing w:line="300" w:lineRule="exact"/>
              <w:jc w:val="left"/>
              <w:rPr>
                <w:rFonts w:ascii="方正书宋_GBK" w:eastAsia="方正书宋_GBK"/>
              </w:rPr>
            </w:pPr>
            <w:r>
              <w:rPr>
                <w:rFonts w:hint="eastAsia" w:ascii="方正书宋_GBK" w:eastAsia="方正书宋_GBK" w:cs="方正书宋_GBK"/>
              </w:rPr>
              <w:t>提高工商行政管理人员的业务能力、工作效率，加强科研和文化建设。</w:t>
            </w:r>
          </w:p>
        </w:tc>
        <w:tc>
          <w:tcPr>
            <w:tcW w:w="1417" w:type="dxa"/>
            <w:vAlign w:val="center"/>
          </w:tcPr>
          <w:p w14:paraId="3DB171FC">
            <w:pPr>
              <w:spacing w:line="300" w:lineRule="exact"/>
              <w:jc w:val="left"/>
              <w:rPr>
                <w:rFonts w:ascii="方正书宋_GBK" w:eastAsia="方正书宋_GBK"/>
              </w:rPr>
            </w:pPr>
            <w:r>
              <w:rPr>
                <w:rFonts w:hint="eastAsia" w:ascii="方正书宋_GBK" w:eastAsia="方正书宋_GBK" w:cs="方正书宋_GBK"/>
              </w:rPr>
              <w:t>培训人员人次</w:t>
            </w:r>
          </w:p>
        </w:tc>
        <w:tc>
          <w:tcPr>
            <w:tcW w:w="737" w:type="dxa"/>
            <w:vAlign w:val="center"/>
          </w:tcPr>
          <w:p w14:paraId="216F7BE3">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50</w:t>
            </w:r>
          </w:p>
        </w:tc>
        <w:tc>
          <w:tcPr>
            <w:tcW w:w="737" w:type="dxa"/>
            <w:vAlign w:val="center"/>
          </w:tcPr>
          <w:p w14:paraId="05FF0E37">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40</w:t>
            </w:r>
          </w:p>
        </w:tc>
        <w:tc>
          <w:tcPr>
            <w:tcW w:w="737" w:type="dxa"/>
            <w:vAlign w:val="center"/>
          </w:tcPr>
          <w:p w14:paraId="623787CE">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30</w:t>
            </w:r>
          </w:p>
        </w:tc>
        <w:tc>
          <w:tcPr>
            <w:tcW w:w="737" w:type="dxa"/>
            <w:vAlign w:val="center"/>
          </w:tcPr>
          <w:p w14:paraId="0B997710">
            <w:pPr>
              <w:spacing w:line="300" w:lineRule="exact"/>
              <w:jc w:val="center"/>
              <w:rPr>
                <w:rFonts w:ascii="方正书宋_GBK" w:eastAsia="方正书宋_GBK" w:cs="方正书宋_GBK"/>
              </w:rPr>
            </w:pPr>
            <w:r>
              <w:rPr>
                <w:rFonts w:ascii="方正书宋_GBK" w:eastAsia="方正书宋_GBK" w:cs="方正书宋_GBK"/>
              </w:rPr>
              <w:t>&lt;30</w:t>
            </w:r>
          </w:p>
        </w:tc>
      </w:tr>
      <w:tr w14:paraId="3B9B7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08BB298A">
            <w:pPr>
              <w:spacing w:line="300" w:lineRule="exact"/>
              <w:jc w:val="left"/>
              <w:rPr>
                <w:rFonts w:ascii="方正书宋_GBK" w:eastAsia="方正书宋_GBK"/>
                <w:b/>
                <w:bCs/>
              </w:rPr>
            </w:pPr>
          </w:p>
        </w:tc>
        <w:tc>
          <w:tcPr>
            <w:tcW w:w="1276" w:type="dxa"/>
            <w:vMerge w:val="continue"/>
            <w:vAlign w:val="center"/>
          </w:tcPr>
          <w:p w14:paraId="6A8DF382">
            <w:pPr>
              <w:spacing w:line="300" w:lineRule="exact"/>
              <w:jc w:val="left"/>
              <w:rPr>
                <w:rFonts w:ascii="方正书宋_GBK" w:eastAsia="方正书宋_GBK"/>
              </w:rPr>
            </w:pPr>
          </w:p>
        </w:tc>
        <w:tc>
          <w:tcPr>
            <w:tcW w:w="2976" w:type="dxa"/>
            <w:vMerge w:val="continue"/>
            <w:vAlign w:val="center"/>
          </w:tcPr>
          <w:p w14:paraId="571DC561">
            <w:pPr>
              <w:spacing w:line="300" w:lineRule="exact"/>
              <w:jc w:val="left"/>
              <w:rPr>
                <w:rFonts w:ascii="方正书宋_GBK" w:eastAsia="方正书宋_GBK"/>
              </w:rPr>
            </w:pPr>
          </w:p>
        </w:tc>
        <w:tc>
          <w:tcPr>
            <w:tcW w:w="2976" w:type="dxa"/>
            <w:vMerge w:val="continue"/>
            <w:vAlign w:val="center"/>
          </w:tcPr>
          <w:p w14:paraId="3DE8E149">
            <w:pPr>
              <w:spacing w:line="300" w:lineRule="exact"/>
              <w:jc w:val="left"/>
              <w:rPr>
                <w:rFonts w:ascii="方正书宋_GBK" w:eastAsia="方正书宋_GBK"/>
              </w:rPr>
            </w:pPr>
          </w:p>
        </w:tc>
        <w:tc>
          <w:tcPr>
            <w:tcW w:w="1417" w:type="dxa"/>
            <w:vAlign w:val="center"/>
          </w:tcPr>
          <w:p w14:paraId="5E0F6208">
            <w:pPr>
              <w:spacing w:line="300" w:lineRule="exact"/>
              <w:jc w:val="left"/>
              <w:rPr>
                <w:rFonts w:ascii="方正书宋_GBK" w:eastAsia="方正书宋_GBK"/>
              </w:rPr>
            </w:pPr>
            <w:r>
              <w:rPr>
                <w:rFonts w:hint="eastAsia" w:ascii="方正书宋_GBK" w:eastAsia="方正书宋_GBK" w:cs="方正书宋_GBK"/>
              </w:rPr>
              <w:t>媒体稿件篇数</w:t>
            </w:r>
          </w:p>
        </w:tc>
        <w:tc>
          <w:tcPr>
            <w:tcW w:w="737" w:type="dxa"/>
            <w:vAlign w:val="center"/>
          </w:tcPr>
          <w:p w14:paraId="3430C3BB">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500</w:t>
            </w:r>
          </w:p>
        </w:tc>
        <w:tc>
          <w:tcPr>
            <w:tcW w:w="737" w:type="dxa"/>
            <w:vAlign w:val="center"/>
          </w:tcPr>
          <w:p w14:paraId="4681300E">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450</w:t>
            </w:r>
          </w:p>
        </w:tc>
        <w:tc>
          <w:tcPr>
            <w:tcW w:w="737" w:type="dxa"/>
            <w:vAlign w:val="center"/>
          </w:tcPr>
          <w:p w14:paraId="4717A831">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400</w:t>
            </w:r>
          </w:p>
        </w:tc>
        <w:tc>
          <w:tcPr>
            <w:tcW w:w="737" w:type="dxa"/>
            <w:vAlign w:val="center"/>
          </w:tcPr>
          <w:p w14:paraId="586DF581">
            <w:pPr>
              <w:spacing w:line="300" w:lineRule="exact"/>
              <w:jc w:val="center"/>
              <w:rPr>
                <w:rFonts w:ascii="方正书宋_GBK" w:eastAsia="方正书宋_GBK" w:cs="方正书宋_GBK"/>
              </w:rPr>
            </w:pPr>
            <w:r>
              <w:rPr>
                <w:rFonts w:ascii="方正书宋_GBK" w:eastAsia="方正书宋_GBK" w:cs="方正书宋_GBK"/>
              </w:rPr>
              <w:t>&lt;400</w:t>
            </w:r>
          </w:p>
        </w:tc>
      </w:tr>
      <w:tr w14:paraId="058A9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7FEC1B35">
            <w:pPr>
              <w:spacing w:line="300" w:lineRule="exact"/>
              <w:jc w:val="left"/>
              <w:rPr>
                <w:rFonts w:ascii="方正书宋_GBK" w:eastAsia="方正书宋_GBK"/>
                <w:b/>
                <w:bCs/>
              </w:rPr>
            </w:pPr>
            <w:r>
              <w:rPr>
                <w:rFonts w:hint="eastAsia" w:ascii="方正书宋_GBK" w:eastAsia="方正书宋_GBK" w:cs="方正书宋_GBK"/>
                <w:b/>
                <w:bCs/>
              </w:rPr>
              <w:t>　　综合事务管理</w:t>
            </w:r>
          </w:p>
        </w:tc>
        <w:tc>
          <w:tcPr>
            <w:tcW w:w="1276" w:type="dxa"/>
            <w:vMerge w:val="restart"/>
            <w:vAlign w:val="center"/>
          </w:tcPr>
          <w:p w14:paraId="72632857">
            <w:pPr>
              <w:spacing w:line="300" w:lineRule="exact"/>
              <w:jc w:val="left"/>
              <w:rPr>
                <w:rFonts w:ascii="方正书宋_GBK" w:eastAsia="方正书宋_GBK"/>
              </w:rPr>
            </w:pPr>
          </w:p>
        </w:tc>
        <w:tc>
          <w:tcPr>
            <w:tcW w:w="2976" w:type="dxa"/>
            <w:vMerge w:val="restart"/>
            <w:vAlign w:val="center"/>
          </w:tcPr>
          <w:p w14:paraId="0D27BAA1">
            <w:pPr>
              <w:spacing w:line="300" w:lineRule="exact"/>
              <w:jc w:val="left"/>
              <w:rPr>
                <w:rFonts w:ascii="方正书宋_GBK" w:eastAsia="方正书宋_GBK"/>
              </w:rPr>
            </w:pPr>
            <w:r>
              <w:rPr>
                <w:rFonts w:hint="eastAsia" w:ascii="方正书宋_GBK" w:eastAsia="方正书宋_GBK" w:cs="方正书宋_GBK"/>
              </w:rPr>
              <w:t>对办公场所等设施进行运行维护，开展综合业务平台建设与维护工作，配发工商制服，进行设备购置，组织节能减排、车辆运行与管理、设备购置和管理、机关保安、保洁和环境绿化及养护等后勤服务</w:t>
            </w:r>
            <w:r>
              <w:rPr>
                <w:rFonts w:ascii="方正书宋_GBK" w:eastAsia="方正书宋_GBK" w:cs="方正书宋_GBK"/>
              </w:rPr>
              <w:t>,</w:t>
            </w:r>
            <w:r>
              <w:rPr>
                <w:rFonts w:hint="eastAsia" w:ascii="方正书宋_GBK" w:eastAsia="方正书宋_GBK" w:cs="方正书宋_GBK"/>
              </w:rPr>
              <w:t>办公场所建设。</w:t>
            </w:r>
          </w:p>
        </w:tc>
        <w:tc>
          <w:tcPr>
            <w:tcW w:w="2976" w:type="dxa"/>
            <w:vMerge w:val="restart"/>
            <w:vAlign w:val="center"/>
          </w:tcPr>
          <w:p w14:paraId="38F37992">
            <w:pPr>
              <w:spacing w:line="300" w:lineRule="exact"/>
              <w:jc w:val="left"/>
              <w:rPr>
                <w:rFonts w:ascii="方正书宋_GBK" w:eastAsia="方正书宋_GBK"/>
              </w:rPr>
            </w:pPr>
            <w:r>
              <w:rPr>
                <w:rFonts w:hint="eastAsia" w:ascii="方正书宋_GBK" w:eastAsia="方正书宋_GBK" w:cs="方正书宋_GBK"/>
              </w:rPr>
              <w:t>提升保障能力及管理水平，完成各项工作任务。</w:t>
            </w:r>
          </w:p>
        </w:tc>
        <w:tc>
          <w:tcPr>
            <w:tcW w:w="1417" w:type="dxa"/>
            <w:vAlign w:val="center"/>
          </w:tcPr>
          <w:p w14:paraId="31F4839A">
            <w:pPr>
              <w:spacing w:line="300" w:lineRule="exact"/>
              <w:jc w:val="left"/>
              <w:rPr>
                <w:rFonts w:ascii="方正书宋_GBK" w:eastAsia="方正书宋_GBK"/>
              </w:rPr>
            </w:pPr>
            <w:r>
              <w:rPr>
                <w:rFonts w:hint="eastAsia" w:ascii="方正书宋_GBK" w:eastAsia="方正书宋_GBK" w:cs="方正书宋_GBK"/>
              </w:rPr>
              <w:t>信息平台建设达标率</w:t>
            </w:r>
          </w:p>
        </w:tc>
        <w:tc>
          <w:tcPr>
            <w:tcW w:w="737" w:type="dxa"/>
            <w:vAlign w:val="center"/>
          </w:tcPr>
          <w:p w14:paraId="2B787EE2">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737" w:type="dxa"/>
            <w:vAlign w:val="center"/>
          </w:tcPr>
          <w:p w14:paraId="08F54849">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78851119">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85%</w:t>
            </w:r>
          </w:p>
        </w:tc>
        <w:tc>
          <w:tcPr>
            <w:tcW w:w="737" w:type="dxa"/>
            <w:vAlign w:val="center"/>
          </w:tcPr>
          <w:p w14:paraId="54751094">
            <w:pPr>
              <w:spacing w:line="300" w:lineRule="exact"/>
              <w:jc w:val="center"/>
              <w:rPr>
                <w:rFonts w:ascii="方正书宋_GBK" w:eastAsia="方正书宋_GBK" w:cs="方正书宋_GBK"/>
              </w:rPr>
            </w:pPr>
            <w:r>
              <w:rPr>
                <w:rFonts w:ascii="方正书宋_GBK" w:eastAsia="方正书宋_GBK" w:cs="方正书宋_GBK"/>
              </w:rPr>
              <w:t>&lt;85%</w:t>
            </w:r>
          </w:p>
        </w:tc>
      </w:tr>
      <w:tr w14:paraId="18AA9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63" w:hRule="atLeast"/>
          <w:jc w:val="center"/>
        </w:trPr>
        <w:tc>
          <w:tcPr>
            <w:tcW w:w="2341" w:type="dxa"/>
            <w:vMerge w:val="continue"/>
            <w:vAlign w:val="center"/>
          </w:tcPr>
          <w:p w14:paraId="3092B476">
            <w:pPr>
              <w:spacing w:line="300" w:lineRule="exact"/>
              <w:jc w:val="left"/>
              <w:rPr>
                <w:rFonts w:ascii="方正书宋_GBK" w:eastAsia="方正书宋_GBK"/>
                <w:b/>
                <w:bCs/>
              </w:rPr>
            </w:pPr>
          </w:p>
        </w:tc>
        <w:tc>
          <w:tcPr>
            <w:tcW w:w="1276" w:type="dxa"/>
            <w:vMerge w:val="continue"/>
            <w:vAlign w:val="center"/>
          </w:tcPr>
          <w:p w14:paraId="7BA88A97">
            <w:pPr>
              <w:spacing w:line="300" w:lineRule="exact"/>
              <w:jc w:val="left"/>
              <w:rPr>
                <w:rFonts w:ascii="方正书宋_GBK" w:eastAsia="方正书宋_GBK"/>
              </w:rPr>
            </w:pPr>
          </w:p>
        </w:tc>
        <w:tc>
          <w:tcPr>
            <w:tcW w:w="2976" w:type="dxa"/>
            <w:vMerge w:val="continue"/>
            <w:vAlign w:val="center"/>
          </w:tcPr>
          <w:p w14:paraId="2FBEE4E4">
            <w:pPr>
              <w:spacing w:line="300" w:lineRule="exact"/>
              <w:jc w:val="left"/>
              <w:rPr>
                <w:rFonts w:ascii="方正书宋_GBK" w:eastAsia="方正书宋_GBK"/>
              </w:rPr>
            </w:pPr>
          </w:p>
        </w:tc>
        <w:tc>
          <w:tcPr>
            <w:tcW w:w="2976" w:type="dxa"/>
            <w:vMerge w:val="continue"/>
            <w:vAlign w:val="center"/>
          </w:tcPr>
          <w:p w14:paraId="0D1A6A59">
            <w:pPr>
              <w:spacing w:line="300" w:lineRule="exact"/>
              <w:jc w:val="left"/>
              <w:rPr>
                <w:rFonts w:ascii="方正书宋_GBK" w:eastAsia="方正书宋_GBK"/>
              </w:rPr>
            </w:pPr>
          </w:p>
        </w:tc>
        <w:tc>
          <w:tcPr>
            <w:tcW w:w="1417" w:type="dxa"/>
            <w:vAlign w:val="center"/>
          </w:tcPr>
          <w:p w14:paraId="4A55636C">
            <w:pPr>
              <w:spacing w:line="300" w:lineRule="exact"/>
              <w:jc w:val="left"/>
              <w:rPr>
                <w:rFonts w:ascii="方正书宋_GBK" w:eastAsia="方正书宋_GBK"/>
              </w:rPr>
            </w:pPr>
            <w:r>
              <w:rPr>
                <w:rFonts w:hint="eastAsia" w:ascii="方正书宋_GBK" w:eastAsia="方正书宋_GBK" w:cs="方正书宋_GBK"/>
              </w:rPr>
              <w:t>办公场所、设备检修维护</w:t>
            </w:r>
          </w:p>
        </w:tc>
        <w:tc>
          <w:tcPr>
            <w:tcW w:w="737" w:type="dxa"/>
            <w:vAlign w:val="center"/>
          </w:tcPr>
          <w:p w14:paraId="26BBC336">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6</w:t>
            </w:r>
          </w:p>
        </w:tc>
        <w:tc>
          <w:tcPr>
            <w:tcW w:w="737" w:type="dxa"/>
            <w:vAlign w:val="center"/>
          </w:tcPr>
          <w:p w14:paraId="64A1A688">
            <w:pPr>
              <w:spacing w:line="300" w:lineRule="exact"/>
              <w:jc w:val="center"/>
              <w:rPr>
                <w:rFonts w:ascii="方正书宋_GBK" w:eastAsia="方正书宋_GBK" w:cs="方正书宋_GBK"/>
              </w:rPr>
            </w:pPr>
            <w:r>
              <w:rPr>
                <w:rFonts w:ascii="方正书宋_GBK" w:eastAsia="方正书宋_GBK" w:cs="方正书宋_GBK"/>
              </w:rPr>
              <w:t>5</w:t>
            </w:r>
          </w:p>
        </w:tc>
        <w:tc>
          <w:tcPr>
            <w:tcW w:w="737" w:type="dxa"/>
            <w:vAlign w:val="center"/>
          </w:tcPr>
          <w:p w14:paraId="4A489075">
            <w:pPr>
              <w:spacing w:line="300" w:lineRule="exact"/>
              <w:jc w:val="center"/>
              <w:rPr>
                <w:rFonts w:ascii="方正书宋_GBK" w:eastAsia="方正书宋_GBK" w:cs="方正书宋_GBK"/>
              </w:rPr>
            </w:pPr>
            <w:r>
              <w:rPr>
                <w:rFonts w:ascii="方正书宋_GBK" w:eastAsia="方正书宋_GBK" w:cs="方正书宋_GBK"/>
              </w:rPr>
              <w:t>4</w:t>
            </w:r>
          </w:p>
        </w:tc>
        <w:tc>
          <w:tcPr>
            <w:tcW w:w="737" w:type="dxa"/>
            <w:vAlign w:val="center"/>
          </w:tcPr>
          <w:p w14:paraId="3F286C00">
            <w:pPr>
              <w:spacing w:line="300" w:lineRule="exact"/>
              <w:jc w:val="center"/>
              <w:rPr>
                <w:rFonts w:ascii="方正书宋_GBK" w:eastAsia="方正书宋_GBK" w:cs="方正书宋_GBK"/>
              </w:rPr>
            </w:pPr>
            <w:r>
              <w:rPr>
                <w:rFonts w:ascii="方正书宋_GBK" w:eastAsia="方正书宋_GBK" w:cs="方正书宋_GBK"/>
              </w:rPr>
              <w:t>&lt;4</w:t>
            </w:r>
          </w:p>
        </w:tc>
      </w:tr>
      <w:tr w14:paraId="31038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7DAD99E">
            <w:pPr>
              <w:spacing w:line="300" w:lineRule="exact"/>
              <w:jc w:val="center"/>
              <w:rPr>
                <w:rFonts w:ascii="方正书宋_GBK" w:eastAsia="方正书宋_GBK"/>
                <w:b/>
                <w:bCs/>
              </w:rPr>
            </w:pPr>
            <w:r>
              <w:rPr>
                <w:rFonts w:hint="eastAsia" w:ascii="方正书宋_GBK" w:eastAsia="方正书宋_GBK" w:cs="方正书宋_GBK"/>
                <w:b/>
                <w:bCs/>
              </w:rPr>
              <w:t>食品安全管理</w:t>
            </w:r>
          </w:p>
        </w:tc>
        <w:tc>
          <w:tcPr>
            <w:tcW w:w="1276" w:type="dxa"/>
            <w:vAlign w:val="center"/>
          </w:tcPr>
          <w:p w14:paraId="3D753D1F">
            <w:pPr>
              <w:spacing w:line="300" w:lineRule="exact"/>
              <w:jc w:val="left"/>
              <w:rPr>
                <w:rFonts w:ascii="方正书宋_GBK" w:eastAsia="方正书宋_GBK"/>
              </w:rPr>
            </w:pPr>
          </w:p>
        </w:tc>
        <w:tc>
          <w:tcPr>
            <w:tcW w:w="2976" w:type="dxa"/>
            <w:vAlign w:val="center"/>
          </w:tcPr>
          <w:p w14:paraId="1515C512">
            <w:pPr>
              <w:spacing w:line="300" w:lineRule="exact"/>
              <w:jc w:val="left"/>
              <w:rPr>
                <w:rFonts w:ascii="方正书宋_GBK" w:eastAsia="方正书宋_GBK"/>
              </w:rPr>
            </w:pPr>
            <w:r>
              <w:rPr>
                <w:rFonts w:hint="eastAsia" w:ascii="方正书宋_GBK" w:eastAsia="方正书宋_GBK" w:cs="方正书宋_GBK"/>
              </w:rPr>
              <w:t>对食品生产、流通、餐饮消费各环节进行监管、及时发现和排除食品安全问题，确保大型活动期间的食品安全</w:t>
            </w:r>
          </w:p>
        </w:tc>
        <w:tc>
          <w:tcPr>
            <w:tcW w:w="2976" w:type="dxa"/>
            <w:vAlign w:val="center"/>
          </w:tcPr>
          <w:p w14:paraId="5CB6CE78">
            <w:pPr>
              <w:spacing w:line="300" w:lineRule="exact"/>
              <w:jc w:val="left"/>
              <w:rPr>
                <w:rFonts w:ascii="方正书宋_GBK" w:eastAsia="方正书宋_GBK"/>
              </w:rPr>
            </w:pPr>
            <w:r>
              <w:rPr>
                <w:rFonts w:hint="eastAsia" w:ascii="方正书宋_GBK" w:eastAsia="方正书宋_GBK" w:cs="方正书宋_GBK"/>
              </w:rPr>
              <w:t>通过对食品各个环节的强力监管，及时发现食品监管中存在的问题，做好重大活动和暑期食品安全保障</w:t>
            </w:r>
          </w:p>
        </w:tc>
        <w:tc>
          <w:tcPr>
            <w:tcW w:w="1417" w:type="dxa"/>
            <w:vAlign w:val="center"/>
          </w:tcPr>
          <w:p w14:paraId="285400CE">
            <w:pPr>
              <w:spacing w:line="300" w:lineRule="exact"/>
              <w:jc w:val="left"/>
              <w:rPr>
                <w:rFonts w:ascii="方正书宋_GBK" w:eastAsia="方正书宋_GBK"/>
              </w:rPr>
            </w:pPr>
          </w:p>
        </w:tc>
        <w:tc>
          <w:tcPr>
            <w:tcW w:w="737" w:type="dxa"/>
            <w:vAlign w:val="center"/>
          </w:tcPr>
          <w:p w14:paraId="712B7F6C">
            <w:pPr>
              <w:spacing w:line="300" w:lineRule="exact"/>
              <w:jc w:val="center"/>
              <w:rPr>
                <w:rFonts w:ascii="方正书宋_GBK" w:eastAsia="方正书宋_GBK"/>
              </w:rPr>
            </w:pPr>
          </w:p>
        </w:tc>
        <w:tc>
          <w:tcPr>
            <w:tcW w:w="737" w:type="dxa"/>
            <w:vAlign w:val="center"/>
          </w:tcPr>
          <w:p w14:paraId="72751673">
            <w:pPr>
              <w:spacing w:line="300" w:lineRule="exact"/>
              <w:jc w:val="center"/>
              <w:rPr>
                <w:rFonts w:ascii="方正书宋_GBK" w:eastAsia="方正书宋_GBK"/>
              </w:rPr>
            </w:pPr>
          </w:p>
        </w:tc>
        <w:tc>
          <w:tcPr>
            <w:tcW w:w="737" w:type="dxa"/>
            <w:vAlign w:val="center"/>
          </w:tcPr>
          <w:p w14:paraId="598AEAF8">
            <w:pPr>
              <w:spacing w:line="300" w:lineRule="exact"/>
              <w:jc w:val="center"/>
              <w:rPr>
                <w:rFonts w:ascii="方正书宋_GBK" w:eastAsia="方正书宋_GBK"/>
              </w:rPr>
            </w:pPr>
          </w:p>
        </w:tc>
        <w:tc>
          <w:tcPr>
            <w:tcW w:w="737" w:type="dxa"/>
            <w:vAlign w:val="center"/>
          </w:tcPr>
          <w:p w14:paraId="4D99309D">
            <w:pPr>
              <w:spacing w:line="300" w:lineRule="exact"/>
              <w:jc w:val="center"/>
              <w:rPr>
                <w:rFonts w:ascii="方正书宋_GBK" w:eastAsia="方正书宋_GBK"/>
              </w:rPr>
            </w:pPr>
          </w:p>
        </w:tc>
      </w:tr>
      <w:tr w14:paraId="3DEB6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4EF85A86">
            <w:pPr>
              <w:spacing w:line="300" w:lineRule="exact"/>
              <w:jc w:val="center"/>
              <w:rPr>
                <w:rFonts w:ascii="方正书宋_GBK" w:eastAsia="方正书宋_GBK"/>
                <w:b/>
                <w:bCs/>
              </w:rPr>
            </w:pPr>
            <w:r>
              <w:rPr>
                <w:rFonts w:hint="eastAsia" w:ascii="方正书宋_GBK" w:eastAsia="方正书宋_GBK" w:cs="方正书宋_GBK"/>
                <w:b/>
                <w:bCs/>
              </w:rPr>
              <w:t>食品（含保健品）安全监管</w:t>
            </w:r>
          </w:p>
        </w:tc>
        <w:tc>
          <w:tcPr>
            <w:tcW w:w="1276" w:type="dxa"/>
            <w:vMerge w:val="restart"/>
            <w:vAlign w:val="center"/>
          </w:tcPr>
          <w:p w14:paraId="1DF49BA0">
            <w:pPr>
              <w:spacing w:line="300" w:lineRule="exact"/>
              <w:jc w:val="left"/>
              <w:rPr>
                <w:rFonts w:ascii="方正书宋_GBK" w:eastAsia="方正书宋_GBK"/>
              </w:rPr>
            </w:pPr>
          </w:p>
        </w:tc>
        <w:tc>
          <w:tcPr>
            <w:tcW w:w="2976" w:type="dxa"/>
            <w:vMerge w:val="restart"/>
            <w:vAlign w:val="center"/>
          </w:tcPr>
          <w:p w14:paraId="497C4637">
            <w:pPr>
              <w:spacing w:line="300" w:lineRule="exact"/>
              <w:jc w:val="left"/>
              <w:rPr>
                <w:rFonts w:ascii="方正书宋_GBK" w:eastAsia="方正书宋_GBK"/>
              </w:rPr>
            </w:pPr>
            <w:r>
              <w:rPr>
                <w:rFonts w:hint="eastAsia" w:ascii="方正书宋_GBK" w:eastAsia="方正书宋_GBK" w:cs="方正书宋_GBK"/>
              </w:rPr>
              <w:t>通过对食品生产、流通、餐饮消费环节和保健食品的强力监管，及时发现和排除食品安全问题</w:t>
            </w:r>
          </w:p>
        </w:tc>
        <w:tc>
          <w:tcPr>
            <w:tcW w:w="2976" w:type="dxa"/>
            <w:vMerge w:val="restart"/>
            <w:vAlign w:val="center"/>
          </w:tcPr>
          <w:p w14:paraId="5FFAAEEF">
            <w:pPr>
              <w:spacing w:line="300" w:lineRule="exact"/>
              <w:jc w:val="left"/>
              <w:rPr>
                <w:rFonts w:ascii="方正书宋_GBK" w:eastAsia="方正书宋_GBK"/>
              </w:rPr>
            </w:pPr>
            <w:r>
              <w:rPr>
                <w:rFonts w:hint="eastAsia" w:ascii="方正书宋_GBK" w:eastAsia="方正书宋_GBK" w:cs="方正书宋_GBK"/>
              </w:rPr>
              <w:t>确保食品生产、流通、消费环节和保健食品不出现重大事故</w:t>
            </w:r>
          </w:p>
        </w:tc>
        <w:tc>
          <w:tcPr>
            <w:tcW w:w="1417" w:type="dxa"/>
            <w:vAlign w:val="center"/>
          </w:tcPr>
          <w:p w14:paraId="2F3743A6">
            <w:pPr>
              <w:spacing w:line="300" w:lineRule="exact"/>
              <w:jc w:val="left"/>
              <w:rPr>
                <w:rFonts w:ascii="方正书宋_GBK" w:eastAsia="方正书宋_GBK"/>
              </w:rPr>
            </w:pPr>
            <w:r>
              <w:rPr>
                <w:rFonts w:hint="eastAsia" w:ascii="方正书宋_GBK" w:eastAsia="方正书宋_GBK" w:cs="方正书宋_GBK"/>
              </w:rPr>
              <w:t>食品生产企业检查率</w:t>
            </w:r>
          </w:p>
        </w:tc>
        <w:tc>
          <w:tcPr>
            <w:tcW w:w="737" w:type="dxa"/>
            <w:vAlign w:val="center"/>
          </w:tcPr>
          <w:p w14:paraId="3ACDDFA8">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737" w:type="dxa"/>
            <w:vAlign w:val="center"/>
          </w:tcPr>
          <w:p w14:paraId="6082D7ED">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85%</w:t>
            </w:r>
          </w:p>
        </w:tc>
        <w:tc>
          <w:tcPr>
            <w:tcW w:w="737" w:type="dxa"/>
            <w:vAlign w:val="center"/>
          </w:tcPr>
          <w:p w14:paraId="41D402ED">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80%</w:t>
            </w:r>
          </w:p>
        </w:tc>
        <w:tc>
          <w:tcPr>
            <w:tcW w:w="737" w:type="dxa"/>
            <w:vAlign w:val="center"/>
          </w:tcPr>
          <w:p w14:paraId="45FD192C">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80%</w:t>
            </w:r>
          </w:p>
        </w:tc>
      </w:tr>
      <w:tr w14:paraId="1F4C4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271EBE4A">
            <w:pPr>
              <w:spacing w:line="300" w:lineRule="exact"/>
              <w:jc w:val="left"/>
              <w:rPr>
                <w:rFonts w:ascii="方正书宋_GBK" w:eastAsia="方正书宋_GBK"/>
                <w:b/>
                <w:bCs/>
              </w:rPr>
            </w:pPr>
          </w:p>
        </w:tc>
        <w:tc>
          <w:tcPr>
            <w:tcW w:w="1276" w:type="dxa"/>
            <w:vMerge w:val="continue"/>
            <w:vAlign w:val="center"/>
          </w:tcPr>
          <w:p w14:paraId="04C55332">
            <w:pPr>
              <w:spacing w:line="300" w:lineRule="exact"/>
              <w:jc w:val="left"/>
              <w:rPr>
                <w:rFonts w:ascii="方正书宋_GBK" w:eastAsia="方正书宋_GBK"/>
              </w:rPr>
            </w:pPr>
          </w:p>
        </w:tc>
        <w:tc>
          <w:tcPr>
            <w:tcW w:w="2976" w:type="dxa"/>
            <w:vMerge w:val="continue"/>
            <w:vAlign w:val="center"/>
          </w:tcPr>
          <w:p w14:paraId="000D1263">
            <w:pPr>
              <w:spacing w:line="300" w:lineRule="exact"/>
              <w:jc w:val="left"/>
              <w:rPr>
                <w:rFonts w:ascii="方正书宋_GBK" w:eastAsia="方正书宋_GBK"/>
              </w:rPr>
            </w:pPr>
          </w:p>
        </w:tc>
        <w:tc>
          <w:tcPr>
            <w:tcW w:w="2976" w:type="dxa"/>
            <w:vMerge w:val="continue"/>
            <w:vAlign w:val="center"/>
          </w:tcPr>
          <w:p w14:paraId="79B9DE5B">
            <w:pPr>
              <w:spacing w:line="300" w:lineRule="exact"/>
              <w:jc w:val="left"/>
              <w:rPr>
                <w:rFonts w:ascii="方正书宋_GBK" w:eastAsia="方正书宋_GBK"/>
              </w:rPr>
            </w:pPr>
          </w:p>
        </w:tc>
        <w:tc>
          <w:tcPr>
            <w:tcW w:w="1417" w:type="dxa"/>
            <w:vAlign w:val="center"/>
          </w:tcPr>
          <w:p w14:paraId="455AFD35">
            <w:pPr>
              <w:spacing w:line="300" w:lineRule="exact"/>
              <w:jc w:val="left"/>
              <w:rPr>
                <w:rFonts w:ascii="方正书宋_GBK" w:eastAsia="方正书宋_GBK"/>
              </w:rPr>
            </w:pPr>
            <w:r>
              <w:rPr>
                <w:rFonts w:hint="eastAsia" w:ascii="方正书宋_GBK" w:eastAsia="方正书宋_GBK" w:cs="方正书宋_GBK"/>
              </w:rPr>
              <w:t>不合格样品生产企业处理率</w:t>
            </w:r>
          </w:p>
        </w:tc>
        <w:tc>
          <w:tcPr>
            <w:tcW w:w="737" w:type="dxa"/>
            <w:vAlign w:val="center"/>
          </w:tcPr>
          <w:p w14:paraId="070CA346">
            <w:pPr>
              <w:spacing w:line="300" w:lineRule="exact"/>
              <w:jc w:val="center"/>
              <w:rPr>
                <w:rFonts w:ascii="方正书宋_GBK" w:eastAsia="方正书宋_GBK" w:cs="方正书宋_GBK"/>
              </w:rPr>
            </w:pPr>
            <w:r>
              <w:rPr>
                <w:rFonts w:ascii="方正书宋_GBK" w:eastAsia="方正书宋_GBK" w:cs="方正书宋_GBK"/>
              </w:rPr>
              <w:t>100%</w:t>
            </w:r>
          </w:p>
        </w:tc>
        <w:tc>
          <w:tcPr>
            <w:tcW w:w="737" w:type="dxa"/>
            <w:vAlign w:val="center"/>
          </w:tcPr>
          <w:p w14:paraId="5782541D">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737" w:type="dxa"/>
            <w:vAlign w:val="center"/>
          </w:tcPr>
          <w:p w14:paraId="48BBFA81">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73D3F995">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r>
      <w:tr w14:paraId="7EA05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1AC572F6">
            <w:pPr>
              <w:spacing w:line="300" w:lineRule="exact"/>
              <w:jc w:val="left"/>
              <w:rPr>
                <w:rFonts w:ascii="方正书宋_GBK" w:eastAsia="方正书宋_GBK"/>
                <w:b/>
                <w:bCs/>
              </w:rPr>
            </w:pPr>
          </w:p>
        </w:tc>
        <w:tc>
          <w:tcPr>
            <w:tcW w:w="1276" w:type="dxa"/>
            <w:vMerge w:val="continue"/>
            <w:vAlign w:val="center"/>
          </w:tcPr>
          <w:p w14:paraId="06A57826">
            <w:pPr>
              <w:spacing w:line="300" w:lineRule="exact"/>
              <w:jc w:val="left"/>
              <w:rPr>
                <w:rFonts w:ascii="方正书宋_GBK" w:eastAsia="方正书宋_GBK"/>
              </w:rPr>
            </w:pPr>
          </w:p>
        </w:tc>
        <w:tc>
          <w:tcPr>
            <w:tcW w:w="2976" w:type="dxa"/>
            <w:vMerge w:val="continue"/>
            <w:vAlign w:val="center"/>
          </w:tcPr>
          <w:p w14:paraId="1E5C6BAC">
            <w:pPr>
              <w:spacing w:line="300" w:lineRule="exact"/>
              <w:jc w:val="left"/>
              <w:rPr>
                <w:rFonts w:ascii="方正书宋_GBK" w:eastAsia="方正书宋_GBK"/>
              </w:rPr>
            </w:pPr>
          </w:p>
        </w:tc>
        <w:tc>
          <w:tcPr>
            <w:tcW w:w="2976" w:type="dxa"/>
            <w:vMerge w:val="continue"/>
            <w:vAlign w:val="center"/>
          </w:tcPr>
          <w:p w14:paraId="6668EAEF">
            <w:pPr>
              <w:spacing w:line="300" w:lineRule="exact"/>
              <w:jc w:val="left"/>
              <w:rPr>
                <w:rFonts w:ascii="方正书宋_GBK" w:eastAsia="方正书宋_GBK"/>
              </w:rPr>
            </w:pPr>
          </w:p>
        </w:tc>
        <w:tc>
          <w:tcPr>
            <w:tcW w:w="1417" w:type="dxa"/>
            <w:vAlign w:val="center"/>
          </w:tcPr>
          <w:p w14:paraId="4EF43E92">
            <w:pPr>
              <w:spacing w:line="300" w:lineRule="exact"/>
              <w:jc w:val="left"/>
              <w:rPr>
                <w:rFonts w:ascii="方正书宋_GBK" w:eastAsia="方正书宋_GBK"/>
              </w:rPr>
            </w:pPr>
            <w:r>
              <w:rPr>
                <w:rFonts w:hint="eastAsia" w:ascii="方正书宋_GBK" w:eastAsia="方正书宋_GBK" w:cs="方正书宋_GBK"/>
              </w:rPr>
              <w:t>餐饮业、食堂等消费环节安全信息监测覆盖面</w:t>
            </w:r>
          </w:p>
        </w:tc>
        <w:tc>
          <w:tcPr>
            <w:tcW w:w="737" w:type="dxa"/>
            <w:vAlign w:val="center"/>
          </w:tcPr>
          <w:p w14:paraId="0683BC1B">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1562FA61">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85%</w:t>
            </w:r>
          </w:p>
        </w:tc>
        <w:tc>
          <w:tcPr>
            <w:tcW w:w="737" w:type="dxa"/>
            <w:vAlign w:val="center"/>
          </w:tcPr>
          <w:p w14:paraId="3D2B1EED">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80%</w:t>
            </w:r>
          </w:p>
        </w:tc>
        <w:tc>
          <w:tcPr>
            <w:tcW w:w="737" w:type="dxa"/>
            <w:vAlign w:val="center"/>
          </w:tcPr>
          <w:p w14:paraId="1FC40AF1">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80%</w:t>
            </w:r>
          </w:p>
        </w:tc>
      </w:tr>
      <w:tr w14:paraId="13258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77FB89BB">
            <w:pPr>
              <w:spacing w:line="300" w:lineRule="exact"/>
              <w:jc w:val="left"/>
              <w:rPr>
                <w:rFonts w:ascii="方正书宋_GBK" w:eastAsia="方正书宋_GBK"/>
                <w:b/>
                <w:bCs/>
              </w:rPr>
            </w:pPr>
          </w:p>
        </w:tc>
        <w:tc>
          <w:tcPr>
            <w:tcW w:w="1276" w:type="dxa"/>
            <w:vMerge w:val="continue"/>
            <w:vAlign w:val="center"/>
          </w:tcPr>
          <w:p w14:paraId="73801D20">
            <w:pPr>
              <w:spacing w:line="300" w:lineRule="exact"/>
              <w:jc w:val="left"/>
              <w:rPr>
                <w:rFonts w:ascii="方正书宋_GBK" w:eastAsia="方正书宋_GBK"/>
              </w:rPr>
            </w:pPr>
          </w:p>
        </w:tc>
        <w:tc>
          <w:tcPr>
            <w:tcW w:w="2976" w:type="dxa"/>
            <w:vMerge w:val="continue"/>
            <w:vAlign w:val="center"/>
          </w:tcPr>
          <w:p w14:paraId="4F859313">
            <w:pPr>
              <w:spacing w:line="300" w:lineRule="exact"/>
              <w:jc w:val="left"/>
              <w:rPr>
                <w:rFonts w:ascii="方正书宋_GBK" w:eastAsia="方正书宋_GBK"/>
              </w:rPr>
            </w:pPr>
          </w:p>
        </w:tc>
        <w:tc>
          <w:tcPr>
            <w:tcW w:w="2976" w:type="dxa"/>
            <w:vMerge w:val="continue"/>
            <w:vAlign w:val="center"/>
          </w:tcPr>
          <w:p w14:paraId="342EEE01">
            <w:pPr>
              <w:spacing w:line="300" w:lineRule="exact"/>
              <w:jc w:val="left"/>
              <w:rPr>
                <w:rFonts w:ascii="方正书宋_GBK" w:eastAsia="方正书宋_GBK"/>
              </w:rPr>
            </w:pPr>
          </w:p>
        </w:tc>
        <w:tc>
          <w:tcPr>
            <w:tcW w:w="1417" w:type="dxa"/>
            <w:vAlign w:val="center"/>
          </w:tcPr>
          <w:p w14:paraId="6B26E119">
            <w:pPr>
              <w:spacing w:line="300" w:lineRule="exact"/>
              <w:jc w:val="left"/>
              <w:rPr>
                <w:rFonts w:ascii="方正书宋_GBK" w:eastAsia="方正书宋_GBK"/>
              </w:rPr>
            </w:pPr>
            <w:r>
              <w:rPr>
                <w:rFonts w:hint="eastAsia" w:ascii="方正书宋_GBK" w:eastAsia="方正书宋_GBK" w:cs="方正书宋_GBK"/>
              </w:rPr>
              <w:t>食品抽检计划完成率</w:t>
            </w:r>
          </w:p>
        </w:tc>
        <w:tc>
          <w:tcPr>
            <w:tcW w:w="737" w:type="dxa"/>
            <w:vAlign w:val="center"/>
          </w:tcPr>
          <w:p w14:paraId="16EC431B">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737" w:type="dxa"/>
            <w:vAlign w:val="center"/>
          </w:tcPr>
          <w:p w14:paraId="175062F5">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85%</w:t>
            </w:r>
          </w:p>
        </w:tc>
        <w:tc>
          <w:tcPr>
            <w:tcW w:w="737" w:type="dxa"/>
            <w:vAlign w:val="center"/>
          </w:tcPr>
          <w:p w14:paraId="7B5E2A58">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80%</w:t>
            </w:r>
          </w:p>
        </w:tc>
        <w:tc>
          <w:tcPr>
            <w:tcW w:w="737" w:type="dxa"/>
            <w:vAlign w:val="center"/>
          </w:tcPr>
          <w:p w14:paraId="59428A42">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80%</w:t>
            </w:r>
          </w:p>
        </w:tc>
      </w:tr>
      <w:tr w14:paraId="486E2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1B906D8C">
            <w:pPr>
              <w:spacing w:line="300" w:lineRule="exact"/>
              <w:jc w:val="center"/>
              <w:rPr>
                <w:rFonts w:ascii="方正书宋_GBK" w:eastAsia="方正书宋_GBK"/>
                <w:b/>
                <w:bCs/>
              </w:rPr>
            </w:pPr>
            <w:r>
              <w:rPr>
                <w:rFonts w:hint="eastAsia" w:ascii="方正书宋_GBK" w:eastAsia="方正书宋_GBK" w:cs="方正书宋_GBK"/>
                <w:b/>
                <w:bCs/>
              </w:rPr>
              <w:t>重大活动餐饮服务食品安全保障</w:t>
            </w:r>
          </w:p>
        </w:tc>
        <w:tc>
          <w:tcPr>
            <w:tcW w:w="1276" w:type="dxa"/>
            <w:vMerge w:val="restart"/>
            <w:vAlign w:val="center"/>
          </w:tcPr>
          <w:p w14:paraId="22898AC4">
            <w:pPr>
              <w:spacing w:line="300" w:lineRule="exact"/>
              <w:jc w:val="left"/>
              <w:rPr>
                <w:rFonts w:ascii="方正书宋_GBK" w:eastAsia="方正书宋_GBK"/>
              </w:rPr>
            </w:pPr>
          </w:p>
        </w:tc>
        <w:tc>
          <w:tcPr>
            <w:tcW w:w="2976" w:type="dxa"/>
            <w:vMerge w:val="restart"/>
            <w:vAlign w:val="center"/>
          </w:tcPr>
          <w:p w14:paraId="750D2216">
            <w:pPr>
              <w:spacing w:line="300" w:lineRule="exact"/>
              <w:jc w:val="left"/>
              <w:rPr>
                <w:rFonts w:ascii="方正书宋_GBK" w:eastAsia="方正书宋_GBK"/>
              </w:rPr>
            </w:pPr>
            <w:r>
              <w:rPr>
                <w:rFonts w:hint="eastAsia" w:ascii="方正书宋_GBK" w:eastAsia="方正书宋_GBK" w:cs="方正书宋_GBK"/>
              </w:rPr>
              <w:t>规范重大活动餐饮服务单位食品安全监管，确保大型政治、经济、文化、体育活动以及在我县范围内举办各类大型会议等活动期间的餐饮服务食品安全。</w:t>
            </w:r>
          </w:p>
        </w:tc>
        <w:tc>
          <w:tcPr>
            <w:tcW w:w="2976" w:type="dxa"/>
            <w:vMerge w:val="restart"/>
            <w:vAlign w:val="center"/>
          </w:tcPr>
          <w:p w14:paraId="4666F0F6">
            <w:pPr>
              <w:spacing w:line="300" w:lineRule="exact"/>
              <w:jc w:val="left"/>
              <w:rPr>
                <w:rFonts w:ascii="方正书宋_GBK" w:eastAsia="方正书宋_GBK"/>
              </w:rPr>
            </w:pPr>
            <w:r>
              <w:rPr>
                <w:rFonts w:hint="eastAsia" w:ascii="方正书宋_GBK" w:eastAsia="方正书宋_GBK" w:cs="方正书宋_GBK"/>
              </w:rPr>
              <w:t>提升重大活动餐饮服务食品安全监管水平</w:t>
            </w:r>
          </w:p>
        </w:tc>
        <w:tc>
          <w:tcPr>
            <w:tcW w:w="1417" w:type="dxa"/>
            <w:vAlign w:val="center"/>
          </w:tcPr>
          <w:p w14:paraId="35C08E4A">
            <w:pPr>
              <w:spacing w:line="300" w:lineRule="exact"/>
              <w:jc w:val="left"/>
              <w:rPr>
                <w:rFonts w:ascii="方正书宋_GBK" w:eastAsia="方正书宋_GBK"/>
              </w:rPr>
            </w:pPr>
            <w:r>
              <w:rPr>
                <w:rFonts w:hint="eastAsia" w:ascii="方正书宋_GBK" w:eastAsia="方正书宋_GBK" w:cs="方正书宋_GBK"/>
              </w:rPr>
              <w:t>餐饮服务接待单位达标率</w:t>
            </w:r>
          </w:p>
        </w:tc>
        <w:tc>
          <w:tcPr>
            <w:tcW w:w="737" w:type="dxa"/>
            <w:vAlign w:val="center"/>
          </w:tcPr>
          <w:p w14:paraId="5CB6699D">
            <w:pPr>
              <w:spacing w:line="300" w:lineRule="exact"/>
              <w:jc w:val="center"/>
              <w:rPr>
                <w:rFonts w:ascii="方正书宋_GBK" w:eastAsia="方正书宋_GBK" w:cs="方正书宋_GBK"/>
              </w:rPr>
            </w:pPr>
            <w:r>
              <w:rPr>
                <w:rFonts w:ascii="方正书宋_GBK" w:eastAsia="方正书宋_GBK" w:cs="方正书宋_GBK"/>
              </w:rPr>
              <w:t>100%</w:t>
            </w:r>
          </w:p>
        </w:tc>
        <w:tc>
          <w:tcPr>
            <w:tcW w:w="737" w:type="dxa"/>
            <w:vAlign w:val="center"/>
          </w:tcPr>
          <w:p w14:paraId="2F2E92DE">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737" w:type="dxa"/>
            <w:vAlign w:val="center"/>
          </w:tcPr>
          <w:p w14:paraId="4BEE972A">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0EE27238">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r>
      <w:tr w14:paraId="7D058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68FF6010">
            <w:pPr>
              <w:spacing w:line="300" w:lineRule="exact"/>
              <w:jc w:val="left"/>
              <w:rPr>
                <w:rFonts w:ascii="方正书宋_GBK" w:eastAsia="方正书宋_GBK"/>
                <w:b/>
                <w:bCs/>
              </w:rPr>
            </w:pPr>
          </w:p>
        </w:tc>
        <w:tc>
          <w:tcPr>
            <w:tcW w:w="1276" w:type="dxa"/>
            <w:vMerge w:val="continue"/>
            <w:vAlign w:val="center"/>
          </w:tcPr>
          <w:p w14:paraId="366B2810">
            <w:pPr>
              <w:spacing w:line="300" w:lineRule="exact"/>
              <w:jc w:val="left"/>
              <w:rPr>
                <w:rFonts w:ascii="方正书宋_GBK" w:eastAsia="方正书宋_GBK"/>
              </w:rPr>
            </w:pPr>
          </w:p>
        </w:tc>
        <w:tc>
          <w:tcPr>
            <w:tcW w:w="2976" w:type="dxa"/>
            <w:vMerge w:val="continue"/>
            <w:vAlign w:val="center"/>
          </w:tcPr>
          <w:p w14:paraId="06F5B1AE">
            <w:pPr>
              <w:spacing w:line="300" w:lineRule="exact"/>
              <w:jc w:val="left"/>
              <w:rPr>
                <w:rFonts w:ascii="方正书宋_GBK" w:eastAsia="方正书宋_GBK"/>
              </w:rPr>
            </w:pPr>
          </w:p>
        </w:tc>
        <w:tc>
          <w:tcPr>
            <w:tcW w:w="2976" w:type="dxa"/>
            <w:vMerge w:val="continue"/>
            <w:vAlign w:val="center"/>
          </w:tcPr>
          <w:p w14:paraId="5CD472A4">
            <w:pPr>
              <w:spacing w:line="300" w:lineRule="exact"/>
              <w:jc w:val="left"/>
              <w:rPr>
                <w:rFonts w:ascii="方正书宋_GBK" w:eastAsia="方正书宋_GBK"/>
              </w:rPr>
            </w:pPr>
          </w:p>
        </w:tc>
        <w:tc>
          <w:tcPr>
            <w:tcW w:w="1417" w:type="dxa"/>
            <w:vAlign w:val="center"/>
          </w:tcPr>
          <w:p w14:paraId="34258E1F">
            <w:pPr>
              <w:spacing w:line="300" w:lineRule="exact"/>
              <w:jc w:val="left"/>
              <w:rPr>
                <w:rFonts w:ascii="方正书宋_GBK" w:eastAsia="方正书宋_GBK"/>
              </w:rPr>
            </w:pPr>
            <w:r>
              <w:rPr>
                <w:rFonts w:hint="eastAsia" w:ascii="方正书宋_GBK" w:eastAsia="方正书宋_GBK" w:cs="方正书宋_GBK"/>
              </w:rPr>
              <w:t>暑供食品监督抽检覆盖率</w:t>
            </w:r>
          </w:p>
        </w:tc>
        <w:tc>
          <w:tcPr>
            <w:tcW w:w="737" w:type="dxa"/>
            <w:vAlign w:val="center"/>
          </w:tcPr>
          <w:p w14:paraId="6B55308B">
            <w:pPr>
              <w:spacing w:line="300" w:lineRule="exact"/>
              <w:jc w:val="center"/>
              <w:rPr>
                <w:rFonts w:ascii="方正书宋_GBK" w:eastAsia="方正书宋_GBK" w:cs="方正书宋_GBK"/>
              </w:rPr>
            </w:pPr>
            <w:r>
              <w:rPr>
                <w:rFonts w:ascii="方正书宋_GBK" w:eastAsia="方正书宋_GBK" w:cs="方正书宋_GBK"/>
              </w:rPr>
              <w:t>100%</w:t>
            </w:r>
          </w:p>
        </w:tc>
        <w:tc>
          <w:tcPr>
            <w:tcW w:w="737" w:type="dxa"/>
            <w:vAlign w:val="center"/>
          </w:tcPr>
          <w:p w14:paraId="65486EB4">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737" w:type="dxa"/>
            <w:vAlign w:val="center"/>
          </w:tcPr>
          <w:p w14:paraId="19500FDB">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76E38D5E">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r>
      <w:tr w14:paraId="47215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493A6138">
            <w:pPr>
              <w:spacing w:line="300" w:lineRule="exact"/>
              <w:jc w:val="left"/>
              <w:rPr>
                <w:rFonts w:ascii="方正书宋_GBK" w:eastAsia="方正书宋_GBK"/>
                <w:b/>
                <w:bCs/>
              </w:rPr>
            </w:pPr>
          </w:p>
        </w:tc>
        <w:tc>
          <w:tcPr>
            <w:tcW w:w="1276" w:type="dxa"/>
            <w:vMerge w:val="continue"/>
            <w:vAlign w:val="center"/>
          </w:tcPr>
          <w:p w14:paraId="662A7388">
            <w:pPr>
              <w:spacing w:line="300" w:lineRule="exact"/>
              <w:jc w:val="left"/>
              <w:rPr>
                <w:rFonts w:ascii="方正书宋_GBK" w:eastAsia="方正书宋_GBK"/>
              </w:rPr>
            </w:pPr>
          </w:p>
        </w:tc>
        <w:tc>
          <w:tcPr>
            <w:tcW w:w="2976" w:type="dxa"/>
            <w:vMerge w:val="continue"/>
            <w:vAlign w:val="center"/>
          </w:tcPr>
          <w:p w14:paraId="4741F6D7">
            <w:pPr>
              <w:spacing w:line="300" w:lineRule="exact"/>
              <w:jc w:val="left"/>
              <w:rPr>
                <w:rFonts w:ascii="方正书宋_GBK" w:eastAsia="方正书宋_GBK"/>
              </w:rPr>
            </w:pPr>
          </w:p>
        </w:tc>
        <w:tc>
          <w:tcPr>
            <w:tcW w:w="2976" w:type="dxa"/>
            <w:vMerge w:val="continue"/>
            <w:vAlign w:val="center"/>
          </w:tcPr>
          <w:p w14:paraId="3FD68514">
            <w:pPr>
              <w:spacing w:line="300" w:lineRule="exact"/>
              <w:jc w:val="left"/>
              <w:rPr>
                <w:rFonts w:ascii="方正书宋_GBK" w:eastAsia="方正书宋_GBK"/>
              </w:rPr>
            </w:pPr>
          </w:p>
        </w:tc>
        <w:tc>
          <w:tcPr>
            <w:tcW w:w="1417" w:type="dxa"/>
            <w:vAlign w:val="center"/>
          </w:tcPr>
          <w:p w14:paraId="1229FEA7">
            <w:pPr>
              <w:spacing w:line="300" w:lineRule="exact"/>
              <w:jc w:val="left"/>
              <w:rPr>
                <w:rFonts w:ascii="方正书宋_GBK" w:eastAsia="方正书宋_GBK"/>
              </w:rPr>
            </w:pPr>
            <w:r>
              <w:rPr>
                <w:rFonts w:hint="eastAsia" w:ascii="方正书宋_GBK" w:eastAsia="方正书宋_GBK" w:cs="方正书宋_GBK"/>
              </w:rPr>
              <w:t>重大活动餐饮服务接待单位食品抽检合格率</w:t>
            </w:r>
          </w:p>
        </w:tc>
        <w:tc>
          <w:tcPr>
            <w:tcW w:w="737" w:type="dxa"/>
            <w:vAlign w:val="center"/>
          </w:tcPr>
          <w:p w14:paraId="72D4CF11">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737" w:type="dxa"/>
            <w:vAlign w:val="center"/>
          </w:tcPr>
          <w:p w14:paraId="59583992">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66C3B0EF">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85%</w:t>
            </w:r>
          </w:p>
        </w:tc>
        <w:tc>
          <w:tcPr>
            <w:tcW w:w="737" w:type="dxa"/>
            <w:vAlign w:val="center"/>
          </w:tcPr>
          <w:p w14:paraId="06DA8DC5">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85%</w:t>
            </w:r>
          </w:p>
        </w:tc>
      </w:tr>
      <w:tr w14:paraId="091C0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94F21F0">
            <w:pPr>
              <w:spacing w:line="300" w:lineRule="exact"/>
              <w:jc w:val="center"/>
              <w:rPr>
                <w:rFonts w:ascii="方正书宋_GBK" w:eastAsia="方正书宋_GBK"/>
                <w:b/>
                <w:bCs/>
              </w:rPr>
            </w:pPr>
            <w:r>
              <w:rPr>
                <w:rFonts w:hint="eastAsia" w:ascii="方正书宋_GBK" w:eastAsia="方正书宋_GBK" w:cs="方正书宋_GBK"/>
                <w:b/>
                <w:bCs/>
              </w:rPr>
              <w:t>药品安全管理</w:t>
            </w:r>
          </w:p>
        </w:tc>
        <w:tc>
          <w:tcPr>
            <w:tcW w:w="1276" w:type="dxa"/>
            <w:vAlign w:val="center"/>
          </w:tcPr>
          <w:p w14:paraId="10065DD1">
            <w:pPr>
              <w:spacing w:line="300" w:lineRule="exact"/>
              <w:jc w:val="left"/>
              <w:rPr>
                <w:rFonts w:ascii="方正书宋_GBK" w:eastAsia="方正书宋_GBK"/>
              </w:rPr>
            </w:pPr>
          </w:p>
        </w:tc>
        <w:tc>
          <w:tcPr>
            <w:tcW w:w="2976" w:type="dxa"/>
            <w:vAlign w:val="center"/>
          </w:tcPr>
          <w:p w14:paraId="5D9A91E0">
            <w:pPr>
              <w:spacing w:line="300" w:lineRule="exact"/>
              <w:jc w:val="left"/>
              <w:rPr>
                <w:rFonts w:ascii="方正书宋_GBK" w:eastAsia="方正书宋_GBK"/>
              </w:rPr>
            </w:pPr>
            <w:r>
              <w:rPr>
                <w:rFonts w:hint="eastAsia" w:ascii="方正书宋_GBK" w:eastAsia="方正书宋_GBK" w:cs="方正书宋_GBK"/>
              </w:rPr>
              <w:t>全面加强对基本药物（医疗器械及包装材料）及化妆品的质量监管指导，监督药品生产企业严格按照药品标准进行生产，做好药物不良反应监测及调查处置</w:t>
            </w:r>
          </w:p>
        </w:tc>
        <w:tc>
          <w:tcPr>
            <w:tcW w:w="2976" w:type="dxa"/>
            <w:vAlign w:val="center"/>
          </w:tcPr>
          <w:p w14:paraId="5FF89186">
            <w:pPr>
              <w:spacing w:line="300" w:lineRule="exact"/>
              <w:jc w:val="left"/>
              <w:rPr>
                <w:rFonts w:ascii="方正书宋_GBK" w:eastAsia="方正书宋_GBK"/>
              </w:rPr>
            </w:pPr>
            <w:r>
              <w:rPr>
                <w:rFonts w:hint="eastAsia" w:ascii="方正书宋_GBK" w:eastAsia="方正书宋_GBK" w:cs="方正书宋_GBK"/>
              </w:rPr>
              <w:t>通过对药品和化妆品从研究、生产、流通、销售各个环节的强力监管，及时发现制假售假药问题，重点做好基本药物招标工作和不良反应事件的处置工作，确保我县药物的合格率</w:t>
            </w:r>
          </w:p>
        </w:tc>
        <w:tc>
          <w:tcPr>
            <w:tcW w:w="1417" w:type="dxa"/>
            <w:vAlign w:val="center"/>
          </w:tcPr>
          <w:p w14:paraId="36EC72BA">
            <w:pPr>
              <w:spacing w:line="300" w:lineRule="exact"/>
              <w:jc w:val="left"/>
              <w:rPr>
                <w:rFonts w:ascii="方正书宋_GBK" w:eastAsia="方正书宋_GBK"/>
              </w:rPr>
            </w:pPr>
          </w:p>
        </w:tc>
        <w:tc>
          <w:tcPr>
            <w:tcW w:w="737" w:type="dxa"/>
            <w:vAlign w:val="center"/>
          </w:tcPr>
          <w:p w14:paraId="101D8AA4">
            <w:pPr>
              <w:spacing w:line="300" w:lineRule="exact"/>
              <w:jc w:val="center"/>
              <w:rPr>
                <w:rFonts w:ascii="方正书宋_GBK" w:eastAsia="方正书宋_GBK"/>
              </w:rPr>
            </w:pPr>
          </w:p>
        </w:tc>
        <w:tc>
          <w:tcPr>
            <w:tcW w:w="737" w:type="dxa"/>
            <w:vAlign w:val="center"/>
          </w:tcPr>
          <w:p w14:paraId="2228F733">
            <w:pPr>
              <w:spacing w:line="300" w:lineRule="exact"/>
              <w:jc w:val="center"/>
              <w:rPr>
                <w:rFonts w:ascii="方正书宋_GBK" w:eastAsia="方正书宋_GBK"/>
              </w:rPr>
            </w:pPr>
          </w:p>
        </w:tc>
        <w:tc>
          <w:tcPr>
            <w:tcW w:w="737" w:type="dxa"/>
            <w:vAlign w:val="center"/>
          </w:tcPr>
          <w:p w14:paraId="42995292">
            <w:pPr>
              <w:spacing w:line="300" w:lineRule="exact"/>
              <w:jc w:val="center"/>
              <w:rPr>
                <w:rFonts w:ascii="方正书宋_GBK" w:eastAsia="方正书宋_GBK"/>
              </w:rPr>
            </w:pPr>
          </w:p>
        </w:tc>
        <w:tc>
          <w:tcPr>
            <w:tcW w:w="737" w:type="dxa"/>
            <w:vAlign w:val="center"/>
          </w:tcPr>
          <w:p w14:paraId="438C3334">
            <w:pPr>
              <w:spacing w:line="300" w:lineRule="exact"/>
              <w:jc w:val="center"/>
              <w:rPr>
                <w:rFonts w:ascii="方正书宋_GBK" w:eastAsia="方正书宋_GBK"/>
              </w:rPr>
            </w:pPr>
          </w:p>
        </w:tc>
      </w:tr>
      <w:tr w14:paraId="7782E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46575A3E">
            <w:pPr>
              <w:spacing w:line="300" w:lineRule="exact"/>
              <w:jc w:val="center"/>
              <w:rPr>
                <w:rFonts w:ascii="方正书宋_GBK" w:eastAsia="方正书宋_GBK"/>
                <w:b/>
                <w:bCs/>
              </w:rPr>
            </w:pPr>
            <w:r>
              <w:rPr>
                <w:rFonts w:hint="eastAsia" w:ascii="方正书宋_GBK" w:eastAsia="方正书宋_GBK" w:cs="方正书宋_GBK"/>
                <w:b/>
                <w:bCs/>
              </w:rPr>
              <w:t>药品（医疗器械）监管</w:t>
            </w:r>
          </w:p>
        </w:tc>
        <w:tc>
          <w:tcPr>
            <w:tcW w:w="1276" w:type="dxa"/>
            <w:vMerge w:val="restart"/>
            <w:vAlign w:val="center"/>
          </w:tcPr>
          <w:p w14:paraId="214159B2">
            <w:pPr>
              <w:spacing w:line="300" w:lineRule="exact"/>
              <w:jc w:val="left"/>
              <w:rPr>
                <w:rFonts w:ascii="方正书宋_GBK" w:eastAsia="方正书宋_GBK"/>
              </w:rPr>
            </w:pPr>
          </w:p>
        </w:tc>
        <w:tc>
          <w:tcPr>
            <w:tcW w:w="2976" w:type="dxa"/>
            <w:vMerge w:val="restart"/>
            <w:vAlign w:val="center"/>
          </w:tcPr>
          <w:p w14:paraId="4230B74F">
            <w:pPr>
              <w:spacing w:line="300" w:lineRule="exact"/>
              <w:jc w:val="left"/>
              <w:rPr>
                <w:rFonts w:ascii="方正书宋_GBK" w:eastAsia="方正书宋_GBK"/>
              </w:rPr>
            </w:pPr>
            <w:r>
              <w:rPr>
                <w:rFonts w:hint="eastAsia" w:ascii="方正书宋_GBK" w:eastAsia="方正书宋_GBK" w:cs="方正书宋_GBK"/>
              </w:rPr>
              <w:t>通过对国家基本药物目录品种的全覆盖抽验，全面加强对基本药物的质量监管；对参加集中采购的药品生产经营企业及其申报的资质及有关证明文件进行审核把关；协助建立完善流通环节药品安全隐患排查治理机制。</w:t>
            </w:r>
          </w:p>
        </w:tc>
        <w:tc>
          <w:tcPr>
            <w:tcW w:w="2976" w:type="dxa"/>
            <w:vMerge w:val="restart"/>
            <w:vAlign w:val="center"/>
          </w:tcPr>
          <w:p w14:paraId="7990487B">
            <w:pPr>
              <w:spacing w:line="300" w:lineRule="exact"/>
              <w:jc w:val="left"/>
              <w:rPr>
                <w:rFonts w:ascii="方正书宋_GBK" w:eastAsia="方正书宋_GBK"/>
              </w:rPr>
            </w:pPr>
            <w:r>
              <w:rPr>
                <w:rFonts w:hint="eastAsia" w:ascii="方正书宋_GBK" w:eastAsia="方正书宋_GBK" w:cs="方正书宋_GBK"/>
              </w:rPr>
              <w:t>实现基本药物品种全覆盖抽验；规范药品采购、储存、销售、运输等环节，确保药品质量</w:t>
            </w:r>
          </w:p>
        </w:tc>
        <w:tc>
          <w:tcPr>
            <w:tcW w:w="1417" w:type="dxa"/>
            <w:vAlign w:val="center"/>
          </w:tcPr>
          <w:p w14:paraId="61E47C95">
            <w:pPr>
              <w:spacing w:line="300" w:lineRule="exact"/>
              <w:jc w:val="left"/>
              <w:rPr>
                <w:rFonts w:ascii="方正书宋_GBK" w:eastAsia="方正书宋_GBK"/>
              </w:rPr>
            </w:pPr>
            <w:r>
              <w:rPr>
                <w:rFonts w:hint="eastAsia" w:ascii="方正书宋_GBK" w:eastAsia="方正书宋_GBK" w:cs="方正书宋_GBK"/>
              </w:rPr>
              <w:t>国家基本药物目录品种的全覆盖抽验完成率</w:t>
            </w:r>
          </w:p>
        </w:tc>
        <w:tc>
          <w:tcPr>
            <w:tcW w:w="737" w:type="dxa"/>
            <w:vAlign w:val="center"/>
          </w:tcPr>
          <w:p w14:paraId="726CCF23">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737" w:type="dxa"/>
            <w:vAlign w:val="center"/>
          </w:tcPr>
          <w:p w14:paraId="6D370FBC">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71579B20">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85%</w:t>
            </w:r>
          </w:p>
        </w:tc>
        <w:tc>
          <w:tcPr>
            <w:tcW w:w="737" w:type="dxa"/>
            <w:vAlign w:val="center"/>
          </w:tcPr>
          <w:p w14:paraId="2522DEE3">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85%</w:t>
            </w:r>
          </w:p>
        </w:tc>
      </w:tr>
      <w:tr w14:paraId="699C4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736FFF50">
            <w:pPr>
              <w:spacing w:line="300" w:lineRule="exact"/>
              <w:jc w:val="left"/>
              <w:rPr>
                <w:rFonts w:ascii="方正书宋_GBK" w:eastAsia="方正书宋_GBK"/>
                <w:b/>
                <w:bCs/>
              </w:rPr>
            </w:pPr>
          </w:p>
        </w:tc>
        <w:tc>
          <w:tcPr>
            <w:tcW w:w="1276" w:type="dxa"/>
            <w:vMerge w:val="continue"/>
            <w:vAlign w:val="center"/>
          </w:tcPr>
          <w:p w14:paraId="3D4A56FE">
            <w:pPr>
              <w:spacing w:line="300" w:lineRule="exact"/>
              <w:jc w:val="left"/>
              <w:rPr>
                <w:rFonts w:ascii="方正书宋_GBK" w:eastAsia="方正书宋_GBK"/>
              </w:rPr>
            </w:pPr>
          </w:p>
        </w:tc>
        <w:tc>
          <w:tcPr>
            <w:tcW w:w="2976" w:type="dxa"/>
            <w:vMerge w:val="continue"/>
            <w:vAlign w:val="center"/>
          </w:tcPr>
          <w:p w14:paraId="19E94157">
            <w:pPr>
              <w:spacing w:line="300" w:lineRule="exact"/>
              <w:jc w:val="left"/>
              <w:rPr>
                <w:rFonts w:ascii="方正书宋_GBK" w:eastAsia="方正书宋_GBK"/>
              </w:rPr>
            </w:pPr>
          </w:p>
        </w:tc>
        <w:tc>
          <w:tcPr>
            <w:tcW w:w="2976" w:type="dxa"/>
            <w:vMerge w:val="continue"/>
            <w:vAlign w:val="center"/>
          </w:tcPr>
          <w:p w14:paraId="4A24D9D9">
            <w:pPr>
              <w:spacing w:line="300" w:lineRule="exact"/>
              <w:jc w:val="left"/>
              <w:rPr>
                <w:rFonts w:ascii="方正书宋_GBK" w:eastAsia="方正书宋_GBK"/>
              </w:rPr>
            </w:pPr>
          </w:p>
        </w:tc>
        <w:tc>
          <w:tcPr>
            <w:tcW w:w="1417" w:type="dxa"/>
            <w:vAlign w:val="center"/>
          </w:tcPr>
          <w:p w14:paraId="7C3869EF">
            <w:pPr>
              <w:spacing w:line="300" w:lineRule="exact"/>
              <w:jc w:val="left"/>
              <w:rPr>
                <w:rFonts w:ascii="方正书宋_GBK" w:eastAsia="方正书宋_GBK"/>
              </w:rPr>
            </w:pPr>
            <w:r>
              <w:rPr>
                <w:rFonts w:hint="eastAsia" w:ascii="方正书宋_GBK" w:eastAsia="方正书宋_GBK" w:cs="方正书宋_GBK"/>
              </w:rPr>
              <w:t>对检出问题的产品依法核查处置率</w:t>
            </w:r>
          </w:p>
        </w:tc>
        <w:tc>
          <w:tcPr>
            <w:tcW w:w="737" w:type="dxa"/>
            <w:vAlign w:val="center"/>
          </w:tcPr>
          <w:p w14:paraId="708179FF">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737" w:type="dxa"/>
            <w:vAlign w:val="center"/>
          </w:tcPr>
          <w:p w14:paraId="459964BF">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5A0677F2">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85%</w:t>
            </w:r>
          </w:p>
        </w:tc>
        <w:tc>
          <w:tcPr>
            <w:tcW w:w="737" w:type="dxa"/>
            <w:vAlign w:val="center"/>
          </w:tcPr>
          <w:p w14:paraId="6F6447FA">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85%</w:t>
            </w:r>
          </w:p>
        </w:tc>
      </w:tr>
      <w:tr w14:paraId="4146C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65F45289">
            <w:pPr>
              <w:spacing w:line="300" w:lineRule="exact"/>
              <w:jc w:val="left"/>
              <w:rPr>
                <w:rFonts w:ascii="方正书宋_GBK" w:eastAsia="方正书宋_GBK"/>
                <w:b/>
                <w:bCs/>
              </w:rPr>
            </w:pPr>
          </w:p>
        </w:tc>
        <w:tc>
          <w:tcPr>
            <w:tcW w:w="1276" w:type="dxa"/>
            <w:vMerge w:val="continue"/>
            <w:vAlign w:val="center"/>
          </w:tcPr>
          <w:p w14:paraId="3B5A6A44">
            <w:pPr>
              <w:spacing w:line="300" w:lineRule="exact"/>
              <w:jc w:val="left"/>
              <w:rPr>
                <w:rFonts w:ascii="方正书宋_GBK" w:eastAsia="方正书宋_GBK"/>
              </w:rPr>
            </w:pPr>
          </w:p>
        </w:tc>
        <w:tc>
          <w:tcPr>
            <w:tcW w:w="2976" w:type="dxa"/>
            <w:vMerge w:val="continue"/>
            <w:vAlign w:val="center"/>
          </w:tcPr>
          <w:p w14:paraId="135043CB">
            <w:pPr>
              <w:spacing w:line="300" w:lineRule="exact"/>
              <w:jc w:val="left"/>
              <w:rPr>
                <w:rFonts w:ascii="方正书宋_GBK" w:eastAsia="方正书宋_GBK"/>
              </w:rPr>
            </w:pPr>
          </w:p>
        </w:tc>
        <w:tc>
          <w:tcPr>
            <w:tcW w:w="2976" w:type="dxa"/>
            <w:vMerge w:val="continue"/>
            <w:vAlign w:val="center"/>
          </w:tcPr>
          <w:p w14:paraId="000C3021">
            <w:pPr>
              <w:spacing w:line="300" w:lineRule="exact"/>
              <w:jc w:val="left"/>
              <w:rPr>
                <w:rFonts w:ascii="方正书宋_GBK" w:eastAsia="方正书宋_GBK"/>
              </w:rPr>
            </w:pPr>
          </w:p>
        </w:tc>
        <w:tc>
          <w:tcPr>
            <w:tcW w:w="1417" w:type="dxa"/>
            <w:vAlign w:val="center"/>
          </w:tcPr>
          <w:p w14:paraId="7E037B3B">
            <w:pPr>
              <w:spacing w:line="300" w:lineRule="exact"/>
              <w:jc w:val="left"/>
              <w:rPr>
                <w:rFonts w:ascii="方正书宋_GBK" w:eastAsia="方正书宋_GBK"/>
              </w:rPr>
            </w:pPr>
            <w:r>
              <w:rPr>
                <w:rFonts w:hint="eastAsia" w:ascii="方正书宋_GBK" w:eastAsia="方正书宋_GBK" w:cs="方正书宋_GBK"/>
              </w:rPr>
              <w:t>医疗器械及药品包装材料抽检计划完成率</w:t>
            </w:r>
          </w:p>
        </w:tc>
        <w:tc>
          <w:tcPr>
            <w:tcW w:w="737" w:type="dxa"/>
            <w:vAlign w:val="center"/>
          </w:tcPr>
          <w:p w14:paraId="6F342E64">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737" w:type="dxa"/>
            <w:vAlign w:val="center"/>
          </w:tcPr>
          <w:p w14:paraId="7A4F86F0">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4FA3E186">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85%</w:t>
            </w:r>
          </w:p>
        </w:tc>
        <w:tc>
          <w:tcPr>
            <w:tcW w:w="737" w:type="dxa"/>
            <w:vAlign w:val="center"/>
          </w:tcPr>
          <w:p w14:paraId="54C69B9C">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85%</w:t>
            </w:r>
          </w:p>
        </w:tc>
      </w:tr>
      <w:tr w14:paraId="277A3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19D9F001">
            <w:pPr>
              <w:spacing w:line="300" w:lineRule="exact"/>
              <w:jc w:val="left"/>
              <w:rPr>
                <w:rFonts w:ascii="方正书宋_GBK" w:eastAsia="方正书宋_GBK"/>
                <w:b/>
                <w:bCs/>
              </w:rPr>
            </w:pPr>
          </w:p>
        </w:tc>
        <w:tc>
          <w:tcPr>
            <w:tcW w:w="1276" w:type="dxa"/>
            <w:vMerge w:val="continue"/>
            <w:vAlign w:val="center"/>
          </w:tcPr>
          <w:p w14:paraId="758FBE3E">
            <w:pPr>
              <w:spacing w:line="300" w:lineRule="exact"/>
              <w:jc w:val="left"/>
              <w:rPr>
                <w:rFonts w:ascii="方正书宋_GBK" w:eastAsia="方正书宋_GBK"/>
              </w:rPr>
            </w:pPr>
          </w:p>
        </w:tc>
        <w:tc>
          <w:tcPr>
            <w:tcW w:w="2976" w:type="dxa"/>
            <w:vMerge w:val="continue"/>
            <w:vAlign w:val="center"/>
          </w:tcPr>
          <w:p w14:paraId="7FB7BF90">
            <w:pPr>
              <w:spacing w:line="300" w:lineRule="exact"/>
              <w:jc w:val="left"/>
              <w:rPr>
                <w:rFonts w:ascii="方正书宋_GBK" w:eastAsia="方正书宋_GBK"/>
              </w:rPr>
            </w:pPr>
          </w:p>
        </w:tc>
        <w:tc>
          <w:tcPr>
            <w:tcW w:w="2976" w:type="dxa"/>
            <w:vMerge w:val="continue"/>
            <w:vAlign w:val="center"/>
          </w:tcPr>
          <w:p w14:paraId="32D7AA30">
            <w:pPr>
              <w:spacing w:line="300" w:lineRule="exact"/>
              <w:jc w:val="left"/>
              <w:rPr>
                <w:rFonts w:ascii="方正书宋_GBK" w:eastAsia="方正书宋_GBK"/>
              </w:rPr>
            </w:pPr>
          </w:p>
        </w:tc>
        <w:tc>
          <w:tcPr>
            <w:tcW w:w="1417" w:type="dxa"/>
            <w:vAlign w:val="center"/>
          </w:tcPr>
          <w:p w14:paraId="72273260">
            <w:pPr>
              <w:spacing w:line="300" w:lineRule="exact"/>
              <w:jc w:val="left"/>
              <w:rPr>
                <w:rFonts w:ascii="方正书宋_GBK" w:eastAsia="方正书宋_GBK"/>
              </w:rPr>
            </w:pPr>
            <w:r>
              <w:rPr>
                <w:rFonts w:hint="eastAsia" w:ascii="方正书宋_GBK" w:eastAsia="方正书宋_GBK" w:cs="方正书宋_GBK"/>
              </w:rPr>
              <w:t>中标单位资质准确率</w:t>
            </w:r>
          </w:p>
        </w:tc>
        <w:tc>
          <w:tcPr>
            <w:tcW w:w="737" w:type="dxa"/>
            <w:vAlign w:val="center"/>
          </w:tcPr>
          <w:p w14:paraId="02407BD1">
            <w:pPr>
              <w:spacing w:line="300" w:lineRule="exact"/>
              <w:jc w:val="center"/>
              <w:rPr>
                <w:rFonts w:ascii="方正书宋_GBK" w:eastAsia="方正书宋_GBK" w:cs="方正书宋_GBK"/>
              </w:rPr>
            </w:pPr>
            <w:r>
              <w:rPr>
                <w:rFonts w:ascii="方正书宋_GBK" w:eastAsia="方正书宋_GBK" w:cs="方正书宋_GBK"/>
              </w:rPr>
              <w:t>100%</w:t>
            </w:r>
          </w:p>
        </w:tc>
        <w:tc>
          <w:tcPr>
            <w:tcW w:w="737" w:type="dxa"/>
            <w:vAlign w:val="center"/>
          </w:tcPr>
          <w:p w14:paraId="0DA52CDA">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98%</w:t>
            </w:r>
          </w:p>
        </w:tc>
        <w:tc>
          <w:tcPr>
            <w:tcW w:w="737" w:type="dxa"/>
            <w:vAlign w:val="center"/>
          </w:tcPr>
          <w:p w14:paraId="26C231E2">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737" w:type="dxa"/>
            <w:vAlign w:val="center"/>
          </w:tcPr>
          <w:p w14:paraId="684EF2F4">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r>
      <w:tr w14:paraId="3A1F2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6F9F9781">
            <w:pPr>
              <w:spacing w:line="300" w:lineRule="exact"/>
              <w:jc w:val="left"/>
              <w:rPr>
                <w:rFonts w:ascii="方正书宋_GBK" w:eastAsia="方正书宋_GBK"/>
                <w:b/>
                <w:bCs/>
              </w:rPr>
            </w:pPr>
          </w:p>
        </w:tc>
        <w:tc>
          <w:tcPr>
            <w:tcW w:w="1276" w:type="dxa"/>
            <w:vMerge w:val="continue"/>
            <w:vAlign w:val="center"/>
          </w:tcPr>
          <w:p w14:paraId="7161A521">
            <w:pPr>
              <w:spacing w:line="300" w:lineRule="exact"/>
              <w:jc w:val="left"/>
              <w:rPr>
                <w:rFonts w:ascii="方正书宋_GBK" w:eastAsia="方正书宋_GBK"/>
              </w:rPr>
            </w:pPr>
          </w:p>
        </w:tc>
        <w:tc>
          <w:tcPr>
            <w:tcW w:w="2976" w:type="dxa"/>
            <w:vMerge w:val="continue"/>
            <w:vAlign w:val="center"/>
          </w:tcPr>
          <w:p w14:paraId="2BA6887A">
            <w:pPr>
              <w:spacing w:line="300" w:lineRule="exact"/>
              <w:jc w:val="left"/>
              <w:rPr>
                <w:rFonts w:ascii="方正书宋_GBK" w:eastAsia="方正书宋_GBK"/>
              </w:rPr>
            </w:pPr>
          </w:p>
        </w:tc>
        <w:tc>
          <w:tcPr>
            <w:tcW w:w="2976" w:type="dxa"/>
            <w:vMerge w:val="continue"/>
            <w:vAlign w:val="center"/>
          </w:tcPr>
          <w:p w14:paraId="1ED86FE4">
            <w:pPr>
              <w:spacing w:line="300" w:lineRule="exact"/>
              <w:jc w:val="left"/>
              <w:rPr>
                <w:rFonts w:ascii="方正书宋_GBK" w:eastAsia="方正书宋_GBK"/>
              </w:rPr>
            </w:pPr>
          </w:p>
        </w:tc>
        <w:tc>
          <w:tcPr>
            <w:tcW w:w="1417" w:type="dxa"/>
            <w:vAlign w:val="center"/>
          </w:tcPr>
          <w:p w14:paraId="4AC39908">
            <w:pPr>
              <w:spacing w:line="300" w:lineRule="exact"/>
              <w:jc w:val="left"/>
              <w:rPr>
                <w:rFonts w:ascii="方正书宋_GBK" w:eastAsia="方正书宋_GBK"/>
              </w:rPr>
            </w:pPr>
            <w:r>
              <w:rPr>
                <w:rFonts w:hint="eastAsia" w:ascii="方正书宋_GBK" w:eastAsia="方正书宋_GBK" w:cs="方正书宋_GBK"/>
              </w:rPr>
              <w:t>药品中标样品检验完成率</w:t>
            </w:r>
          </w:p>
        </w:tc>
        <w:tc>
          <w:tcPr>
            <w:tcW w:w="737" w:type="dxa"/>
            <w:vAlign w:val="center"/>
          </w:tcPr>
          <w:p w14:paraId="3203922C">
            <w:pPr>
              <w:spacing w:line="300" w:lineRule="exact"/>
              <w:jc w:val="center"/>
              <w:rPr>
                <w:rFonts w:ascii="方正书宋_GBK" w:eastAsia="方正书宋_GBK" w:cs="方正书宋_GBK"/>
              </w:rPr>
            </w:pPr>
            <w:r>
              <w:rPr>
                <w:rFonts w:ascii="方正书宋_GBK" w:eastAsia="方正书宋_GBK" w:cs="方正书宋_GBK"/>
              </w:rPr>
              <w:t>100%</w:t>
            </w:r>
          </w:p>
        </w:tc>
        <w:tc>
          <w:tcPr>
            <w:tcW w:w="737" w:type="dxa"/>
            <w:vAlign w:val="center"/>
          </w:tcPr>
          <w:p w14:paraId="64F5C8E9">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98%</w:t>
            </w:r>
          </w:p>
        </w:tc>
        <w:tc>
          <w:tcPr>
            <w:tcW w:w="737" w:type="dxa"/>
            <w:vAlign w:val="center"/>
          </w:tcPr>
          <w:p w14:paraId="35377204">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737" w:type="dxa"/>
            <w:vAlign w:val="center"/>
          </w:tcPr>
          <w:p w14:paraId="6E1CA23F">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r>
      <w:tr w14:paraId="0F6A7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19490A11">
            <w:pPr>
              <w:spacing w:line="300" w:lineRule="exact"/>
              <w:jc w:val="center"/>
              <w:rPr>
                <w:rFonts w:ascii="方正书宋_GBK" w:eastAsia="方正书宋_GBK"/>
                <w:b/>
                <w:bCs/>
              </w:rPr>
            </w:pPr>
            <w:r>
              <w:rPr>
                <w:rFonts w:hint="eastAsia" w:ascii="方正书宋_GBK" w:eastAsia="方正书宋_GBK" w:cs="方正书宋_GBK"/>
                <w:b/>
                <w:bCs/>
              </w:rPr>
              <w:t>药品标准实施与认证</w:t>
            </w:r>
          </w:p>
        </w:tc>
        <w:tc>
          <w:tcPr>
            <w:tcW w:w="1276" w:type="dxa"/>
            <w:vMerge w:val="restart"/>
            <w:vAlign w:val="center"/>
          </w:tcPr>
          <w:p w14:paraId="125B0809">
            <w:pPr>
              <w:spacing w:line="300" w:lineRule="exact"/>
              <w:jc w:val="left"/>
              <w:rPr>
                <w:rFonts w:ascii="方正书宋_GBK" w:eastAsia="方正书宋_GBK"/>
              </w:rPr>
            </w:pPr>
          </w:p>
        </w:tc>
        <w:tc>
          <w:tcPr>
            <w:tcW w:w="2976" w:type="dxa"/>
            <w:vMerge w:val="restart"/>
            <w:vAlign w:val="center"/>
          </w:tcPr>
          <w:p w14:paraId="0C4CBCC1">
            <w:pPr>
              <w:spacing w:line="300" w:lineRule="exact"/>
              <w:jc w:val="left"/>
              <w:rPr>
                <w:rFonts w:ascii="方正书宋_GBK" w:eastAsia="方正书宋_GBK"/>
              </w:rPr>
            </w:pPr>
            <w:r>
              <w:rPr>
                <w:rFonts w:hint="eastAsia" w:ascii="方正书宋_GBK" w:eastAsia="方正书宋_GBK" w:cs="方正书宋_GBK"/>
              </w:rPr>
              <w:t>指导和监督药品生产企业严格按照药品标准进行生产，对</w:t>
            </w:r>
            <w:r>
              <w:rPr>
                <w:rFonts w:ascii="方正书宋_GBK" w:eastAsia="方正书宋_GBK" w:cs="方正书宋_GBK"/>
              </w:rPr>
              <w:t>GSP</w:t>
            </w:r>
            <w:r>
              <w:rPr>
                <w:rFonts w:hint="eastAsia" w:ascii="方正书宋_GBK" w:eastAsia="方正书宋_GBK" w:cs="方正书宋_GBK"/>
              </w:rPr>
              <w:t>、</w:t>
            </w:r>
            <w:r>
              <w:rPr>
                <w:rFonts w:ascii="方正书宋_GBK" w:eastAsia="方正书宋_GBK" w:cs="方正书宋_GBK"/>
              </w:rPr>
              <w:t>GMP</w:t>
            </w:r>
            <w:r>
              <w:rPr>
                <w:rFonts w:hint="eastAsia" w:ascii="方正书宋_GBK" w:eastAsia="方正书宋_GBK" w:cs="方正书宋_GBK"/>
              </w:rPr>
              <w:t>认证检查员培训。</w:t>
            </w:r>
          </w:p>
        </w:tc>
        <w:tc>
          <w:tcPr>
            <w:tcW w:w="2976" w:type="dxa"/>
            <w:vMerge w:val="restart"/>
            <w:vAlign w:val="center"/>
          </w:tcPr>
          <w:p w14:paraId="0AA58048">
            <w:pPr>
              <w:spacing w:line="300" w:lineRule="exact"/>
              <w:jc w:val="left"/>
              <w:rPr>
                <w:rFonts w:ascii="方正书宋_GBK" w:eastAsia="方正书宋_GBK"/>
              </w:rPr>
            </w:pPr>
            <w:r>
              <w:rPr>
                <w:rFonts w:hint="eastAsia" w:ascii="方正书宋_GBK" w:eastAsia="方正书宋_GBK" w:cs="方正书宋_GBK"/>
              </w:rPr>
              <w:t>提高药品质量控制水平、从源头上保证药品质量。</w:t>
            </w:r>
          </w:p>
        </w:tc>
        <w:tc>
          <w:tcPr>
            <w:tcW w:w="1417" w:type="dxa"/>
            <w:vAlign w:val="center"/>
          </w:tcPr>
          <w:p w14:paraId="3CC9ADDA">
            <w:pPr>
              <w:spacing w:line="300" w:lineRule="exact"/>
              <w:jc w:val="left"/>
              <w:rPr>
                <w:rFonts w:ascii="方正书宋_GBK" w:eastAsia="方正书宋_GBK"/>
              </w:rPr>
            </w:pPr>
            <w:r>
              <w:rPr>
                <w:rFonts w:hint="eastAsia" w:ascii="方正书宋_GBK" w:eastAsia="方正书宋_GBK" w:cs="方正书宋_GBK"/>
              </w:rPr>
              <w:t>药品生产企业检查覆盖面</w:t>
            </w:r>
          </w:p>
        </w:tc>
        <w:tc>
          <w:tcPr>
            <w:tcW w:w="737" w:type="dxa"/>
            <w:vAlign w:val="center"/>
          </w:tcPr>
          <w:p w14:paraId="11CE83E9">
            <w:pPr>
              <w:spacing w:line="300" w:lineRule="exact"/>
              <w:jc w:val="center"/>
              <w:rPr>
                <w:rFonts w:ascii="方正书宋_GBK" w:eastAsia="方正书宋_GBK" w:cs="方正书宋_GBK"/>
              </w:rPr>
            </w:pPr>
            <w:r>
              <w:rPr>
                <w:rFonts w:ascii="方正书宋_GBK" w:eastAsia="方正书宋_GBK" w:cs="方正书宋_GBK"/>
              </w:rPr>
              <w:t>100%</w:t>
            </w:r>
          </w:p>
        </w:tc>
        <w:tc>
          <w:tcPr>
            <w:tcW w:w="737" w:type="dxa"/>
            <w:vAlign w:val="center"/>
          </w:tcPr>
          <w:p w14:paraId="44723AB0">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737" w:type="dxa"/>
            <w:vAlign w:val="center"/>
          </w:tcPr>
          <w:p w14:paraId="05D68AA9">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440E8B79">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r>
      <w:tr w14:paraId="473F4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79306A92">
            <w:pPr>
              <w:spacing w:line="300" w:lineRule="exact"/>
              <w:jc w:val="left"/>
              <w:rPr>
                <w:rFonts w:ascii="方正书宋_GBK" w:eastAsia="方正书宋_GBK"/>
                <w:b/>
                <w:bCs/>
              </w:rPr>
            </w:pPr>
          </w:p>
        </w:tc>
        <w:tc>
          <w:tcPr>
            <w:tcW w:w="1276" w:type="dxa"/>
            <w:vMerge w:val="continue"/>
            <w:vAlign w:val="center"/>
          </w:tcPr>
          <w:p w14:paraId="5CBC87C1">
            <w:pPr>
              <w:spacing w:line="300" w:lineRule="exact"/>
              <w:jc w:val="left"/>
              <w:rPr>
                <w:rFonts w:ascii="方正书宋_GBK" w:eastAsia="方正书宋_GBK"/>
              </w:rPr>
            </w:pPr>
          </w:p>
        </w:tc>
        <w:tc>
          <w:tcPr>
            <w:tcW w:w="2976" w:type="dxa"/>
            <w:vMerge w:val="continue"/>
            <w:vAlign w:val="center"/>
          </w:tcPr>
          <w:p w14:paraId="4CAF7B02">
            <w:pPr>
              <w:spacing w:line="300" w:lineRule="exact"/>
              <w:jc w:val="left"/>
              <w:rPr>
                <w:rFonts w:ascii="方正书宋_GBK" w:eastAsia="方正书宋_GBK"/>
              </w:rPr>
            </w:pPr>
          </w:p>
        </w:tc>
        <w:tc>
          <w:tcPr>
            <w:tcW w:w="2976" w:type="dxa"/>
            <w:vMerge w:val="continue"/>
            <w:vAlign w:val="center"/>
          </w:tcPr>
          <w:p w14:paraId="3957050B">
            <w:pPr>
              <w:spacing w:line="300" w:lineRule="exact"/>
              <w:jc w:val="left"/>
              <w:rPr>
                <w:rFonts w:ascii="方正书宋_GBK" w:eastAsia="方正书宋_GBK"/>
              </w:rPr>
            </w:pPr>
          </w:p>
        </w:tc>
        <w:tc>
          <w:tcPr>
            <w:tcW w:w="1417" w:type="dxa"/>
            <w:vAlign w:val="center"/>
          </w:tcPr>
          <w:p w14:paraId="52BD1724">
            <w:pPr>
              <w:spacing w:line="300" w:lineRule="exact"/>
              <w:jc w:val="left"/>
              <w:rPr>
                <w:rFonts w:ascii="方正书宋_GBK" w:eastAsia="方正书宋_GBK"/>
              </w:rPr>
            </w:pPr>
            <w:r>
              <w:rPr>
                <w:rFonts w:hint="eastAsia" w:ascii="方正书宋_GBK" w:eastAsia="方正书宋_GBK" w:cs="方正书宋_GBK"/>
              </w:rPr>
              <w:t>药品经营企业日常跟踪检查率</w:t>
            </w:r>
          </w:p>
        </w:tc>
        <w:tc>
          <w:tcPr>
            <w:tcW w:w="737" w:type="dxa"/>
            <w:vAlign w:val="center"/>
          </w:tcPr>
          <w:p w14:paraId="28158F86">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70%</w:t>
            </w:r>
          </w:p>
        </w:tc>
        <w:tc>
          <w:tcPr>
            <w:tcW w:w="737" w:type="dxa"/>
            <w:vAlign w:val="center"/>
          </w:tcPr>
          <w:p w14:paraId="334D7BAC">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65%</w:t>
            </w:r>
          </w:p>
        </w:tc>
        <w:tc>
          <w:tcPr>
            <w:tcW w:w="737" w:type="dxa"/>
            <w:vAlign w:val="center"/>
          </w:tcPr>
          <w:p w14:paraId="371DF3AE">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60%</w:t>
            </w:r>
          </w:p>
        </w:tc>
        <w:tc>
          <w:tcPr>
            <w:tcW w:w="737" w:type="dxa"/>
            <w:vAlign w:val="center"/>
          </w:tcPr>
          <w:p w14:paraId="355CCCCE">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60%</w:t>
            </w:r>
          </w:p>
        </w:tc>
      </w:tr>
      <w:tr w14:paraId="43EF6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48C37800">
            <w:pPr>
              <w:spacing w:line="300" w:lineRule="exact"/>
              <w:jc w:val="left"/>
              <w:rPr>
                <w:rFonts w:ascii="方正书宋_GBK" w:eastAsia="方正书宋_GBK"/>
                <w:b/>
                <w:bCs/>
              </w:rPr>
            </w:pPr>
          </w:p>
        </w:tc>
        <w:tc>
          <w:tcPr>
            <w:tcW w:w="1276" w:type="dxa"/>
            <w:vMerge w:val="continue"/>
            <w:vAlign w:val="center"/>
          </w:tcPr>
          <w:p w14:paraId="40D9931F">
            <w:pPr>
              <w:spacing w:line="300" w:lineRule="exact"/>
              <w:jc w:val="left"/>
              <w:rPr>
                <w:rFonts w:ascii="方正书宋_GBK" w:eastAsia="方正书宋_GBK"/>
              </w:rPr>
            </w:pPr>
          </w:p>
        </w:tc>
        <w:tc>
          <w:tcPr>
            <w:tcW w:w="2976" w:type="dxa"/>
            <w:vMerge w:val="continue"/>
            <w:vAlign w:val="center"/>
          </w:tcPr>
          <w:p w14:paraId="58012986">
            <w:pPr>
              <w:spacing w:line="300" w:lineRule="exact"/>
              <w:jc w:val="left"/>
              <w:rPr>
                <w:rFonts w:ascii="方正书宋_GBK" w:eastAsia="方正书宋_GBK"/>
              </w:rPr>
            </w:pPr>
          </w:p>
        </w:tc>
        <w:tc>
          <w:tcPr>
            <w:tcW w:w="2976" w:type="dxa"/>
            <w:vMerge w:val="continue"/>
            <w:vAlign w:val="center"/>
          </w:tcPr>
          <w:p w14:paraId="3577613B">
            <w:pPr>
              <w:spacing w:line="300" w:lineRule="exact"/>
              <w:jc w:val="left"/>
              <w:rPr>
                <w:rFonts w:ascii="方正书宋_GBK" w:eastAsia="方正书宋_GBK"/>
              </w:rPr>
            </w:pPr>
          </w:p>
        </w:tc>
        <w:tc>
          <w:tcPr>
            <w:tcW w:w="1417" w:type="dxa"/>
            <w:vAlign w:val="center"/>
          </w:tcPr>
          <w:p w14:paraId="657ACEA9">
            <w:pPr>
              <w:spacing w:line="300" w:lineRule="exact"/>
              <w:jc w:val="left"/>
              <w:rPr>
                <w:rFonts w:ascii="方正书宋_GBK" w:eastAsia="方正书宋_GBK"/>
              </w:rPr>
            </w:pPr>
            <w:r>
              <w:rPr>
                <w:rFonts w:hint="eastAsia" w:ascii="方正书宋_GBK" w:eastAsia="方正书宋_GBK" w:cs="方正书宋_GBK"/>
              </w:rPr>
              <w:t>药品经营企业日常跟踪检查率</w:t>
            </w:r>
          </w:p>
        </w:tc>
        <w:tc>
          <w:tcPr>
            <w:tcW w:w="737" w:type="dxa"/>
            <w:vAlign w:val="center"/>
          </w:tcPr>
          <w:p w14:paraId="148228BB">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70%</w:t>
            </w:r>
          </w:p>
        </w:tc>
        <w:tc>
          <w:tcPr>
            <w:tcW w:w="737" w:type="dxa"/>
            <w:vAlign w:val="center"/>
          </w:tcPr>
          <w:p w14:paraId="221A282F">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65%</w:t>
            </w:r>
          </w:p>
        </w:tc>
        <w:tc>
          <w:tcPr>
            <w:tcW w:w="737" w:type="dxa"/>
            <w:vAlign w:val="center"/>
          </w:tcPr>
          <w:p w14:paraId="73218156">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60%</w:t>
            </w:r>
          </w:p>
        </w:tc>
        <w:tc>
          <w:tcPr>
            <w:tcW w:w="737" w:type="dxa"/>
            <w:vAlign w:val="center"/>
          </w:tcPr>
          <w:p w14:paraId="605BB59C">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60%</w:t>
            </w:r>
          </w:p>
        </w:tc>
      </w:tr>
      <w:tr w14:paraId="3037C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6BF2F5D3">
            <w:pPr>
              <w:spacing w:line="300" w:lineRule="exact"/>
              <w:jc w:val="left"/>
              <w:rPr>
                <w:rFonts w:ascii="方正书宋_GBK" w:eastAsia="方正书宋_GBK"/>
                <w:b/>
                <w:bCs/>
              </w:rPr>
            </w:pPr>
          </w:p>
        </w:tc>
        <w:tc>
          <w:tcPr>
            <w:tcW w:w="1276" w:type="dxa"/>
            <w:vMerge w:val="continue"/>
            <w:vAlign w:val="center"/>
          </w:tcPr>
          <w:p w14:paraId="2B66E005">
            <w:pPr>
              <w:spacing w:line="300" w:lineRule="exact"/>
              <w:jc w:val="left"/>
              <w:rPr>
                <w:rFonts w:ascii="方正书宋_GBK" w:eastAsia="方正书宋_GBK"/>
              </w:rPr>
            </w:pPr>
          </w:p>
        </w:tc>
        <w:tc>
          <w:tcPr>
            <w:tcW w:w="2976" w:type="dxa"/>
            <w:vMerge w:val="continue"/>
            <w:vAlign w:val="center"/>
          </w:tcPr>
          <w:p w14:paraId="7E0849E7">
            <w:pPr>
              <w:spacing w:line="300" w:lineRule="exact"/>
              <w:jc w:val="left"/>
              <w:rPr>
                <w:rFonts w:ascii="方正书宋_GBK" w:eastAsia="方正书宋_GBK"/>
              </w:rPr>
            </w:pPr>
          </w:p>
        </w:tc>
        <w:tc>
          <w:tcPr>
            <w:tcW w:w="2976" w:type="dxa"/>
            <w:vMerge w:val="continue"/>
            <w:vAlign w:val="center"/>
          </w:tcPr>
          <w:p w14:paraId="1F51BE43">
            <w:pPr>
              <w:spacing w:line="300" w:lineRule="exact"/>
              <w:jc w:val="left"/>
              <w:rPr>
                <w:rFonts w:ascii="方正书宋_GBK" w:eastAsia="方正书宋_GBK"/>
              </w:rPr>
            </w:pPr>
          </w:p>
        </w:tc>
        <w:tc>
          <w:tcPr>
            <w:tcW w:w="1417" w:type="dxa"/>
            <w:vAlign w:val="center"/>
          </w:tcPr>
          <w:p w14:paraId="32239EB4">
            <w:pPr>
              <w:spacing w:line="300" w:lineRule="exact"/>
              <w:jc w:val="left"/>
              <w:rPr>
                <w:rFonts w:ascii="方正书宋_GBK" w:eastAsia="方正书宋_GBK"/>
              </w:rPr>
            </w:pPr>
            <w:r>
              <w:rPr>
                <w:rFonts w:hint="eastAsia" w:ascii="方正书宋_GBK" w:eastAsia="方正书宋_GBK" w:cs="方正书宋_GBK"/>
              </w:rPr>
              <w:t>对药品生产企业监督检查率</w:t>
            </w:r>
          </w:p>
        </w:tc>
        <w:tc>
          <w:tcPr>
            <w:tcW w:w="737" w:type="dxa"/>
            <w:vAlign w:val="center"/>
          </w:tcPr>
          <w:p w14:paraId="4134AAA3">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6D1DEFE2">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80%</w:t>
            </w:r>
          </w:p>
        </w:tc>
        <w:tc>
          <w:tcPr>
            <w:tcW w:w="737" w:type="dxa"/>
            <w:vAlign w:val="center"/>
          </w:tcPr>
          <w:p w14:paraId="51AF1AC1">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70%</w:t>
            </w:r>
          </w:p>
        </w:tc>
        <w:tc>
          <w:tcPr>
            <w:tcW w:w="737" w:type="dxa"/>
            <w:vAlign w:val="center"/>
          </w:tcPr>
          <w:p w14:paraId="0E725031">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70%</w:t>
            </w:r>
          </w:p>
        </w:tc>
      </w:tr>
      <w:tr w14:paraId="73F57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2FFCD49E">
            <w:pPr>
              <w:spacing w:line="300" w:lineRule="exact"/>
              <w:jc w:val="left"/>
              <w:rPr>
                <w:rFonts w:ascii="方正书宋_GBK" w:eastAsia="方正书宋_GBK"/>
                <w:b/>
                <w:bCs/>
              </w:rPr>
            </w:pPr>
          </w:p>
        </w:tc>
        <w:tc>
          <w:tcPr>
            <w:tcW w:w="1276" w:type="dxa"/>
            <w:vMerge w:val="continue"/>
            <w:vAlign w:val="center"/>
          </w:tcPr>
          <w:p w14:paraId="1B1F91C7">
            <w:pPr>
              <w:spacing w:line="300" w:lineRule="exact"/>
              <w:jc w:val="left"/>
              <w:rPr>
                <w:rFonts w:ascii="方正书宋_GBK" w:eastAsia="方正书宋_GBK"/>
              </w:rPr>
            </w:pPr>
          </w:p>
        </w:tc>
        <w:tc>
          <w:tcPr>
            <w:tcW w:w="2976" w:type="dxa"/>
            <w:vMerge w:val="continue"/>
            <w:vAlign w:val="center"/>
          </w:tcPr>
          <w:p w14:paraId="17DAC0DF">
            <w:pPr>
              <w:spacing w:line="300" w:lineRule="exact"/>
              <w:jc w:val="left"/>
              <w:rPr>
                <w:rFonts w:ascii="方正书宋_GBK" w:eastAsia="方正书宋_GBK"/>
              </w:rPr>
            </w:pPr>
          </w:p>
        </w:tc>
        <w:tc>
          <w:tcPr>
            <w:tcW w:w="2976" w:type="dxa"/>
            <w:vMerge w:val="continue"/>
            <w:vAlign w:val="center"/>
          </w:tcPr>
          <w:p w14:paraId="318D26D0">
            <w:pPr>
              <w:spacing w:line="300" w:lineRule="exact"/>
              <w:jc w:val="left"/>
              <w:rPr>
                <w:rFonts w:ascii="方正书宋_GBK" w:eastAsia="方正书宋_GBK"/>
              </w:rPr>
            </w:pPr>
          </w:p>
        </w:tc>
        <w:tc>
          <w:tcPr>
            <w:tcW w:w="1417" w:type="dxa"/>
            <w:vAlign w:val="center"/>
          </w:tcPr>
          <w:p w14:paraId="5F80F3B1">
            <w:pPr>
              <w:spacing w:line="300" w:lineRule="exact"/>
              <w:jc w:val="left"/>
              <w:rPr>
                <w:rFonts w:ascii="方正书宋_GBK" w:eastAsia="方正书宋_GBK"/>
              </w:rPr>
            </w:pPr>
            <w:r>
              <w:rPr>
                <w:rFonts w:hint="eastAsia" w:ascii="方正书宋_GBK" w:eastAsia="方正书宋_GBK" w:cs="方正书宋_GBK"/>
              </w:rPr>
              <w:t>对</w:t>
            </w:r>
            <w:r>
              <w:rPr>
                <w:rFonts w:ascii="方正书宋_GBK" w:eastAsia="方正书宋_GBK" w:cs="方正书宋_GBK"/>
              </w:rPr>
              <w:t>80%</w:t>
            </w:r>
            <w:r>
              <w:rPr>
                <w:rFonts w:hint="eastAsia" w:ascii="方正书宋_GBK" w:eastAsia="方正书宋_GBK" w:cs="方正书宋_GBK"/>
              </w:rPr>
              <w:t>骨干认证检查员培训率</w:t>
            </w:r>
          </w:p>
        </w:tc>
        <w:tc>
          <w:tcPr>
            <w:tcW w:w="737" w:type="dxa"/>
            <w:vAlign w:val="center"/>
          </w:tcPr>
          <w:p w14:paraId="7A6A98F4">
            <w:pPr>
              <w:spacing w:line="300" w:lineRule="exact"/>
              <w:jc w:val="center"/>
              <w:rPr>
                <w:rFonts w:ascii="方正书宋_GBK" w:eastAsia="方正书宋_GBK" w:cs="方正书宋_GBK"/>
              </w:rPr>
            </w:pPr>
            <w:r>
              <w:rPr>
                <w:rFonts w:ascii="方正书宋_GBK" w:eastAsia="方正书宋_GBK" w:cs="方正书宋_GBK"/>
              </w:rPr>
              <w:t>100%</w:t>
            </w:r>
          </w:p>
        </w:tc>
        <w:tc>
          <w:tcPr>
            <w:tcW w:w="737" w:type="dxa"/>
            <w:vAlign w:val="center"/>
          </w:tcPr>
          <w:p w14:paraId="30A3994F">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737" w:type="dxa"/>
            <w:vAlign w:val="center"/>
          </w:tcPr>
          <w:p w14:paraId="5D5533B5">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25961E7B">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r>
      <w:tr w14:paraId="73B44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2210913F">
            <w:pPr>
              <w:spacing w:line="300" w:lineRule="exact"/>
              <w:jc w:val="left"/>
              <w:rPr>
                <w:rFonts w:ascii="方正书宋_GBK" w:eastAsia="方正书宋_GBK"/>
                <w:b/>
                <w:bCs/>
              </w:rPr>
            </w:pPr>
            <w:r>
              <w:rPr>
                <w:rFonts w:hint="eastAsia" w:ascii="方正书宋_GBK" w:eastAsia="方正书宋_GBK" w:cs="方正书宋_GBK"/>
                <w:b/>
                <w:bCs/>
              </w:rPr>
              <w:t>　　化妆品监管</w:t>
            </w:r>
          </w:p>
        </w:tc>
        <w:tc>
          <w:tcPr>
            <w:tcW w:w="1276" w:type="dxa"/>
            <w:vMerge w:val="restart"/>
            <w:vAlign w:val="center"/>
          </w:tcPr>
          <w:p w14:paraId="7D91EEEB">
            <w:pPr>
              <w:spacing w:line="300" w:lineRule="exact"/>
              <w:jc w:val="left"/>
              <w:rPr>
                <w:rFonts w:ascii="方正书宋_GBK" w:eastAsia="方正书宋_GBK"/>
              </w:rPr>
            </w:pPr>
          </w:p>
        </w:tc>
        <w:tc>
          <w:tcPr>
            <w:tcW w:w="2976" w:type="dxa"/>
            <w:vMerge w:val="restart"/>
            <w:vAlign w:val="center"/>
          </w:tcPr>
          <w:p w14:paraId="30465A16">
            <w:pPr>
              <w:spacing w:line="300" w:lineRule="exact"/>
              <w:jc w:val="left"/>
              <w:rPr>
                <w:rFonts w:ascii="方正书宋_GBK" w:eastAsia="方正书宋_GBK"/>
              </w:rPr>
            </w:pPr>
            <w:r>
              <w:rPr>
                <w:rFonts w:hint="eastAsia" w:ascii="方正书宋_GBK" w:eastAsia="方正书宋_GBK" w:cs="方正书宋_GBK"/>
              </w:rPr>
              <w:t>对化妆品生产企业、经营企业的经常性监督检查、化妆品许可工作、对乡镇监管工作的检查指导、培训等工作。</w:t>
            </w:r>
          </w:p>
        </w:tc>
        <w:tc>
          <w:tcPr>
            <w:tcW w:w="2976" w:type="dxa"/>
            <w:vMerge w:val="restart"/>
            <w:vAlign w:val="center"/>
          </w:tcPr>
          <w:p w14:paraId="03CA6394">
            <w:pPr>
              <w:spacing w:line="300" w:lineRule="exact"/>
              <w:jc w:val="left"/>
              <w:rPr>
                <w:rFonts w:ascii="方正书宋_GBK" w:eastAsia="方正书宋_GBK"/>
              </w:rPr>
            </w:pPr>
            <w:r>
              <w:rPr>
                <w:rFonts w:hint="eastAsia" w:ascii="方正书宋_GBK" w:eastAsia="方正书宋_GBK" w:cs="方正书宋_GBK"/>
              </w:rPr>
              <w:t>掌握化妆品安全状况、打击违法产品、保障化妆品质量安全</w:t>
            </w:r>
          </w:p>
        </w:tc>
        <w:tc>
          <w:tcPr>
            <w:tcW w:w="1417" w:type="dxa"/>
            <w:vAlign w:val="center"/>
          </w:tcPr>
          <w:p w14:paraId="58B40997">
            <w:pPr>
              <w:spacing w:line="300" w:lineRule="exact"/>
              <w:jc w:val="left"/>
              <w:rPr>
                <w:rFonts w:ascii="方正书宋_GBK" w:eastAsia="方正书宋_GBK"/>
              </w:rPr>
            </w:pPr>
            <w:r>
              <w:rPr>
                <w:rFonts w:hint="eastAsia" w:ascii="方正书宋_GBK" w:eastAsia="方正书宋_GBK" w:cs="方正书宋_GBK"/>
              </w:rPr>
              <w:t>不合格产品查处率</w:t>
            </w:r>
          </w:p>
        </w:tc>
        <w:tc>
          <w:tcPr>
            <w:tcW w:w="737" w:type="dxa"/>
            <w:vAlign w:val="center"/>
          </w:tcPr>
          <w:p w14:paraId="3B9EFA42">
            <w:pPr>
              <w:spacing w:line="300" w:lineRule="exact"/>
              <w:jc w:val="center"/>
              <w:rPr>
                <w:rFonts w:ascii="方正书宋_GBK" w:eastAsia="方正书宋_GBK" w:cs="方正书宋_GBK"/>
              </w:rPr>
            </w:pPr>
            <w:r>
              <w:rPr>
                <w:rFonts w:ascii="方正书宋_GBK" w:eastAsia="方正书宋_GBK" w:cs="方正书宋_GBK"/>
              </w:rPr>
              <w:t>100%</w:t>
            </w:r>
          </w:p>
        </w:tc>
        <w:tc>
          <w:tcPr>
            <w:tcW w:w="737" w:type="dxa"/>
            <w:vAlign w:val="center"/>
          </w:tcPr>
          <w:p w14:paraId="7E3E7911">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737" w:type="dxa"/>
            <w:vAlign w:val="center"/>
          </w:tcPr>
          <w:p w14:paraId="624E87E1">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5F63B583">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r>
      <w:tr w14:paraId="12F12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51844B87">
            <w:pPr>
              <w:spacing w:line="300" w:lineRule="exact"/>
              <w:jc w:val="left"/>
              <w:rPr>
                <w:rFonts w:ascii="方正书宋_GBK" w:eastAsia="方正书宋_GBK"/>
                <w:b/>
                <w:bCs/>
              </w:rPr>
            </w:pPr>
          </w:p>
        </w:tc>
        <w:tc>
          <w:tcPr>
            <w:tcW w:w="1276" w:type="dxa"/>
            <w:vMerge w:val="continue"/>
            <w:vAlign w:val="center"/>
          </w:tcPr>
          <w:p w14:paraId="2782F94B">
            <w:pPr>
              <w:spacing w:line="300" w:lineRule="exact"/>
              <w:jc w:val="left"/>
              <w:rPr>
                <w:rFonts w:ascii="方正书宋_GBK" w:eastAsia="方正书宋_GBK"/>
              </w:rPr>
            </w:pPr>
          </w:p>
        </w:tc>
        <w:tc>
          <w:tcPr>
            <w:tcW w:w="2976" w:type="dxa"/>
            <w:vMerge w:val="continue"/>
            <w:vAlign w:val="center"/>
          </w:tcPr>
          <w:p w14:paraId="70AF94DB">
            <w:pPr>
              <w:spacing w:line="300" w:lineRule="exact"/>
              <w:jc w:val="left"/>
              <w:rPr>
                <w:rFonts w:ascii="方正书宋_GBK" w:eastAsia="方正书宋_GBK"/>
              </w:rPr>
            </w:pPr>
          </w:p>
        </w:tc>
        <w:tc>
          <w:tcPr>
            <w:tcW w:w="2976" w:type="dxa"/>
            <w:vMerge w:val="continue"/>
            <w:vAlign w:val="center"/>
          </w:tcPr>
          <w:p w14:paraId="7DF5A8BC">
            <w:pPr>
              <w:spacing w:line="300" w:lineRule="exact"/>
              <w:jc w:val="left"/>
              <w:rPr>
                <w:rFonts w:ascii="方正书宋_GBK" w:eastAsia="方正书宋_GBK"/>
              </w:rPr>
            </w:pPr>
          </w:p>
        </w:tc>
        <w:tc>
          <w:tcPr>
            <w:tcW w:w="1417" w:type="dxa"/>
            <w:vAlign w:val="center"/>
          </w:tcPr>
          <w:p w14:paraId="64B09919">
            <w:pPr>
              <w:spacing w:line="300" w:lineRule="exact"/>
              <w:jc w:val="left"/>
              <w:rPr>
                <w:rFonts w:ascii="方正书宋_GBK" w:eastAsia="方正书宋_GBK"/>
              </w:rPr>
            </w:pPr>
            <w:r>
              <w:rPr>
                <w:rFonts w:hint="eastAsia" w:ascii="方正书宋_GBK" w:eastAsia="方正书宋_GBK" w:cs="方正书宋_GBK"/>
              </w:rPr>
              <w:t>有证企业产品备案率</w:t>
            </w:r>
          </w:p>
        </w:tc>
        <w:tc>
          <w:tcPr>
            <w:tcW w:w="737" w:type="dxa"/>
            <w:vAlign w:val="center"/>
          </w:tcPr>
          <w:p w14:paraId="3E61E494">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98%</w:t>
            </w:r>
          </w:p>
        </w:tc>
        <w:tc>
          <w:tcPr>
            <w:tcW w:w="737" w:type="dxa"/>
            <w:vAlign w:val="center"/>
          </w:tcPr>
          <w:p w14:paraId="4D4F6662">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737" w:type="dxa"/>
            <w:vAlign w:val="center"/>
          </w:tcPr>
          <w:p w14:paraId="5C24A48E">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85%</w:t>
            </w:r>
          </w:p>
        </w:tc>
        <w:tc>
          <w:tcPr>
            <w:tcW w:w="737" w:type="dxa"/>
            <w:vAlign w:val="center"/>
          </w:tcPr>
          <w:p w14:paraId="4A464727">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85%</w:t>
            </w:r>
          </w:p>
        </w:tc>
      </w:tr>
      <w:tr w14:paraId="7A6FE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1C6F321D">
            <w:pPr>
              <w:spacing w:line="300" w:lineRule="exact"/>
              <w:jc w:val="left"/>
              <w:rPr>
                <w:rFonts w:ascii="方正书宋_GBK" w:eastAsia="方正书宋_GBK"/>
                <w:b/>
                <w:bCs/>
              </w:rPr>
            </w:pPr>
          </w:p>
        </w:tc>
        <w:tc>
          <w:tcPr>
            <w:tcW w:w="1276" w:type="dxa"/>
            <w:vMerge w:val="continue"/>
            <w:vAlign w:val="center"/>
          </w:tcPr>
          <w:p w14:paraId="0441CA6A">
            <w:pPr>
              <w:spacing w:line="300" w:lineRule="exact"/>
              <w:jc w:val="left"/>
              <w:rPr>
                <w:rFonts w:ascii="方正书宋_GBK" w:eastAsia="方正书宋_GBK"/>
              </w:rPr>
            </w:pPr>
          </w:p>
        </w:tc>
        <w:tc>
          <w:tcPr>
            <w:tcW w:w="2976" w:type="dxa"/>
            <w:vMerge w:val="continue"/>
            <w:vAlign w:val="center"/>
          </w:tcPr>
          <w:p w14:paraId="392C8D6F">
            <w:pPr>
              <w:spacing w:line="300" w:lineRule="exact"/>
              <w:jc w:val="left"/>
              <w:rPr>
                <w:rFonts w:ascii="方正书宋_GBK" w:eastAsia="方正书宋_GBK"/>
              </w:rPr>
            </w:pPr>
          </w:p>
        </w:tc>
        <w:tc>
          <w:tcPr>
            <w:tcW w:w="2976" w:type="dxa"/>
            <w:vMerge w:val="continue"/>
            <w:vAlign w:val="center"/>
          </w:tcPr>
          <w:p w14:paraId="14596CAE">
            <w:pPr>
              <w:spacing w:line="300" w:lineRule="exact"/>
              <w:jc w:val="left"/>
              <w:rPr>
                <w:rFonts w:ascii="方正书宋_GBK" w:eastAsia="方正书宋_GBK"/>
              </w:rPr>
            </w:pPr>
          </w:p>
        </w:tc>
        <w:tc>
          <w:tcPr>
            <w:tcW w:w="1417" w:type="dxa"/>
            <w:vAlign w:val="center"/>
          </w:tcPr>
          <w:p w14:paraId="32EA64DC">
            <w:pPr>
              <w:spacing w:line="300" w:lineRule="exact"/>
              <w:jc w:val="left"/>
              <w:rPr>
                <w:rFonts w:ascii="方正书宋_GBK" w:eastAsia="方正书宋_GBK"/>
              </w:rPr>
            </w:pPr>
            <w:r>
              <w:rPr>
                <w:rFonts w:hint="eastAsia" w:ascii="方正书宋_GBK" w:eastAsia="方正书宋_GBK" w:cs="方正书宋_GBK"/>
              </w:rPr>
              <w:t>全县生产、经营企业检查覆盖率</w:t>
            </w:r>
          </w:p>
        </w:tc>
        <w:tc>
          <w:tcPr>
            <w:tcW w:w="737" w:type="dxa"/>
            <w:vAlign w:val="center"/>
          </w:tcPr>
          <w:p w14:paraId="228CD174">
            <w:pPr>
              <w:spacing w:line="300" w:lineRule="exact"/>
              <w:jc w:val="center"/>
              <w:rPr>
                <w:rFonts w:ascii="方正书宋_GBK" w:eastAsia="方正书宋_GBK" w:cs="方正书宋_GBK"/>
              </w:rPr>
            </w:pPr>
            <w:r>
              <w:rPr>
                <w:rFonts w:ascii="方正书宋_GBK" w:eastAsia="方正书宋_GBK" w:cs="方正书宋_GBK"/>
              </w:rPr>
              <w:t>100%</w:t>
            </w:r>
          </w:p>
        </w:tc>
        <w:tc>
          <w:tcPr>
            <w:tcW w:w="737" w:type="dxa"/>
            <w:vAlign w:val="center"/>
          </w:tcPr>
          <w:p w14:paraId="788F6BCA">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737" w:type="dxa"/>
            <w:vAlign w:val="center"/>
          </w:tcPr>
          <w:p w14:paraId="07766C2C">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2DDBA9C0">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r>
      <w:tr w14:paraId="28BA6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E6D8892">
            <w:pPr>
              <w:spacing w:line="300" w:lineRule="exact"/>
              <w:jc w:val="center"/>
              <w:rPr>
                <w:rFonts w:ascii="方正书宋_GBK" w:eastAsia="方正书宋_GBK"/>
                <w:b/>
                <w:bCs/>
              </w:rPr>
            </w:pPr>
            <w:r>
              <w:rPr>
                <w:rFonts w:hint="eastAsia" w:ascii="方正书宋_GBK" w:eastAsia="方正书宋_GBK" w:cs="方正书宋_GBK"/>
                <w:b/>
                <w:bCs/>
              </w:rPr>
              <w:t>食品药品案件查处</w:t>
            </w:r>
          </w:p>
        </w:tc>
        <w:tc>
          <w:tcPr>
            <w:tcW w:w="1276" w:type="dxa"/>
            <w:vAlign w:val="center"/>
          </w:tcPr>
          <w:p w14:paraId="6808D1E8">
            <w:pPr>
              <w:spacing w:line="300" w:lineRule="exact"/>
              <w:jc w:val="left"/>
              <w:rPr>
                <w:rFonts w:ascii="方正书宋_GBK" w:eastAsia="方正书宋_GBK"/>
              </w:rPr>
            </w:pPr>
          </w:p>
        </w:tc>
        <w:tc>
          <w:tcPr>
            <w:tcW w:w="2976" w:type="dxa"/>
            <w:vAlign w:val="center"/>
          </w:tcPr>
          <w:p w14:paraId="061CF23E">
            <w:pPr>
              <w:spacing w:line="300" w:lineRule="exact"/>
              <w:jc w:val="left"/>
              <w:rPr>
                <w:rFonts w:ascii="方正书宋_GBK" w:eastAsia="方正书宋_GBK"/>
              </w:rPr>
            </w:pPr>
            <w:r>
              <w:rPr>
                <w:rFonts w:hint="eastAsia" w:ascii="方正书宋_GBK" w:eastAsia="方正书宋_GBK" w:cs="方正书宋_GBK"/>
              </w:rPr>
              <w:t>对危害群众食品及药品安全的案件进行查处，确保人民群众饮食用药和器械安全</w:t>
            </w:r>
          </w:p>
        </w:tc>
        <w:tc>
          <w:tcPr>
            <w:tcW w:w="2976" w:type="dxa"/>
            <w:vAlign w:val="center"/>
          </w:tcPr>
          <w:p w14:paraId="7B0543CF">
            <w:pPr>
              <w:spacing w:line="300" w:lineRule="exact"/>
              <w:jc w:val="left"/>
              <w:rPr>
                <w:rFonts w:ascii="方正书宋_GBK" w:eastAsia="方正书宋_GBK"/>
              </w:rPr>
            </w:pPr>
            <w:r>
              <w:rPr>
                <w:rFonts w:hint="eastAsia" w:ascii="方正书宋_GBK" w:eastAsia="方正书宋_GBK" w:cs="方正书宋_GBK"/>
              </w:rPr>
              <w:t>加强食品药品医疗器械知识的宣传，鼓励人民群众举报食品药品案件线索，及时发现和查处食品药品制假售假案件，保持对食品药品案件的零容忍，确保不出现重大责任事故</w:t>
            </w:r>
          </w:p>
        </w:tc>
        <w:tc>
          <w:tcPr>
            <w:tcW w:w="1417" w:type="dxa"/>
            <w:vAlign w:val="center"/>
          </w:tcPr>
          <w:p w14:paraId="73FD5928">
            <w:pPr>
              <w:spacing w:line="300" w:lineRule="exact"/>
              <w:jc w:val="left"/>
              <w:rPr>
                <w:rFonts w:ascii="方正书宋_GBK" w:eastAsia="方正书宋_GBK"/>
              </w:rPr>
            </w:pPr>
          </w:p>
        </w:tc>
        <w:tc>
          <w:tcPr>
            <w:tcW w:w="737" w:type="dxa"/>
            <w:vAlign w:val="center"/>
          </w:tcPr>
          <w:p w14:paraId="0F1491C1">
            <w:pPr>
              <w:spacing w:line="300" w:lineRule="exact"/>
              <w:jc w:val="center"/>
              <w:rPr>
                <w:rFonts w:ascii="方正书宋_GBK" w:eastAsia="方正书宋_GBK"/>
              </w:rPr>
            </w:pPr>
          </w:p>
        </w:tc>
        <w:tc>
          <w:tcPr>
            <w:tcW w:w="737" w:type="dxa"/>
            <w:vAlign w:val="center"/>
          </w:tcPr>
          <w:p w14:paraId="16BB5CCC">
            <w:pPr>
              <w:spacing w:line="300" w:lineRule="exact"/>
              <w:jc w:val="center"/>
              <w:rPr>
                <w:rFonts w:ascii="方正书宋_GBK" w:eastAsia="方正书宋_GBK"/>
              </w:rPr>
            </w:pPr>
          </w:p>
        </w:tc>
        <w:tc>
          <w:tcPr>
            <w:tcW w:w="737" w:type="dxa"/>
            <w:vAlign w:val="center"/>
          </w:tcPr>
          <w:p w14:paraId="3AF6AEF6">
            <w:pPr>
              <w:spacing w:line="300" w:lineRule="exact"/>
              <w:jc w:val="center"/>
              <w:rPr>
                <w:rFonts w:ascii="方正书宋_GBK" w:eastAsia="方正书宋_GBK"/>
              </w:rPr>
            </w:pPr>
          </w:p>
        </w:tc>
        <w:tc>
          <w:tcPr>
            <w:tcW w:w="737" w:type="dxa"/>
            <w:vAlign w:val="center"/>
          </w:tcPr>
          <w:p w14:paraId="317AB1A2">
            <w:pPr>
              <w:spacing w:line="300" w:lineRule="exact"/>
              <w:jc w:val="center"/>
              <w:rPr>
                <w:rFonts w:ascii="方正书宋_GBK" w:eastAsia="方正书宋_GBK"/>
              </w:rPr>
            </w:pPr>
          </w:p>
        </w:tc>
      </w:tr>
      <w:tr w14:paraId="0C0B6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06DA136C">
            <w:pPr>
              <w:spacing w:line="300" w:lineRule="exact"/>
              <w:jc w:val="center"/>
              <w:rPr>
                <w:rFonts w:ascii="方正书宋_GBK" w:eastAsia="方正书宋_GBK"/>
                <w:b/>
                <w:bCs/>
              </w:rPr>
            </w:pPr>
            <w:r>
              <w:rPr>
                <w:rFonts w:hint="eastAsia" w:ascii="方正书宋_GBK" w:eastAsia="方正书宋_GBK" w:cs="方正书宋_GBK"/>
                <w:b/>
                <w:bCs/>
              </w:rPr>
              <w:t>稽查和打假办案工作</w:t>
            </w:r>
          </w:p>
        </w:tc>
        <w:tc>
          <w:tcPr>
            <w:tcW w:w="1276" w:type="dxa"/>
            <w:vMerge w:val="restart"/>
            <w:vAlign w:val="center"/>
          </w:tcPr>
          <w:p w14:paraId="3DE4EACA">
            <w:pPr>
              <w:spacing w:line="300" w:lineRule="exact"/>
              <w:jc w:val="left"/>
              <w:rPr>
                <w:rFonts w:ascii="方正书宋_GBK" w:eastAsia="方正书宋_GBK"/>
              </w:rPr>
            </w:pPr>
          </w:p>
        </w:tc>
        <w:tc>
          <w:tcPr>
            <w:tcW w:w="2976" w:type="dxa"/>
            <w:vMerge w:val="restart"/>
            <w:vAlign w:val="center"/>
          </w:tcPr>
          <w:p w14:paraId="4CCA40DF">
            <w:pPr>
              <w:spacing w:line="300" w:lineRule="exact"/>
              <w:jc w:val="left"/>
              <w:rPr>
                <w:rFonts w:ascii="方正书宋_GBK" w:eastAsia="方正书宋_GBK"/>
              </w:rPr>
            </w:pPr>
            <w:r>
              <w:rPr>
                <w:rFonts w:hint="eastAsia" w:ascii="方正书宋_GBK" w:eastAsia="方正书宋_GBK" w:cs="方正书宋_GBK"/>
              </w:rPr>
              <w:t>开展食品（含保健食品、酒类）、药品、医疗器材及化妆品安全违法案件的稽查工作，并对违法生产、经营、使用药品、医疗器械案件以及违法生产、经营食品的案件进行查处，保障人民群众用药饮食和器械安全，维持正常市场经济秩序。</w:t>
            </w:r>
          </w:p>
        </w:tc>
        <w:tc>
          <w:tcPr>
            <w:tcW w:w="2976" w:type="dxa"/>
            <w:vMerge w:val="restart"/>
            <w:vAlign w:val="center"/>
          </w:tcPr>
          <w:p w14:paraId="721B6EFD">
            <w:pPr>
              <w:spacing w:line="300" w:lineRule="exact"/>
              <w:jc w:val="left"/>
              <w:rPr>
                <w:rFonts w:ascii="方正书宋_GBK" w:eastAsia="方正书宋_GBK"/>
              </w:rPr>
            </w:pPr>
            <w:r>
              <w:rPr>
                <w:rFonts w:hint="eastAsia" w:ascii="方正书宋_GBK" w:eastAsia="方正书宋_GBK" w:cs="方正书宋_GBK"/>
              </w:rPr>
              <w:t>震慑犯罪，确保制假售假案件呈下降态势</w:t>
            </w:r>
          </w:p>
        </w:tc>
        <w:tc>
          <w:tcPr>
            <w:tcW w:w="1417" w:type="dxa"/>
            <w:vAlign w:val="center"/>
          </w:tcPr>
          <w:p w14:paraId="1361C180">
            <w:pPr>
              <w:spacing w:line="300" w:lineRule="exact"/>
              <w:jc w:val="left"/>
              <w:rPr>
                <w:rFonts w:ascii="方正书宋_GBK" w:eastAsia="方正书宋_GBK"/>
              </w:rPr>
            </w:pPr>
            <w:r>
              <w:rPr>
                <w:rFonts w:hint="eastAsia" w:ascii="方正书宋_GBK" w:eastAsia="方正书宋_GBK" w:cs="方正书宋_GBK"/>
              </w:rPr>
              <w:t>制假售假案件下降率</w:t>
            </w:r>
          </w:p>
        </w:tc>
        <w:tc>
          <w:tcPr>
            <w:tcW w:w="737" w:type="dxa"/>
            <w:vAlign w:val="center"/>
          </w:tcPr>
          <w:p w14:paraId="1CBDEC07">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3%</w:t>
            </w:r>
          </w:p>
        </w:tc>
        <w:tc>
          <w:tcPr>
            <w:tcW w:w="737" w:type="dxa"/>
            <w:vAlign w:val="center"/>
          </w:tcPr>
          <w:p w14:paraId="26871F14">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2%</w:t>
            </w:r>
          </w:p>
        </w:tc>
        <w:tc>
          <w:tcPr>
            <w:tcW w:w="737" w:type="dxa"/>
            <w:vAlign w:val="center"/>
          </w:tcPr>
          <w:p w14:paraId="28C242A5">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1%</w:t>
            </w:r>
          </w:p>
        </w:tc>
        <w:tc>
          <w:tcPr>
            <w:tcW w:w="737" w:type="dxa"/>
            <w:vAlign w:val="center"/>
          </w:tcPr>
          <w:p w14:paraId="1F1386EB">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1%</w:t>
            </w:r>
          </w:p>
        </w:tc>
      </w:tr>
      <w:tr w14:paraId="101FB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18C6CC55">
            <w:pPr>
              <w:spacing w:line="300" w:lineRule="exact"/>
              <w:jc w:val="left"/>
              <w:rPr>
                <w:rFonts w:ascii="方正书宋_GBK" w:eastAsia="方正书宋_GBK"/>
                <w:b/>
                <w:bCs/>
              </w:rPr>
            </w:pPr>
          </w:p>
        </w:tc>
        <w:tc>
          <w:tcPr>
            <w:tcW w:w="1276" w:type="dxa"/>
            <w:vMerge w:val="continue"/>
            <w:vAlign w:val="center"/>
          </w:tcPr>
          <w:p w14:paraId="64374747">
            <w:pPr>
              <w:spacing w:line="300" w:lineRule="exact"/>
              <w:jc w:val="left"/>
              <w:rPr>
                <w:rFonts w:ascii="方正书宋_GBK" w:eastAsia="方正书宋_GBK"/>
              </w:rPr>
            </w:pPr>
          </w:p>
        </w:tc>
        <w:tc>
          <w:tcPr>
            <w:tcW w:w="2976" w:type="dxa"/>
            <w:vMerge w:val="continue"/>
            <w:vAlign w:val="center"/>
          </w:tcPr>
          <w:p w14:paraId="4610ADD2">
            <w:pPr>
              <w:spacing w:line="300" w:lineRule="exact"/>
              <w:jc w:val="left"/>
              <w:rPr>
                <w:rFonts w:ascii="方正书宋_GBK" w:eastAsia="方正书宋_GBK"/>
              </w:rPr>
            </w:pPr>
          </w:p>
        </w:tc>
        <w:tc>
          <w:tcPr>
            <w:tcW w:w="2976" w:type="dxa"/>
            <w:vMerge w:val="continue"/>
            <w:vAlign w:val="center"/>
          </w:tcPr>
          <w:p w14:paraId="40CCB461">
            <w:pPr>
              <w:spacing w:line="300" w:lineRule="exact"/>
              <w:jc w:val="left"/>
              <w:rPr>
                <w:rFonts w:ascii="方正书宋_GBK" w:eastAsia="方正书宋_GBK"/>
              </w:rPr>
            </w:pPr>
          </w:p>
        </w:tc>
        <w:tc>
          <w:tcPr>
            <w:tcW w:w="1417" w:type="dxa"/>
            <w:vAlign w:val="center"/>
          </w:tcPr>
          <w:p w14:paraId="78003B03">
            <w:pPr>
              <w:spacing w:line="300" w:lineRule="exact"/>
              <w:jc w:val="left"/>
              <w:rPr>
                <w:rFonts w:ascii="方正书宋_GBK" w:eastAsia="方正书宋_GBK"/>
              </w:rPr>
            </w:pPr>
            <w:r>
              <w:rPr>
                <w:rFonts w:hint="eastAsia" w:ascii="方正书宋_GBK" w:eastAsia="方正书宋_GBK" w:cs="方正书宋_GBK"/>
              </w:rPr>
              <w:t>案件查处率</w:t>
            </w:r>
          </w:p>
        </w:tc>
        <w:tc>
          <w:tcPr>
            <w:tcW w:w="737" w:type="dxa"/>
            <w:vAlign w:val="center"/>
          </w:tcPr>
          <w:p w14:paraId="5352C0A2">
            <w:pPr>
              <w:spacing w:line="300" w:lineRule="exact"/>
              <w:jc w:val="center"/>
              <w:rPr>
                <w:rFonts w:ascii="方正书宋_GBK" w:eastAsia="方正书宋_GBK" w:cs="方正书宋_GBK"/>
              </w:rPr>
            </w:pPr>
            <w:r>
              <w:rPr>
                <w:rFonts w:ascii="方正书宋_GBK" w:eastAsia="方正书宋_GBK" w:cs="方正书宋_GBK"/>
              </w:rPr>
              <w:t>100%</w:t>
            </w:r>
          </w:p>
        </w:tc>
        <w:tc>
          <w:tcPr>
            <w:tcW w:w="737" w:type="dxa"/>
            <w:vAlign w:val="center"/>
          </w:tcPr>
          <w:p w14:paraId="2822D154">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737" w:type="dxa"/>
            <w:vAlign w:val="center"/>
          </w:tcPr>
          <w:p w14:paraId="4692ABA0">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609E6289">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r>
      <w:tr w14:paraId="581ED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660AF36">
            <w:pPr>
              <w:spacing w:line="300" w:lineRule="exact"/>
              <w:jc w:val="left"/>
              <w:rPr>
                <w:rFonts w:ascii="方正书宋_GBK" w:eastAsia="方正书宋_GBK"/>
                <w:b/>
                <w:bCs/>
              </w:rPr>
            </w:pPr>
            <w:r>
              <w:rPr>
                <w:rFonts w:hint="eastAsia" w:ascii="方正书宋_GBK" w:eastAsia="方正书宋_GBK" w:cs="方正书宋_GBK"/>
                <w:b/>
                <w:bCs/>
              </w:rPr>
              <w:t>食品药品政务管理</w:t>
            </w:r>
          </w:p>
        </w:tc>
        <w:tc>
          <w:tcPr>
            <w:tcW w:w="1276" w:type="dxa"/>
            <w:vAlign w:val="center"/>
          </w:tcPr>
          <w:p w14:paraId="1845C17E">
            <w:pPr>
              <w:spacing w:line="300" w:lineRule="exact"/>
              <w:jc w:val="left"/>
              <w:rPr>
                <w:rFonts w:ascii="方正书宋_GBK" w:eastAsia="方正书宋_GBK"/>
              </w:rPr>
            </w:pPr>
          </w:p>
        </w:tc>
        <w:tc>
          <w:tcPr>
            <w:tcW w:w="2976" w:type="dxa"/>
            <w:vAlign w:val="center"/>
          </w:tcPr>
          <w:p w14:paraId="4EE693C9">
            <w:pPr>
              <w:spacing w:line="300" w:lineRule="exact"/>
              <w:jc w:val="left"/>
              <w:rPr>
                <w:rFonts w:ascii="方正书宋_GBK" w:eastAsia="方正书宋_GBK"/>
              </w:rPr>
            </w:pPr>
            <w:r>
              <w:rPr>
                <w:rFonts w:hint="eastAsia" w:ascii="方正书宋_GBK" w:eastAsia="方正书宋_GBK" w:cs="方正书宋_GBK"/>
              </w:rPr>
              <w:t>落实食品药品监管政策，组织指导相关工作开展，推动食品药品工作协调联动，承担政务公开和业务宣传工作，加强食品药品能力建设。</w:t>
            </w:r>
          </w:p>
        </w:tc>
        <w:tc>
          <w:tcPr>
            <w:tcW w:w="2976" w:type="dxa"/>
            <w:vAlign w:val="center"/>
          </w:tcPr>
          <w:p w14:paraId="1E3B926F">
            <w:pPr>
              <w:spacing w:line="300" w:lineRule="exact"/>
              <w:jc w:val="left"/>
              <w:rPr>
                <w:rFonts w:ascii="方正书宋_GBK" w:eastAsia="方正书宋_GBK"/>
              </w:rPr>
            </w:pPr>
            <w:r>
              <w:rPr>
                <w:rFonts w:hint="eastAsia" w:ascii="方正书宋_GBK" w:eastAsia="方正书宋_GBK" w:cs="方正书宋_GBK"/>
              </w:rPr>
              <w:t>做好食药安全宣传工作，及时处理突发事件，全面提升食药系统能力建设。</w:t>
            </w:r>
          </w:p>
        </w:tc>
        <w:tc>
          <w:tcPr>
            <w:tcW w:w="1417" w:type="dxa"/>
            <w:vAlign w:val="center"/>
          </w:tcPr>
          <w:p w14:paraId="560FD24B">
            <w:pPr>
              <w:spacing w:line="300" w:lineRule="exact"/>
              <w:jc w:val="left"/>
              <w:rPr>
                <w:rFonts w:ascii="方正书宋_GBK" w:eastAsia="方正书宋_GBK"/>
              </w:rPr>
            </w:pPr>
          </w:p>
        </w:tc>
        <w:tc>
          <w:tcPr>
            <w:tcW w:w="737" w:type="dxa"/>
            <w:vAlign w:val="center"/>
          </w:tcPr>
          <w:p w14:paraId="36EC9AF5">
            <w:pPr>
              <w:spacing w:line="300" w:lineRule="exact"/>
              <w:jc w:val="center"/>
              <w:rPr>
                <w:rFonts w:ascii="方正书宋_GBK" w:eastAsia="方正书宋_GBK"/>
              </w:rPr>
            </w:pPr>
          </w:p>
        </w:tc>
        <w:tc>
          <w:tcPr>
            <w:tcW w:w="737" w:type="dxa"/>
            <w:vAlign w:val="center"/>
          </w:tcPr>
          <w:p w14:paraId="5A57ABE6">
            <w:pPr>
              <w:spacing w:line="300" w:lineRule="exact"/>
              <w:jc w:val="center"/>
              <w:rPr>
                <w:rFonts w:ascii="方正书宋_GBK" w:eastAsia="方正书宋_GBK"/>
              </w:rPr>
            </w:pPr>
          </w:p>
        </w:tc>
        <w:tc>
          <w:tcPr>
            <w:tcW w:w="737" w:type="dxa"/>
            <w:vAlign w:val="center"/>
          </w:tcPr>
          <w:p w14:paraId="1F673DD8">
            <w:pPr>
              <w:spacing w:line="300" w:lineRule="exact"/>
              <w:jc w:val="center"/>
              <w:rPr>
                <w:rFonts w:ascii="方正书宋_GBK" w:eastAsia="方正书宋_GBK"/>
              </w:rPr>
            </w:pPr>
          </w:p>
        </w:tc>
        <w:tc>
          <w:tcPr>
            <w:tcW w:w="737" w:type="dxa"/>
            <w:vAlign w:val="center"/>
          </w:tcPr>
          <w:p w14:paraId="651751F2">
            <w:pPr>
              <w:spacing w:line="300" w:lineRule="exact"/>
              <w:jc w:val="center"/>
              <w:rPr>
                <w:rFonts w:ascii="方正书宋_GBK" w:eastAsia="方正书宋_GBK"/>
              </w:rPr>
            </w:pPr>
          </w:p>
        </w:tc>
      </w:tr>
      <w:tr w14:paraId="300AF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085E6FFC">
            <w:pPr>
              <w:spacing w:line="300" w:lineRule="exact"/>
              <w:jc w:val="center"/>
              <w:rPr>
                <w:rFonts w:ascii="方正书宋_GBK" w:eastAsia="方正书宋_GBK"/>
                <w:b/>
                <w:bCs/>
              </w:rPr>
            </w:pPr>
            <w:r>
              <w:rPr>
                <w:rFonts w:hint="eastAsia" w:ascii="方正书宋_GBK" w:eastAsia="方正书宋_GBK" w:cs="方正书宋_GBK"/>
                <w:b/>
                <w:bCs/>
              </w:rPr>
              <w:t>食品药品综合业务管理</w:t>
            </w:r>
          </w:p>
        </w:tc>
        <w:tc>
          <w:tcPr>
            <w:tcW w:w="1276" w:type="dxa"/>
            <w:vMerge w:val="restart"/>
            <w:vAlign w:val="center"/>
          </w:tcPr>
          <w:p w14:paraId="65E95514">
            <w:pPr>
              <w:spacing w:line="300" w:lineRule="exact"/>
              <w:jc w:val="left"/>
              <w:rPr>
                <w:rFonts w:ascii="方正书宋_GBK" w:eastAsia="方正书宋_GBK"/>
              </w:rPr>
            </w:pPr>
          </w:p>
        </w:tc>
        <w:tc>
          <w:tcPr>
            <w:tcW w:w="2976" w:type="dxa"/>
            <w:vMerge w:val="restart"/>
            <w:vAlign w:val="center"/>
          </w:tcPr>
          <w:p w14:paraId="5106EF85">
            <w:pPr>
              <w:spacing w:line="300" w:lineRule="exact"/>
              <w:jc w:val="left"/>
              <w:rPr>
                <w:rFonts w:ascii="方正书宋_GBK" w:eastAsia="方正书宋_GBK"/>
              </w:rPr>
            </w:pPr>
            <w:r>
              <w:rPr>
                <w:rFonts w:hint="eastAsia" w:ascii="方正书宋_GBK" w:eastAsia="方正书宋_GBK" w:cs="方正书宋_GBK"/>
              </w:rPr>
              <w:t>强化监管手段，组织开展监督、检查、检测、案件处置、统计分析、信息公开、宣传教育等各项综合业务工作。</w:t>
            </w:r>
          </w:p>
        </w:tc>
        <w:tc>
          <w:tcPr>
            <w:tcW w:w="2976" w:type="dxa"/>
            <w:vMerge w:val="restart"/>
            <w:vAlign w:val="center"/>
          </w:tcPr>
          <w:p w14:paraId="196A0F42">
            <w:pPr>
              <w:spacing w:line="300" w:lineRule="exact"/>
              <w:jc w:val="left"/>
              <w:rPr>
                <w:rFonts w:ascii="方正书宋_GBK" w:eastAsia="方正书宋_GBK"/>
              </w:rPr>
            </w:pPr>
            <w:r>
              <w:rPr>
                <w:rFonts w:hint="eastAsia" w:ascii="方正书宋_GBK" w:eastAsia="方正书宋_GBK" w:cs="方正书宋_GBK"/>
              </w:rPr>
              <w:t>为顺利开展各项食品药品工作提供有效保障，确保食品药品安全。</w:t>
            </w:r>
          </w:p>
        </w:tc>
        <w:tc>
          <w:tcPr>
            <w:tcW w:w="1417" w:type="dxa"/>
            <w:vAlign w:val="center"/>
          </w:tcPr>
          <w:p w14:paraId="75533D49">
            <w:pPr>
              <w:spacing w:line="300" w:lineRule="exact"/>
              <w:jc w:val="left"/>
              <w:rPr>
                <w:rFonts w:ascii="方正书宋_GBK" w:eastAsia="方正书宋_GBK"/>
              </w:rPr>
            </w:pPr>
            <w:r>
              <w:rPr>
                <w:rFonts w:hint="eastAsia" w:ascii="方正书宋_GBK" w:eastAsia="方正书宋_GBK" w:cs="方正书宋_GBK"/>
              </w:rPr>
              <w:t>食品药品安全宣传教育活动完成率</w:t>
            </w:r>
          </w:p>
        </w:tc>
        <w:tc>
          <w:tcPr>
            <w:tcW w:w="737" w:type="dxa"/>
            <w:vAlign w:val="center"/>
          </w:tcPr>
          <w:p w14:paraId="1C570D2D">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40506690">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85%</w:t>
            </w:r>
          </w:p>
        </w:tc>
        <w:tc>
          <w:tcPr>
            <w:tcW w:w="737" w:type="dxa"/>
            <w:vAlign w:val="center"/>
          </w:tcPr>
          <w:p w14:paraId="57DD0277">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80%</w:t>
            </w:r>
          </w:p>
        </w:tc>
        <w:tc>
          <w:tcPr>
            <w:tcW w:w="737" w:type="dxa"/>
            <w:vAlign w:val="center"/>
          </w:tcPr>
          <w:p w14:paraId="49FEDA36">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80%</w:t>
            </w:r>
          </w:p>
        </w:tc>
      </w:tr>
      <w:tr w14:paraId="3E8DE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0F16DD60">
            <w:pPr>
              <w:spacing w:line="300" w:lineRule="exact"/>
              <w:jc w:val="left"/>
              <w:rPr>
                <w:rFonts w:ascii="方正书宋_GBK" w:eastAsia="方正书宋_GBK"/>
                <w:b/>
                <w:bCs/>
              </w:rPr>
            </w:pPr>
          </w:p>
        </w:tc>
        <w:tc>
          <w:tcPr>
            <w:tcW w:w="1276" w:type="dxa"/>
            <w:vMerge w:val="continue"/>
            <w:vAlign w:val="center"/>
          </w:tcPr>
          <w:p w14:paraId="54908369">
            <w:pPr>
              <w:spacing w:line="300" w:lineRule="exact"/>
              <w:jc w:val="left"/>
              <w:rPr>
                <w:rFonts w:ascii="方正书宋_GBK" w:eastAsia="方正书宋_GBK"/>
              </w:rPr>
            </w:pPr>
          </w:p>
        </w:tc>
        <w:tc>
          <w:tcPr>
            <w:tcW w:w="2976" w:type="dxa"/>
            <w:vMerge w:val="continue"/>
            <w:vAlign w:val="center"/>
          </w:tcPr>
          <w:p w14:paraId="10D9C030">
            <w:pPr>
              <w:spacing w:line="300" w:lineRule="exact"/>
              <w:jc w:val="left"/>
              <w:rPr>
                <w:rFonts w:ascii="方正书宋_GBK" w:eastAsia="方正书宋_GBK"/>
              </w:rPr>
            </w:pPr>
          </w:p>
        </w:tc>
        <w:tc>
          <w:tcPr>
            <w:tcW w:w="2976" w:type="dxa"/>
            <w:vMerge w:val="continue"/>
            <w:vAlign w:val="center"/>
          </w:tcPr>
          <w:p w14:paraId="20D3C909">
            <w:pPr>
              <w:spacing w:line="300" w:lineRule="exact"/>
              <w:jc w:val="left"/>
              <w:rPr>
                <w:rFonts w:ascii="方正书宋_GBK" w:eastAsia="方正书宋_GBK"/>
              </w:rPr>
            </w:pPr>
          </w:p>
        </w:tc>
        <w:tc>
          <w:tcPr>
            <w:tcW w:w="1417" w:type="dxa"/>
            <w:vAlign w:val="center"/>
          </w:tcPr>
          <w:p w14:paraId="39CEB7F2">
            <w:pPr>
              <w:spacing w:line="300" w:lineRule="exact"/>
              <w:jc w:val="left"/>
              <w:rPr>
                <w:rFonts w:ascii="方正书宋_GBK" w:eastAsia="方正书宋_GBK"/>
              </w:rPr>
            </w:pPr>
            <w:r>
              <w:rPr>
                <w:rFonts w:hint="eastAsia" w:ascii="方正书宋_GBK" w:eastAsia="方正书宋_GBK" w:cs="方正书宋_GBK"/>
              </w:rPr>
              <w:t>综合业务管理工作完成率</w:t>
            </w:r>
          </w:p>
        </w:tc>
        <w:tc>
          <w:tcPr>
            <w:tcW w:w="737" w:type="dxa"/>
            <w:vAlign w:val="center"/>
          </w:tcPr>
          <w:p w14:paraId="17EE1779">
            <w:pPr>
              <w:spacing w:line="300" w:lineRule="exact"/>
              <w:jc w:val="center"/>
              <w:rPr>
                <w:rFonts w:ascii="方正书宋_GBK" w:eastAsia="方正书宋_GBK" w:cs="方正书宋_GBK"/>
              </w:rPr>
            </w:pPr>
            <w:r>
              <w:rPr>
                <w:rFonts w:ascii="方正书宋_GBK" w:eastAsia="方正书宋_GBK" w:cs="方正书宋_GBK"/>
              </w:rPr>
              <w:t>100%</w:t>
            </w:r>
          </w:p>
        </w:tc>
        <w:tc>
          <w:tcPr>
            <w:tcW w:w="737" w:type="dxa"/>
            <w:vAlign w:val="center"/>
          </w:tcPr>
          <w:p w14:paraId="78A3B07C">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737" w:type="dxa"/>
            <w:vAlign w:val="center"/>
          </w:tcPr>
          <w:p w14:paraId="2CB0D727">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0EAFE97B">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r>
      <w:tr w14:paraId="55CA1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78D47400">
            <w:pPr>
              <w:spacing w:line="300" w:lineRule="exact"/>
              <w:jc w:val="left"/>
              <w:rPr>
                <w:rFonts w:ascii="方正书宋_GBK" w:eastAsia="方正书宋_GBK"/>
                <w:b/>
                <w:bCs/>
              </w:rPr>
            </w:pPr>
          </w:p>
        </w:tc>
        <w:tc>
          <w:tcPr>
            <w:tcW w:w="1276" w:type="dxa"/>
            <w:vMerge w:val="continue"/>
            <w:vAlign w:val="center"/>
          </w:tcPr>
          <w:p w14:paraId="0648CBB0">
            <w:pPr>
              <w:spacing w:line="300" w:lineRule="exact"/>
              <w:jc w:val="left"/>
              <w:rPr>
                <w:rFonts w:ascii="方正书宋_GBK" w:eastAsia="方正书宋_GBK"/>
              </w:rPr>
            </w:pPr>
          </w:p>
        </w:tc>
        <w:tc>
          <w:tcPr>
            <w:tcW w:w="2976" w:type="dxa"/>
            <w:vMerge w:val="continue"/>
            <w:vAlign w:val="center"/>
          </w:tcPr>
          <w:p w14:paraId="643CF3FA">
            <w:pPr>
              <w:spacing w:line="300" w:lineRule="exact"/>
              <w:jc w:val="left"/>
              <w:rPr>
                <w:rFonts w:ascii="方正书宋_GBK" w:eastAsia="方正书宋_GBK"/>
              </w:rPr>
            </w:pPr>
          </w:p>
        </w:tc>
        <w:tc>
          <w:tcPr>
            <w:tcW w:w="2976" w:type="dxa"/>
            <w:vMerge w:val="continue"/>
            <w:vAlign w:val="center"/>
          </w:tcPr>
          <w:p w14:paraId="533214BA">
            <w:pPr>
              <w:spacing w:line="300" w:lineRule="exact"/>
              <w:jc w:val="left"/>
              <w:rPr>
                <w:rFonts w:ascii="方正书宋_GBK" w:eastAsia="方正书宋_GBK"/>
              </w:rPr>
            </w:pPr>
          </w:p>
        </w:tc>
        <w:tc>
          <w:tcPr>
            <w:tcW w:w="1417" w:type="dxa"/>
            <w:vAlign w:val="center"/>
          </w:tcPr>
          <w:p w14:paraId="34606C06">
            <w:pPr>
              <w:spacing w:line="300" w:lineRule="exact"/>
              <w:jc w:val="left"/>
              <w:rPr>
                <w:rFonts w:ascii="方正书宋_GBK" w:eastAsia="方正书宋_GBK"/>
              </w:rPr>
            </w:pPr>
            <w:r>
              <w:rPr>
                <w:rFonts w:hint="eastAsia" w:ascii="方正书宋_GBK" w:eastAsia="方正书宋_GBK" w:cs="方正书宋_GBK"/>
              </w:rPr>
              <w:t>突发事件处置率</w:t>
            </w:r>
          </w:p>
        </w:tc>
        <w:tc>
          <w:tcPr>
            <w:tcW w:w="737" w:type="dxa"/>
            <w:vAlign w:val="center"/>
          </w:tcPr>
          <w:p w14:paraId="3D88D2F3">
            <w:pPr>
              <w:spacing w:line="300" w:lineRule="exact"/>
              <w:jc w:val="center"/>
              <w:rPr>
                <w:rFonts w:ascii="方正书宋_GBK" w:eastAsia="方正书宋_GBK" w:cs="方正书宋_GBK"/>
              </w:rPr>
            </w:pPr>
            <w:r>
              <w:rPr>
                <w:rFonts w:ascii="方正书宋_GBK" w:eastAsia="方正书宋_GBK" w:cs="方正书宋_GBK"/>
              </w:rPr>
              <w:t>100%</w:t>
            </w:r>
          </w:p>
        </w:tc>
        <w:tc>
          <w:tcPr>
            <w:tcW w:w="737" w:type="dxa"/>
            <w:vAlign w:val="center"/>
          </w:tcPr>
          <w:p w14:paraId="2E330EFE">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737" w:type="dxa"/>
            <w:vAlign w:val="center"/>
          </w:tcPr>
          <w:p w14:paraId="7F183640">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2FC70FC2">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r>
      <w:tr w14:paraId="4866B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1CEF726D">
            <w:pPr>
              <w:spacing w:line="300" w:lineRule="exact"/>
              <w:jc w:val="center"/>
              <w:rPr>
                <w:rFonts w:ascii="方正书宋_GBK" w:eastAsia="方正书宋_GBK"/>
                <w:b/>
                <w:bCs/>
              </w:rPr>
            </w:pPr>
            <w:r>
              <w:rPr>
                <w:rFonts w:hint="eastAsia" w:ascii="方正书宋_GBK" w:eastAsia="方正书宋_GBK" w:cs="方正书宋_GBK"/>
                <w:b/>
                <w:bCs/>
              </w:rPr>
              <w:t>食品药品综合事务管理</w:t>
            </w:r>
          </w:p>
        </w:tc>
        <w:tc>
          <w:tcPr>
            <w:tcW w:w="1276" w:type="dxa"/>
            <w:vMerge w:val="restart"/>
            <w:vAlign w:val="center"/>
          </w:tcPr>
          <w:p w14:paraId="32845422">
            <w:pPr>
              <w:spacing w:line="300" w:lineRule="exact"/>
              <w:jc w:val="left"/>
              <w:rPr>
                <w:rFonts w:ascii="方正书宋_GBK" w:eastAsia="方正书宋_GBK"/>
              </w:rPr>
            </w:pPr>
          </w:p>
        </w:tc>
        <w:tc>
          <w:tcPr>
            <w:tcW w:w="2976" w:type="dxa"/>
            <w:vMerge w:val="restart"/>
            <w:vAlign w:val="center"/>
          </w:tcPr>
          <w:p w14:paraId="4AFE4CB2">
            <w:pPr>
              <w:spacing w:line="300" w:lineRule="exact"/>
              <w:jc w:val="left"/>
              <w:rPr>
                <w:rFonts w:ascii="方正书宋_GBK" w:eastAsia="方正书宋_GBK"/>
              </w:rPr>
            </w:pPr>
            <w:r>
              <w:rPr>
                <w:rFonts w:hint="eastAsia" w:ascii="方正书宋_GBK" w:eastAsia="方正书宋_GBK" w:cs="方正书宋_GBK"/>
              </w:rPr>
              <w:t>建设一批高素质食品药品人才队伍，开展食品药品工作考核评价，做好机构信息化、基础设施、装备配置等各项工作。</w:t>
            </w:r>
          </w:p>
        </w:tc>
        <w:tc>
          <w:tcPr>
            <w:tcW w:w="2976" w:type="dxa"/>
            <w:vMerge w:val="restart"/>
            <w:vAlign w:val="center"/>
          </w:tcPr>
          <w:p w14:paraId="25A1C6AA">
            <w:pPr>
              <w:spacing w:line="300" w:lineRule="exact"/>
              <w:jc w:val="left"/>
              <w:rPr>
                <w:rFonts w:ascii="方正书宋_GBK" w:eastAsia="方正书宋_GBK"/>
              </w:rPr>
            </w:pPr>
            <w:r>
              <w:rPr>
                <w:rFonts w:hint="eastAsia" w:ascii="方正书宋_GBK" w:eastAsia="方正书宋_GBK" w:cs="方正书宋_GBK"/>
              </w:rPr>
              <w:t>检测装备基本适应监管职责需求</w:t>
            </w:r>
            <w:r>
              <w:rPr>
                <w:rFonts w:ascii="方正书宋_GBK" w:eastAsia="方正书宋_GBK" w:cs="方正书宋_GBK"/>
              </w:rPr>
              <w:t>,</w:t>
            </w:r>
            <w:r>
              <w:rPr>
                <w:rFonts w:hint="eastAsia" w:ascii="方正书宋_GBK" w:eastAsia="方正书宋_GBK" w:cs="方正书宋_GBK"/>
              </w:rPr>
              <w:t>提高我省食品药品系统综合能力。</w:t>
            </w:r>
          </w:p>
        </w:tc>
        <w:tc>
          <w:tcPr>
            <w:tcW w:w="1417" w:type="dxa"/>
            <w:vAlign w:val="center"/>
          </w:tcPr>
          <w:p w14:paraId="0561CEE2">
            <w:pPr>
              <w:spacing w:line="300" w:lineRule="exact"/>
              <w:jc w:val="left"/>
              <w:rPr>
                <w:rFonts w:ascii="方正书宋_GBK" w:eastAsia="方正书宋_GBK"/>
              </w:rPr>
            </w:pPr>
            <w:r>
              <w:rPr>
                <w:rFonts w:hint="eastAsia" w:ascii="方正书宋_GBK" w:eastAsia="方正书宋_GBK" w:cs="方正书宋_GBK"/>
              </w:rPr>
              <w:t>执法装备配备率</w:t>
            </w:r>
          </w:p>
        </w:tc>
        <w:tc>
          <w:tcPr>
            <w:tcW w:w="737" w:type="dxa"/>
            <w:vAlign w:val="center"/>
          </w:tcPr>
          <w:p w14:paraId="2ECA56F4">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737" w:type="dxa"/>
            <w:vAlign w:val="center"/>
          </w:tcPr>
          <w:p w14:paraId="16689F0E">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4A9A8949">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80%</w:t>
            </w:r>
          </w:p>
        </w:tc>
        <w:tc>
          <w:tcPr>
            <w:tcW w:w="737" w:type="dxa"/>
            <w:vAlign w:val="center"/>
          </w:tcPr>
          <w:p w14:paraId="114065B2">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80%</w:t>
            </w:r>
          </w:p>
        </w:tc>
      </w:tr>
      <w:tr w14:paraId="07342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405DA987">
            <w:pPr>
              <w:spacing w:line="300" w:lineRule="exact"/>
              <w:jc w:val="left"/>
              <w:rPr>
                <w:rFonts w:ascii="方正书宋_GBK" w:eastAsia="方正书宋_GBK"/>
                <w:b/>
                <w:bCs/>
              </w:rPr>
            </w:pPr>
          </w:p>
        </w:tc>
        <w:tc>
          <w:tcPr>
            <w:tcW w:w="1276" w:type="dxa"/>
            <w:vMerge w:val="continue"/>
            <w:vAlign w:val="center"/>
          </w:tcPr>
          <w:p w14:paraId="1B9F1055">
            <w:pPr>
              <w:spacing w:line="300" w:lineRule="exact"/>
              <w:jc w:val="left"/>
              <w:rPr>
                <w:rFonts w:ascii="方正书宋_GBK" w:eastAsia="方正书宋_GBK"/>
              </w:rPr>
            </w:pPr>
          </w:p>
        </w:tc>
        <w:tc>
          <w:tcPr>
            <w:tcW w:w="2976" w:type="dxa"/>
            <w:vMerge w:val="continue"/>
            <w:vAlign w:val="center"/>
          </w:tcPr>
          <w:p w14:paraId="2A703911">
            <w:pPr>
              <w:spacing w:line="300" w:lineRule="exact"/>
              <w:jc w:val="left"/>
              <w:rPr>
                <w:rFonts w:ascii="方正书宋_GBK" w:eastAsia="方正书宋_GBK"/>
              </w:rPr>
            </w:pPr>
          </w:p>
        </w:tc>
        <w:tc>
          <w:tcPr>
            <w:tcW w:w="2976" w:type="dxa"/>
            <w:vMerge w:val="continue"/>
            <w:vAlign w:val="center"/>
          </w:tcPr>
          <w:p w14:paraId="22B096B6">
            <w:pPr>
              <w:spacing w:line="300" w:lineRule="exact"/>
              <w:jc w:val="left"/>
              <w:rPr>
                <w:rFonts w:ascii="方正书宋_GBK" w:eastAsia="方正书宋_GBK"/>
              </w:rPr>
            </w:pPr>
          </w:p>
        </w:tc>
        <w:tc>
          <w:tcPr>
            <w:tcW w:w="1417" w:type="dxa"/>
            <w:vAlign w:val="center"/>
          </w:tcPr>
          <w:p w14:paraId="4FAE7B20">
            <w:pPr>
              <w:spacing w:line="300" w:lineRule="exact"/>
              <w:jc w:val="left"/>
              <w:rPr>
                <w:rFonts w:ascii="方正书宋_GBK" w:eastAsia="方正书宋_GBK"/>
              </w:rPr>
            </w:pPr>
            <w:r>
              <w:rPr>
                <w:rFonts w:hint="eastAsia" w:ascii="方正书宋_GBK" w:eastAsia="方正书宋_GBK" w:cs="方正书宋_GBK"/>
              </w:rPr>
              <w:t>信息化保障支撑度</w:t>
            </w:r>
          </w:p>
        </w:tc>
        <w:tc>
          <w:tcPr>
            <w:tcW w:w="737" w:type="dxa"/>
            <w:vAlign w:val="center"/>
          </w:tcPr>
          <w:p w14:paraId="0382A9D5">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0FA444BE">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85%</w:t>
            </w:r>
          </w:p>
        </w:tc>
        <w:tc>
          <w:tcPr>
            <w:tcW w:w="737" w:type="dxa"/>
            <w:vAlign w:val="center"/>
          </w:tcPr>
          <w:p w14:paraId="26BB2BC7">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80%</w:t>
            </w:r>
          </w:p>
        </w:tc>
        <w:tc>
          <w:tcPr>
            <w:tcW w:w="737" w:type="dxa"/>
            <w:vAlign w:val="center"/>
          </w:tcPr>
          <w:p w14:paraId="741D7098">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80%</w:t>
            </w:r>
          </w:p>
        </w:tc>
      </w:tr>
      <w:tr w14:paraId="747BD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07C730DA">
            <w:pPr>
              <w:spacing w:line="300" w:lineRule="exact"/>
              <w:jc w:val="left"/>
              <w:rPr>
                <w:rFonts w:ascii="方正书宋_GBK" w:eastAsia="方正书宋_GBK"/>
                <w:b/>
                <w:bCs/>
              </w:rPr>
            </w:pPr>
          </w:p>
        </w:tc>
        <w:tc>
          <w:tcPr>
            <w:tcW w:w="1276" w:type="dxa"/>
            <w:vMerge w:val="continue"/>
            <w:vAlign w:val="center"/>
          </w:tcPr>
          <w:p w14:paraId="08E732B4">
            <w:pPr>
              <w:spacing w:line="300" w:lineRule="exact"/>
              <w:jc w:val="left"/>
              <w:rPr>
                <w:rFonts w:ascii="方正书宋_GBK" w:eastAsia="方正书宋_GBK"/>
              </w:rPr>
            </w:pPr>
          </w:p>
        </w:tc>
        <w:tc>
          <w:tcPr>
            <w:tcW w:w="2976" w:type="dxa"/>
            <w:vMerge w:val="continue"/>
            <w:vAlign w:val="center"/>
          </w:tcPr>
          <w:p w14:paraId="7A67451F">
            <w:pPr>
              <w:spacing w:line="300" w:lineRule="exact"/>
              <w:jc w:val="left"/>
              <w:rPr>
                <w:rFonts w:ascii="方正书宋_GBK" w:eastAsia="方正书宋_GBK"/>
              </w:rPr>
            </w:pPr>
          </w:p>
        </w:tc>
        <w:tc>
          <w:tcPr>
            <w:tcW w:w="2976" w:type="dxa"/>
            <w:vMerge w:val="continue"/>
            <w:vAlign w:val="center"/>
          </w:tcPr>
          <w:p w14:paraId="36F75371">
            <w:pPr>
              <w:spacing w:line="300" w:lineRule="exact"/>
              <w:jc w:val="left"/>
              <w:rPr>
                <w:rFonts w:ascii="方正书宋_GBK" w:eastAsia="方正书宋_GBK"/>
              </w:rPr>
            </w:pPr>
          </w:p>
        </w:tc>
        <w:tc>
          <w:tcPr>
            <w:tcW w:w="1417" w:type="dxa"/>
            <w:vAlign w:val="center"/>
          </w:tcPr>
          <w:p w14:paraId="000E7801">
            <w:pPr>
              <w:spacing w:line="300" w:lineRule="exact"/>
              <w:jc w:val="left"/>
              <w:rPr>
                <w:rFonts w:ascii="方正书宋_GBK" w:eastAsia="方正书宋_GBK"/>
              </w:rPr>
            </w:pPr>
            <w:r>
              <w:rPr>
                <w:rFonts w:hint="eastAsia" w:ascii="方正书宋_GBK" w:eastAsia="方正书宋_GBK" w:cs="方正书宋_GBK"/>
              </w:rPr>
              <w:t>综合事务管理工作完成率</w:t>
            </w:r>
          </w:p>
        </w:tc>
        <w:tc>
          <w:tcPr>
            <w:tcW w:w="737" w:type="dxa"/>
            <w:vAlign w:val="center"/>
          </w:tcPr>
          <w:p w14:paraId="77CB6B79">
            <w:pPr>
              <w:spacing w:line="300" w:lineRule="exact"/>
              <w:jc w:val="center"/>
              <w:rPr>
                <w:rFonts w:ascii="方正书宋_GBK" w:eastAsia="方正书宋_GBK" w:cs="方正书宋_GBK"/>
              </w:rPr>
            </w:pPr>
            <w:r>
              <w:rPr>
                <w:rFonts w:ascii="方正书宋_GBK" w:eastAsia="方正书宋_GBK" w:cs="方正书宋_GBK"/>
              </w:rPr>
              <w:t>100%</w:t>
            </w:r>
          </w:p>
        </w:tc>
        <w:tc>
          <w:tcPr>
            <w:tcW w:w="737" w:type="dxa"/>
            <w:vAlign w:val="center"/>
          </w:tcPr>
          <w:p w14:paraId="16F623B0">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737" w:type="dxa"/>
            <w:vAlign w:val="center"/>
          </w:tcPr>
          <w:p w14:paraId="0671D5CB">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14:paraId="08443AB5">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r>
    </w:tbl>
    <w:p w14:paraId="7A509FC9">
      <w:pPr>
        <w:autoSpaceDE w:val="0"/>
        <w:autoSpaceDN w:val="0"/>
        <w:adjustRightInd w:val="0"/>
        <w:jc w:val="left"/>
        <w:rPr>
          <w:rFonts w:ascii="黑体" w:hAnsi="黑体" w:eastAsia="黑体"/>
          <w:b/>
          <w:bCs/>
          <w:sz w:val="32"/>
          <w:szCs w:val="32"/>
        </w:rPr>
      </w:pPr>
    </w:p>
    <w:p w14:paraId="4A1BB269">
      <w:pPr>
        <w:numPr>
          <w:ilvl w:val="0"/>
          <w:numId w:val="2"/>
        </w:numPr>
        <w:autoSpaceDE w:val="0"/>
        <w:autoSpaceDN w:val="0"/>
        <w:adjustRightInd w:val="0"/>
        <w:ind w:firstLine="643" w:firstLineChars="200"/>
        <w:jc w:val="left"/>
        <w:rPr>
          <w:rFonts w:ascii="黑体" w:hAnsi="黑体" w:eastAsia="黑体"/>
          <w:b/>
          <w:bCs/>
          <w:sz w:val="32"/>
          <w:szCs w:val="32"/>
        </w:rPr>
      </w:pPr>
      <w:r>
        <w:rPr>
          <w:rFonts w:hint="eastAsia" w:ascii="黑体" w:hAnsi="黑体" w:eastAsia="黑体" w:cs="黑体"/>
          <w:b/>
          <w:bCs/>
          <w:sz w:val="32"/>
          <w:szCs w:val="32"/>
        </w:rPr>
        <w:t>政府采购预算情况</w:t>
      </w:r>
    </w:p>
    <w:p w14:paraId="03D1F200">
      <w:pPr>
        <w:autoSpaceDE w:val="0"/>
        <w:autoSpaceDN w:val="0"/>
        <w:adjustRightInd w:val="0"/>
        <w:ind w:firstLine="642"/>
        <w:jc w:val="left"/>
        <w:rPr>
          <w:rFonts w:ascii="黑体" w:hAnsi="黑体" w:eastAsia="黑体"/>
          <w:b/>
          <w:bCs/>
          <w:sz w:val="32"/>
          <w:szCs w:val="32"/>
        </w:rPr>
      </w:pPr>
      <w:r>
        <w:rPr>
          <w:rFonts w:ascii="黑体" w:hAnsi="黑体" w:eastAsia="黑体" w:cs="黑体"/>
          <w:b/>
          <w:bCs/>
          <w:sz w:val="32"/>
          <w:szCs w:val="32"/>
        </w:rPr>
        <w:t>2019</w:t>
      </w:r>
      <w:r>
        <w:rPr>
          <w:rFonts w:hint="eastAsia" w:ascii="黑体" w:hAnsi="黑体" w:eastAsia="黑体" w:cs="黑体"/>
          <w:b/>
          <w:bCs/>
          <w:sz w:val="32"/>
          <w:szCs w:val="32"/>
        </w:rPr>
        <w:t>年，我部门安排政府采购预算</w:t>
      </w:r>
      <w:r>
        <w:rPr>
          <w:rFonts w:ascii="黑体" w:hAnsi="黑体" w:eastAsia="黑体" w:cs="黑体"/>
          <w:b/>
          <w:bCs/>
          <w:sz w:val="32"/>
          <w:szCs w:val="32"/>
        </w:rPr>
        <w:t>15</w:t>
      </w:r>
      <w:r>
        <w:rPr>
          <w:rFonts w:hint="eastAsia" w:ascii="黑体" w:hAnsi="黑体" w:eastAsia="黑体" w:cs="黑体"/>
          <w:b/>
          <w:bCs/>
          <w:sz w:val="32"/>
          <w:szCs w:val="32"/>
        </w:rPr>
        <w:t>万元。具体内容见下表。</w:t>
      </w:r>
    </w:p>
    <w:p w14:paraId="5D06C0D2">
      <w:pPr>
        <w:autoSpaceDE w:val="0"/>
        <w:autoSpaceDN w:val="0"/>
        <w:adjustRightInd w:val="0"/>
        <w:ind w:firstLine="642"/>
        <w:jc w:val="left"/>
        <w:rPr>
          <w:rFonts w:ascii="黑体" w:hAnsi="黑体" w:eastAsia="黑体"/>
          <w:b/>
          <w:bCs/>
          <w:sz w:val="32"/>
          <w:szCs w:val="32"/>
        </w:rPr>
      </w:pPr>
    </w:p>
    <w:p w14:paraId="3B09DE73">
      <w:pPr>
        <w:autoSpaceDE w:val="0"/>
        <w:autoSpaceDN w:val="0"/>
        <w:adjustRightInd w:val="0"/>
        <w:ind w:firstLine="642"/>
        <w:jc w:val="left"/>
        <w:rPr>
          <w:rFonts w:ascii="黑体" w:hAnsi="黑体" w:eastAsia="黑体"/>
          <w:b/>
          <w:bCs/>
          <w:sz w:val="32"/>
          <w:szCs w:val="32"/>
        </w:rPr>
      </w:pPr>
    </w:p>
    <w:p w14:paraId="48260EFE">
      <w:pPr>
        <w:autoSpaceDE w:val="0"/>
        <w:autoSpaceDN w:val="0"/>
        <w:adjustRightInd w:val="0"/>
        <w:ind w:firstLine="642"/>
        <w:jc w:val="left"/>
        <w:rPr>
          <w:rFonts w:ascii="黑体" w:hAnsi="黑体" w:eastAsia="黑体"/>
          <w:b/>
          <w:bCs/>
          <w:sz w:val="32"/>
          <w:szCs w:val="32"/>
        </w:rPr>
      </w:pPr>
    </w:p>
    <w:p w14:paraId="16375297">
      <w:pPr>
        <w:autoSpaceDE w:val="0"/>
        <w:autoSpaceDN w:val="0"/>
        <w:adjustRightInd w:val="0"/>
        <w:ind w:firstLine="642"/>
        <w:jc w:val="left"/>
        <w:rPr>
          <w:rFonts w:ascii="黑体" w:hAnsi="黑体" w:eastAsia="黑体"/>
          <w:b/>
          <w:bCs/>
          <w:sz w:val="32"/>
          <w:szCs w:val="32"/>
        </w:rPr>
      </w:pPr>
    </w:p>
    <w:p w14:paraId="0CB3AAC5">
      <w:pPr>
        <w:autoSpaceDE w:val="0"/>
        <w:autoSpaceDN w:val="0"/>
        <w:adjustRightInd w:val="0"/>
        <w:ind w:firstLine="642"/>
        <w:jc w:val="left"/>
        <w:rPr>
          <w:rFonts w:ascii="黑体" w:hAnsi="黑体" w:eastAsia="黑体"/>
          <w:b/>
          <w:bCs/>
          <w:sz w:val="32"/>
          <w:szCs w:val="32"/>
        </w:rPr>
      </w:pPr>
    </w:p>
    <w:p w14:paraId="075AACC7">
      <w:pPr>
        <w:autoSpaceDE w:val="0"/>
        <w:autoSpaceDN w:val="0"/>
        <w:adjustRightInd w:val="0"/>
        <w:ind w:firstLine="642"/>
        <w:jc w:val="left"/>
        <w:rPr>
          <w:rFonts w:ascii="黑体" w:hAnsi="黑体" w:eastAsia="黑体"/>
          <w:b/>
          <w:bCs/>
          <w:sz w:val="32"/>
          <w:szCs w:val="32"/>
        </w:rPr>
      </w:pPr>
    </w:p>
    <w:p w14:paraId="455FF167">
      <w:pPr>
        <w:autoSpaceDE w:val="0"/>
        <w:autoSpaceDN w:val="0"/>
        <w:adjustRightInd w:val="0"/>
        <w:ind w:firstLine="642"/>
        <w:jc w:val="left"/>
        <w:rPr>
          <w:rFonts w:ascii="黑体" w:hAnsi="黑体" w:eastAsia="黑体"/>
          <w:b/>
          <w:bCs/>
          <w:sz w:val="32"/>
          <w:szCs w:val="32"/>
        </w:rPr>
      </w:pPr>
    </w:p>
    <w:p w14:paraId="3A670F21">
      <w:pPr>
        <w:autoSpaceDE w:val="0"/>
        <w:autoSpaceDN w:val="0"/>
        <w:adjustRightInd w:val="0"/>
        <w:jc w:val="left"/>
        <w:rPr>
          <w:rFonts w:ascii="黑体" w:hAnsi="黑体" w:eastAsia="黑体" w:cs="黑体"/>
          <w:b/>
          <w:bCs/>
          <w:sz w:val="32"/>
          <w:szCs w:val="32"/>
        </w:rPr>
      </w:pPr>
      <w:r>
        <w:rPr>
          <w:rFonts w:ascii="黑体" w:hAnsi="黑体" w:eastAsia="黑体" w:cs="黑体"/>
          <w:b/>
          <w:bCs/>
          <w:sz w:val="32"/>
          <w:szCs w:val="32"/>
        </w:rPr>
        <w:t xml:space="preserve">      </w:t>
      </w:r>
    </w:p>
    <w:p w14:paraId="2ED7328B">
      <w:pPr>
        <w:autoSpaceDE w:val="0"/>
        <w:autoSpaceDN w:val="0"/>
        <w:adjustRightInd w:val="0"/>
        <w:jc w:val="left"/>
        <w:rPr>
          <w:rFonts w:ascii="黑体" w:hAnsi="黑体" w:eastAsia="黑体" w:cs="黑体"/>
          <w:b/>
          <w:bCs/>
          <w:sz w:val="32"/>
          <w:szCs w:val="32"/>
        </w:rPr>
      </w:pPr>
    </w:p>
    <w:tbl>
      <w:tblPr>
        <w:tblStyle w:val="4"/>
        <w:tblW w:w="14280" w:type="dxa"/>
        <w:tblInd w:w="-13" w:type="dxa"/>
        <w:tblLayout w:type="fixed"/>
        <w:tblCellMar>
          <w:top w:w="15" w:type="dxa"/>
          <w:left w:w="15" w:type="dxa"/>
          <w:bottom w:w="15" w:type="dxa"/>
          <w:right w:w="15" w:type="dxa"/>
        </w:tblCellMar>
      </w:tblPr>
      <w:tblGrid>
        <w:gridCol w:w="1532"/>
        <w:gridCol w:w="1540"/>
        <w:gridCol w:w="1505"/>
        <w:gridCol w:w="640"/>
        <w:gridCol w:w="724"/>
        <w:gridCol w:w="826"/>
        <w:gridCol w:w="981"/>
        <w:gridCol w:w="1010"/>
        <w:gridCol w:w="927"/>
        <w:gridCol w:w="1001"/>
        <w:gridCol w:w="789"/>
        <w:gridCol w:w="790"/>
        <w:gridCol w:w="920"/>
        <w:gridCol w:w="1095"/>
      </w:tblGrid>
      <w:tr w14:paraId="400EB6E2">
        <w:tblPrEx>
          <w:tblCellMar>
            <w:top w:w="15" w:type="dxa"/>
            <w:left w:w="15" w:type="dxa"/>
            <w:bottom w:w="15" w:type="dxa"/>
            <w:right w:w="15" w:type="dxa"/>
          </w:tblCellMar>
        </w:tblPrEx>
        <w:trPr>
          <w:trHeight w:val="500" w:hRule="atLeast"/>
        </w:trPr>
        <w:tc>
          <w:tcPr>
            <w:tcW w:w="14280" w:type="dxa"/>
            <w:gridSpan w:val="14"/>
            <w:vAlign w:val="center"/>
          </w:tcPr>
          <w:p w14:paraId="61AE8E64">
            <w:pPr>
              <w:widowControl/>
              <w:jc w:val="center"/>
              <w:textAlignment w:val="center"/>
              <w:rPr>
                <w:rFonts w:ascii="微软雅黑" w:hAnsi="微软雅黑" w:eastAsia="微软雅黑"/>
                <w:color w:val="000000"/>
                <w:sz w:val="36"/>
                <w:szCs w:val="36"/>
              </w:rPr>
            </w:pPr>
            <w:r>
              <w:rPr>
                <w:rFonts w:hint="eastAsia" w:ascii="微软雅黑" w:hAnsi="微软雅黑" w:eastAsia="微软雅黑" w:cs="微软雅黑"/>
                <w:color w:val="000000"/>
                <w:kern w:val="0"/>
                <w:sz w:val="36"/>
                <w:szCs w:val="36"/>
              </w:rPr>
              <w:t>部门政府采购预算</w:t>
            </w:r>
          </w:p>
        </w:tc>
      </w:tr>
      <w:tr w14:paraId="41D296C5">
        <w:tblPrEx>
          <w:tblCellMar>
            <w:top w:w="15" w:type="dxa"/>
            <w:left w:w="15" w:type="dxa"/>
            <w:bottom w:w="15" w:type="dxa"/>
            <w:right w:w="15" w:type="dxa"/>
          </w:tblCellMar>
        </w:tblPrEx>
        <w:trPr>
          <w:trHeight w:val="480" w:hRule="atLeast"/>
        </w:trPr>
        <w:tc>
          <w:tcPr>
            <w:tcW w:w="4577" w:type="dxa"/>
            <w:gridSpan w:val="3"/>
            <w:vAlign w:val="center"/>
          </w:tcPr>
          <w:p w14:paraId="2913397C">
            <w:pPr>
              <w:widowControl/>
              <w:jc w:val="center"/>
              <w:textAlignment w:val="center"/>
              <w:rPr>
                <w:rFonts w:ascii="宋体"/>
                <w:color w:val="000000"/>
                <w:sz w:val="22"/>
                <w:szCs w:val="22"/>
              </w:rPr>
            </w:pPr>
            <w:r>
              <w:rPr>
                <w:rFonts w:hint="eastAsia" w:ascii="宋体" w:hAnsi="宋体" w:cs="宋体"/>
                <w:color w:val="000000"/>
                <w:kern w:val="0"/>
                <w:sz w:val="22"/>
                <w:szCs w:val="22"/>
              </w:rPr>
              <w:t>馆陶县工商行政和食品药品监督管理局</w:t>
            </w:r>
          </w:p>
        </w:tc>
        <w:tc>
          <w:tcPr>
            <w:tcW w:w="640" w:type="dxa"/>
            <w:vAlign w:val="center"/>
          </w:tcPr>
          <w:p w14:paraId="1CDE383C">
            <w:pPr>
              <w:rPr>
                <w:rFonts w:ascii="宋体"/>
                <w:color w:val="000000"/>
                <w:sz w:val="22"/>
                <w:szCs w:val="22"/>
              </w:rPr>
            </w:pPr>
          </w:p>
        </w:tc>
        <w:tc>
          <w:tcPr>
            <w:tcW w:w="724" w:type="dxa"/>
            <w:vAlign w:val="center"/>
          </w:tcPr>
          <w:p w14:paraId="11F32B6E">
            <w:pPr>
              <w:rPr>
                <w:rFonts w:ascii="宋体"/>
                <w:color w:val="000000"/>
                <w:sz w:val="22"/>
                <w:szCs w:val="22"/>
              </w:rPr>
            </w:pPr>
          </w:p>
        </w:tc>
        <w:tc>
          <w:tcPr>
            <w:tcW w:w="826" w:type="dxa"/>
            <w:vAlign w:val="center"/>
          </w:tcPr>
          <w:p w14:paraId="7CC45E3F">
            <w:pPr>
              <w:rPr>
                <w:rFonts w:ascii="宋体"/>
                <w:color w:val="000000"/>
                <w:sz w:val="22"/>
                <w:szCs w:val="22"/>
              </w:rPr>
            </w:pPr>
          </w:p>
        </w:tc>
        <w:tc>
          <w:tcPr>
            <w:tcW w:w="981" w:type="dxa"/>
            <w:vAlign w:val="center"/>
          </w:tcPr>
          <w:p w14:paraId="252C7432">
            <w:pPr>
              <w:rPr>
                <w:rFonts w:ascii="宋体"/>
                <w:color w:val="000000"/>
                <w:sz w:val="22"/>
                <w:szCs w:val="22"/>
              </w:rPr>
            </w:pPr>
          </w:p>
        </w:tc>
        <w:tc>
          <w:tcPr>
            <w:tcW w:w="1010" w:type="dxa"/>
            <w:vAlign w:val="center"/>
          </w:tcPr>
          <w:p w14:paraId="0A55D635">
            <w:pPr>
              <w:rPr>
                <w:rFonts w:ascii="宋体"/>
                <w:color w:val="000000"/>
                <w:sz w:val="22"/>
                <w:szCs w:val="22"/>
              </w:rPr>
            </w:pPr>
          </w:p>
        </w:tc>
        <w:tc>
          <w:tcPr>
            <w:tcW w:w="927" w:type="dxa"/>
            <w:vAlign w:val="center"/>
          </w:tcPr>
          <w:p w14:paraId="27A51931">
            <w:pPr>
              <w:rPr>
                <w:rFonts w:ascii="宋体"/>
                <w:color w:val="000000"/>
                <w:sz w:val="22"/>
                <w:szCs w:val="22"/>
              </w:rPr>
            </w:pPr>
          </w:p>
        </w:tc>
        <w:tc>
          <w:tcPr>
            <w:tcW w:w="1001" w:type="dxa"/>
            <w:vAlign w:val="center"/>
          </w:tcPr>
          <w:p w14:paraId="4F0AC474">
            <w:pPr>
              <w:rPr>
                <w:rFonts w:ascii="宋体"/>
                <w:color w:val="000000"/>
                <w:sz w:val="22"/>
                <w:szCs w:val="22"/>
              </w:rPr>
            </w:pPr>
          </w:p>
        </w:tc>
        <w:tc>
          <w:tcPr>
            <w:tcW w:w="1579" w:type="dxa"/>
            <w:gridSpan w:val="2"/>
            <w:vAlign w:val="center"/>
          </w:tcPr>
          <w:p w14:paraId="22EB7E0B">
            <w:pPr>
              <w:widowControl/>
              <w:jc w:val="center"/>
              <w:textAlignment w:val="center"/>
              <w:rPr>
                <w:rFonts w:ascii="宋体"/>
                <w:color w:val="000000"/>
                <w:sz w:val="22"/>
                <w:szCs w:val="22"/>
              </w:rPr>
            </w:pPr>
            <w:r>
              <w:rPr>
                <w:rFonts w:hint="eastAsia" w:ascii="宋体" w:hAnsi="宋体" w:cs="宋体"/>
                <w:color w:val="000000"/>
                <w:kern w:val="0"/>
                <w:sz w:val="22"/>
                <w:szCs w:val="22"/>
              </w:rPr>
              <w:t>单位：万元</w:t>
            </w:r>
          </w:p>
        </w:tc>
        <w:tc>
          <w:tcPr>
            <w:tcW w:w="920" w:type="dxa"/>
            <w:vAlign w:val="center"/>
          </w:tcPr>
          <w:p w14:paraId="39207ED4">
            <w:pPr>
              <w:rPr>
                <w:rFonts w:ascii="宋体"/>
                <w:color w:val="000000"/>
                <w:sz w:val="22"/>
                <w:szCs w:val="22"/>
              </w:rPr>
            </w:pPr>
          </w:p>
        </w:tc>
        <w:tc>
          <w:tcPr>
            <w:tcW w:w="1095" w:type="dxa"/>
            <w:vAlign w:val="center"/>
          </w:tcPr>
          <w:p w14:paraId="04919359">
            <w:pPr>
              <w:rPr>
                <w:rFonts w:ascii="宋体"/>
                <w:color w:val="000000"/>
                <w:sz w:val="22"/>
                <w:szCs w:val="22"/>
              </w:rPr>
            </w:pPr>
          </w:p>
        </w:tc>
      </w:tr>
      <w:tr w14:paraId="66F7230F">
        <w:tblPrEx>
          <w:tblCellMar>
            <w:top w:w="15" w:type="dxa"/>
            <w:left w:w="15" w:type="dxa"/>
            <w:bottom w:w="15" w:type="dxa"/>
            <w:right w:w="15" w:type="dxa"/>
          </w:tblCellMar>
        </w:tblPrEx>
        <w:trPr>
          <w:trHeight w:val="460" w:hRule="atLeast"/>
        </w:trPr>
        <w:tc>
          <w:tcPr>
            <w:tcW w:w="3072" w:type="dxa"/>
            <w:gridSpan w:val="2"/>
            <w:tcBorders>
              <w:top w:val="single" w:color="000000" w:sz="4" w:space="0"/>
              <w:left w:val="single" w:color="000000" w:sz="4" w:space="0"/>
              <w:bottom w:val="single" w:color="000000" w:sz="4" w:space="0"/>
              <w:right w:val="single" w:color="000000" w:sz="4" w:space="0"/>
            </w:tcBorders>
            <w:vAlign w:val="center"/>
          </w:tcPr>
          <w:p w14:paraId="69446437">
            <w:pPr>
              <w:widowControl/>
              <w:jc w:val="center"/>
              <w:textAlignment w:val="center"/>
              <w:rPr>
                <w:rFonts w:ascii="宋体"/>
                <w:b/>
                <w:bCs/>
                <w:color w:val="000000"/>
                <w:sz w:val="22"/>
                <w:szCs w:val="22"/>
              </w:rPr>
            </w:pPr>
            <w:r>
              <w:rPr>
                <w:rFonts w:hint="eastAsia" w:ascii="宋体" w:hAnsi="宋体" w:cs="宋体"/>
                <w:b/>
                <w:bCs/>
                <w:color w:val="000000"/>
                <w:kern w:val="0"/>
                <w:sz w:val="22"/>
                <w:szCs w:val="22"/>
              </w:rPr>
              <w:t>政府采购项目来源</w:t>
            </w:r>
          </w:p>
        </w:tc>
        <w:tc>
          <w:tcPr>
            <w:tcW w:w="1505" w:type="dxa"/>
            <w:vMerge w:val="restart"/>
            <w:tcBorders>
              <w:top w:val="single" w:color="000000" w:sz="4" w:space="0"/>
              <w:left w:val="single" w:color="000000" w:sz="4" w:space="0"/>
              <w:bottom w:val="single" w:color="000000" w:sz="4" w:space="0"/>
              <w:right w:val="single" w:color="000000" w:sz="4" w:space="0"/>
            </w:tcBorders>
            <w:vAlign w:val="center"/>
          </w:tcPr>
          <w:p w14:paraId="640F5913">
            <w:pPr>
              <w:widowControl/>
              <w:jc w:val="center"/>
              <w:textAlignment w:val="center"/>
              <w:rPr>
                <w:rFonts w:ascii="宋体"/>
                <w:b/>
                <w:bCs/>
                <w:color w:val="000000"/>
                <w:sz w:val="22"/>
                <w:szCs w:val="22"/>
              </w:rPr>
            </w:pPr>
            <w:r>
              <w:rPr>
                <w:rFonts w:hint="eastAsia" w:ascii="宋体" w:hAnsi="宋体" w:cs="宋体"/>
                <w:b/>
                <w:bCs/>
                <w:color w:val="000000"/>
                <w:kern w:val="0"/>
                <w:sz w:val="22"/>
                <w:szCs w:val="22"/>
              </w:rPr>
              <w:t>采购物品名称</w:t>
            </w:r>
          </w:p>
        </w:tc>
        <w:tc>
          <w:tcPr>
            <w:tcW w:w="640" w:type="dxa"/>
            <w:vMerge w:val="restart"/>
            <w:tcBorders>
              <w:top w:val="single" w:color="000000" w:sz="4" w:space="0"/>
              <w:left w:val="single" w:color="000000" w:sz="4" w:space="0"/>
              <w:bottom w:val="single" w:color="000000" w:sz="4" w:space="0"/>
              <w:right w:val="single" w:color="000000" w:sz="4" w:space="0"/>
            </w:tcBorders>
            <w:vAlign w:val="center"/>
          </w:tcPr>
          <w:p w14:paraId="2B3442D5">
            <w:pPr>
              <w:widowControl/>
              <w:jc w:val="center"/>
              <w:textAlignment w:val="center"/>
              <w:rPr>
                <w:rFonts w:ascii="宋体"/>
                <w:b/>
                <w:bCs/>
                <w:color w:val="000000"/>
                <w:sz w:val="22"/>
                <w:szCs w:val="22"/>
              </w:rPr>
            </w:pPr>
            <w:r>
              <w:rPr>
                <w:rFonts w:hint="eastAsia" w:ascii="宋体" w:hAnsi="宋体" w:cs="宋体"/>
                <w:b/>
                <w:bCs/>
                <w:color w:val="000000"/>
                <w:kern w:val="0"/>
                <w:sz w:val="22"/>
                <w:szCs w:val="22"/>
              </w:rPr>
              <w:t>政府采购目录序号</w:t>
            </w:r>
          </w:p>
        </w:tc>
        <w:tc>
          <w:tcPr>
            <w:tcW w:w="724" w:type="dxa"/>
            <w:vMerge w:val="restart"/>
            <w:tcBorders>
              <w:top w:val="single" w:color="000000" w:sz="4" w:space="0"/>
              <w:left w:val="single" w:color="000000" w:sz="4" w:space="0"/>
              <w:bottom w:val="single" w:color="000000" w:sz="4" w:space="0"/>
              <w:right w:val="single" w:color="000000" w:sz="4" w:space="0"/>
            </w:tcBorders>
            <w:vAlign w:val="center"/>
          </w:tcPr>
          <w:p w14:paraId="5989FFAF">
            <w:pPr>
              <w:widowControl/>
              <w:jc w:val="center"/>
              <w:textAlignment w:val="center"/>
              <w:rPr>
                <w:rFonts w:ascii="宋体"/>
                <w:b/>
                <w:bCs/>
                <w:color w:val="000000"/>
                <w:sz w:val="22"/>
                <w:szCs w:val="22"/>
              </w:rPr>
            </w:pPr>
            <w:r>
              <w:rPr>
                <w:rFonts w:hint="eastAsia" w:ascii="宋体" w:hAnsi="宋体" w:cs="宋体"/>
                <w:b/>
                <w:bCs/>
                <w:color w:val="000000"/>
                <w:kern w:val="0"/>
                <w:sz w:val="22"/>
                <w:szCs w:val="22"/>
              </w:rPr>
              <w:t>数量</w:t>
            </w:r>
            <w:r>
              <w:rPr>
                <w:rFonts w:ascii="宋体"/>
                <w:b/>
                <w:bCs/>
                <w:color w:val="000000"/>
                <w:kern w:val="0"/>
                <w:sz w:val="22"/>
                <w:szCs w:val="22"/>
              </w:rPr>
              <w:br w:type="textWrapping"/>
            </w:r>
            <w:r>
              <w:rPr>
                <w:rFonts w:hint="eastAsia" w:ascii="宋体" w:hAnsi="宋体" w:cs="宋体"/>
                <w:b/>
                <w:bCs/>
                <w:color w:val="000000"/>
                <w:kern w:val="0"/>
                <w:sz w:val="22"/>
                <w:szCs w:val="22"/>
              </w:rPr>
              <w:t>单位</w:t>
            </w:r>
          </w:p>
        </w:tc>
        <w:tc>
          <w:tcPr>
            <w:tcW w:w="826" w:type="dxa"/>
            <w:vMerge w:val="restart"/>
            <w:tcBorders>
              <w:top w:val="single" w:color="000000" w:sz="4" w:space="0"/>
              <w:left w:val="single" w:color="000000" w:sz="4" w:space="0"/>
              <w:bottom w:val="single" w:color="000000" w:sz="4" w:space="0"/>
              <w:right w:val="single" w:color="000000" w:sz="4" w:space="0"/>
            </w:tcBorders>
            <w:vAlign w:val="center"/>
          </w:tcPr>
          <w:p w14:paraId="23F8C10F">
            <w:pPr>
              <w:widowControl/>
              <w:jc w:val="center"/>
              <w:textAlignment w:val="center"/>
              <w:rPr>
                <w:rFonts w:ascii="宋体"/>
                <w:b/>
                <w:bCs/>
                <w:color w:val="000000"/>
                <w:sz w:val="22"/>
                <w:szCs w:val="22"/>
              </w:rPr>
            </w:pPr>
            <w:r>
              <w:rPr>
                <w:rFonts w:hint="eastAsia" w:ascii="宋体" w:hAnsi="宋体" w:cs="宋体"/>
                <w:b/>
                <w:bCs/>
                <w:color w:val="000000"/>
                <w:kern w:val="0"/>
                <w:sz w:val="22"/>
                <w:szCs w:val="22"/>
              </w:rPr>
              <w:t>数量</w:t>
            </w:r>
          </w:p>
        </w:tc>
        <w:tc>
          <w:tcPr>
            <w:tcW w:w="981" w:type="dxa"/>
            <w:vMerge w:val="restart"/>
            <w:tcBorders>
              <w:top w:val="single" w:color="000000" w:sz="4" w:space="0"/>
              <w:left w:val="single" w:color="000000" w:sz="4" w:space="0"/>
              <w:bottom w:val="single" w:color="000000" w:sz="4" w:space="0"/>
              <w:right w:val="single" w:color="000000" w:sz="4" w:space="0"/>
            </w:tcBorders>
            <w:vAlign w:val="center"/>
          </w:tcPr>
          <w:p w14:paraId="20572D4B">
            <w:pPr>
              <w:widowControl/>
              <w:jc w:val="center"/>
              <w:textAlignment w:val="center"/>
              <w:rPr>
                <w:rFonts w:ascii="宋体"/>
                <w:b/>
                <w:bCs/>
                <w:color w:val="000000"/>
                <w:sz w:val="22"/>
                <w:szCs w:val="22"/>
              </w:rPr>
            </w:pPr>
            <w:r>
              <w:rPr>
                <w:rFonts w:hint="eastAsia" w:ascii="宋体" w:hAnsi="宋体" w:cs="宋体"/>
                <w:b/>
                <w:bCs/>
                <w:color w:val="000000"/>
                <w:kern w:val="0"/>
                <w:sz w:val="22"/>
                <w:szCs w:val="22"/>
              </w:rPr>
              <w:t>单价</w:t>
            </w:r>
          </w:p>
        </w:tc>
        <w:tc>
          <w:tcPr>
            <w:tcW w:w="6532" w:type="dxa"/>
            <w:gridSpan w:val="7"/>
            <w:tcBorders>
              <w:top w:val="single" w:color="000000" w:sz="4" w:space="0"/>
              <w:left w:val="single" w:color="000000" w:sz="4" w:space="0"/>
              <w:bottom w:val="single" w:color="000000" w:sz="4" w:space="0"/>
              <w:right w:val="single" w:color="000000" w:sz="4" w:space="0"/>
            </w:tcBorders>
            <w:vAlign w:val="center"/>
          </w:tcPr>
          <w:p w14:paraId="52572BFF">
            <w:pPr>
              <w:widowControl/>
              <w:jc w:val="center"/>
              <w:textAlignment w:val="center"/>
              <w:rPr>
                <w:rFonts w:ascii="宋体"/>
                <w:b/>
                <w:bCs/>
                <w:color w:val="000000"/>
                <w:sz w:val="22"/>
                <w:szCs w:val="22"/>
              </w:rPr>
            </w:pPr>
            <w:r>
              <w:rPr>
                <w:rFonts w:hint="eastAsia" w:ascii="宋体" w:hAnsi="宋体" w:cs="宋体"/>
                <w:b/>
                <w:bCs/>
                <w:color w:val="000000"/>
                <w:kern w:val="0"/>
                <w:sz w:val="22"/>
                <w:szCs w:val="22"/>
              </w:rPr>
              <w:t>政府采购金额</w:t>
            </w:r>
          </w:p>
        </w:tc>
      </w:tr>
      <w:tr w14:paraId="78FAB03E">
        <w:tblPrEx>
          <w:tblCellMar>
            <w:top w:w="15" w:type="dxa"/>
            <w:left w:w="15" w:type="dxa"/>
            <w:bottom w:w="15" w:type="dxa"/>
            <w:right w:w="15" w:type="dxa"/>
          </w:tblCellMar>
        </w:tblPrEx>
        <w:trPr>
          <w:trHeight w:val="191" w:hRule="atLeast"/>
        </w:trPr>
        <w:tc>
          <w:tcPr>
            <w:tcW w:w="1532" w:type="dxa"/>
            <w:vMerge w:val="restart"/>
            <w:tcBorders>
              <w:top w:val="single" w:color="000000" w:sz="4" w:space="0"/>
              <w:left w:val="single" w:color="000000" w:sz="4" w:space="0"/>
              <w:bottom w:val="single" w:color="000000" w:sz="4" w:space="0"/>
              <w:right w:val="single" w:color="000000" w:sz="4" w:space="0"/>
            </w:tcBorders>
            <w:vAlign w:val="center"/>
          </w:tcPr>
          <w:p w14:paraId="7956EA10">
            <w:pPr>
              <w:widowControl/>
              <w:jc w:val="center"/>
              <w:textAlignment w:val="center"/>
              <w:rPr>
                <w:rFonts w:ascii="宋体"/>
                <w:b/>
                <w:bCs/>
                <w:color w:val="000000"/>
                <w:sz w:val="22"/>
                <w:szCs w:val="22"/>
              </w:rPr>
            </w:pPr>
            <w:r>
              <w:rPr>
                <w:rFonts w:hint="eastAsia" w:ascii="宋体" w:hAnsi="宋体" w:cs="宋体"/>
                <w:b/>
                <w:bCs/>
                <w:color w:val="000000"/>
                <w:kern w:val="0"/>
                <w:sz w:val="22"/>
                <w:szCs w:val="22"/>
              </w:rPr>
              <w:t>项目名称</w:t>
            </w:r>
          </w:p>
        </w:tc>
        <w:tc>
          <w:tcPr>
            <w:tcW w:w="1540" w:type="dxa"/>
            <w:vMerge w:val="restart"/>
            <w:tcBorders>
              <w:top w:val="single" w:color="000000" w:sz="4" w:space="0"/>
              <w:left w:val="single" w:color="000000" w:sz="4" w:space="0"/>
              <w:bottom w:val="single" w:color="000000" w:sz="4" w:space="0"/>
              <w:right w:val="single" w:color="000000" w:sz="4" w:space="0"/>
            </w:tcBorders>
            <w:vAlign w:val="center"/>
          </w:tcPr>
          <w:p w14:paraId="6138060D">
            <w:pPr>
              <w:widowControl/>
              <w:jc w:val="center"/>
              <w:textAlignment w:val="center"/>
              <w:rPr>
                <w:rFonts w:ascii="宋体"/>
                <w:b/>
                <w:bCs/>
                <w:color w:val="000000"/>
                <w:sz w:val="22"/>
                <w:szCs w:val="22"/>
              </w:rPr>
            </w:pPr>
            <w:r>
              <w:rPr>
                <w:rFonts w:hint="eastAsia" w:ascii="宋体" w:hAnsi="宋体" w:cs="宋体"/>
                <w:b/>
                <w:bCs/>
                <w:color w:val="000000"/>
                <w:kern w:val="0"/>
                <w:sz w:val="22"/>
                <w:szCs w:val="22"/>
              </w:rPr>
              <w:t>预算资金</w:t>
            </w:r>
          </w:p>
        </w:tc>
        <w:tc>
          <w:tcPr>
            <w:tcW w:w="1505" w:type="dxa"/>
            <w:vMerge w:val="continue"/>
            <w:tcBorders>
              <w:top w:val="single" w:color="000000" w:sz="4" w:space="0"/>
              <w:left w:val="single" w:color="000000" w:sz="4" w:space="0"/>
              <w:bottom w:val="single" w:color="000000" w:sz="4" w:space="0"/>
              <w:right w:val="single" w:color="000000" w:sz="4" w:space="0"/>
            </w:tcBorders>
            <w:vAlign w:val="center"/>
          </w:tcPr>
          <w:p w14:paraId="1B8359E5">
            <w:pPr>
              <w:jc w:val="center"/>
              <w:rPr>
                <w:rFonts w:ascii="宋体"/>
                <w:b/>
                <w:bCs/>
                <w:color w:val="000000"/>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vAlign w:val="center"/>
          </w:tcPr>
          <w:p w14:paraId="5D2E3B66">
            <w:pPr>
              <w:jc w:val="center"/>
              <w:rPr>
                <w:rFonts w:ascii="宋体"/>
                <w:b/>
                <w:bCs/>
                <w:color w:val="000000"/>
                <w:sz w:val="22"/>
                <w:szCs w:val="22"/>
              </w:rPr>
            </w:pPr>
          </w:p>
        </w:tc>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485BE97F">
            <w:pPr>
              <w:jc w:val="center"/>
              <w:rPr>
                <w:rFonts w:ascii="宋体"/>
                <w:b/>
                <w:bCs/>
                <w:color w:val="000000"/>
                <w:sz w:val="22"/>
                <w:szCs w:val="22"/>
              </w:rPr>
            </w:pPr>
          </w:p>
        </w:tc>
        <w:tc>
          <w:tcPr>
            <w:tcW w:w="826" w:type="dxa"/>
            <w:vMerge w:val="continue"/>
            <w:tcBorders>
              <w:top w:val="single" w:color="000000" w:sz="4" w:space="0"/>
              <w:left w:val="single" w:color="000000" w:sz="4" w:space="0"/>
              <w:bottom w:val="single" w:color="000000" w:sz="4" w:space="0"/>
              <w:right w:val="single" w:color="000000" w:sz="4" w:space="0"/>
            </w:tcBorders>
            <w:vAlign w:val="center"/>
          </w:tcPr>
          <w:p w14:paraId="5B6896BE">
            <w:pPr>
              <w:jc w:val="center"/>
              <w:rPr>
                <w:rFonts w:ascii="宋体"/>
                <w:b/>
                <w:bCs/>
                <w:color w:val="000000"/>
                <w:sz w:val="22"/>
                <w:szCs w:val="22"/>
              </w:rPr>
            </w:pPr>
          </w:p>
        </w:tc>
        <w:tc>
          <w:tcPr>
            <w:tcW w:w="981" w:type="dxa"/>
            <w:vMerge w:val="continue"/>
            <w:tcBorders>
              <w:top w:val="single" w:color="000000" w:sz="4" w:space="0"/>
              <w:left w:val="single" w:color="000000" w:sz="4" w:space="0"/>
              <w:bottom w:val="single" w:color="000000" w:sz="4" w:space="0"/>
              <w:right w:val="single" w:color="000000" w:sz="4" w:space="0"/>
            </w:tcBorders>
            <w:vAlign w:val="center"/>
          </w:tcPr>
          <w:p w14:paraId="648F1279">
            <w:pPr>
              <w:jc w:val="center"/>
              <w:rPr>
                <w:rFonts w:ascii="宋体"/>
                <w:b/>
                <w:bCs/>
                <w:color w:val="000000"/>
                <w:sz w:val="22"/>
                <w:szCs w:val="22"/>
              </w:rPr>
            </w:pPr>
          </w:p>
        </w:tc>
        <w:tc>
          <w:tcPr>
            <w:tcW w:w="1010" w:type="dxa"/>
            <w:vMerge w:val="restart"/>
            <w:tcBorders>
              <w:top w:val="single" w:color="000000" w:sz="4" w:space="0"/>
              <w:left w:val="single" w:color="000000" w:sz="4" w:space="0"/>
              <w:bottom w:val="single" w:color="000000" w:sz="4" w:space="0"/>
              <w:right w:val="single" w:color="000000" w:sz="4" w:space="0"/>
            </w:tcBorders>
            <w:vAlign w:val="center"/>
          </w:tcPr>
          <w:p w14:paraId="4404B256">
            <w:pPr>
              <w:widowControl/>
              <w:jc w:val="center"/>
              <w:textAlignment w:val="center"/>
              <w:rPr>
                <w:rFonts w:ascii="宋体"/>
                <w:b/>
                <w:bCs/>
                <w:color w:val="000000"/>
                <w:sz w:val="22"/>
                <w:szCs w:val="22"/>
              </w:rPr>
            </w:pPr>
            <w:r>
              <w:rPr>
                <w:rFonts w:hint="eastAsia" w:ascii="宋体" w:hAnsi="宋体" w:cs="宋体"/>
                <w:b/>
                <w:bCs/>
                <w:color w:val="000000"/>
                <w:kern w:val="0"/>
                <w:sz w:val="22"/>
                <w:szCs w:val="22"/>
              </w:rPr>
              <w:t>总计</w:t>
            </w:r>
          </w:p>
        </w:tc>
        <w:tc>
          <w:tcPr>
            <w:tcW w:w="4427" w:type="dxa"/>
            <w:gridSpan w:val="5"/>
            <w:tcBorders>
              <w:top w:val="single" w:color="000000" w:sz="4" w:space="0"/>
              <w:left w:val="single" w:color="000000" w:sz="4" w:space="0"/>
              <w:bottom w:val="single" w:color="000000" w:sz="4" w:space="0"/>
              <w:right w:val="single" w:color="000000" w:sz="4" w:space="0"/>
            </w:tcBorders>
            <w:vAlign w:val="center"/>
          </w:tcPr>
          <w:p w14:paraId="456C98BA">
            <w:pPr>
              <w:widowControl/>
              <w:jc w:val="center"/>
              <w:textAlignment w:val="center"/>
              <w:rPr>
                <w:rFonts w:ascii="宋体"/>
                <w:b/>
                <w:bCs/>
                <w:color w:val="000000"/>
                <w:sz w:val="22"/>
                <w:szCs w:val="22"/>
              </w:rPr>
            </w:pPr>
            <w:r>
              <w:rPr>
                <w:rFonts w:hint="eastAsia" w:ascii="宋体" w:hAnsi="宋体" w:cs="宋体"/>
                <w:b/>
                <w:bCs/>
                <w:color w:val="000000"/>
                <w:kern w:val="0"/>
                <w:sz w:val="22"/>
                <w:szCs w:val="22"/>
              </w:rPr>
              <w:t>当年部门预算安排资金</w:t>
            </w:r>
          </w:p>
        </w:tc>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5B069221">
            <w:pPr>
              <w:widowControl/>
              <w:jc w:val="center"/>
              <w:textAlignment w:val="center"/>
              <w:rPr>
                <w:rFonts w:ascii="宋体"/>
                <w:b/>
                <w:bCs/>
                <w:color w:val="000000"/>
                <w:sz w:val="22"/>
                <w:szCs w:val="22"/>
              </w:rPr>
            </w:pPr>
            <w:r>
              <w:rPr>
                <w:rFonts w:hint="eastAsia" w:ascii="宋体" w:hAnsi="宋体" w:cs="宋体"/>
                <w:b/>
                <w:bCs/>
                <w:color w:val="000000"/>
                <w:kern w:val="0"/>
                <w:sz w:val="22"/>
                <w:szCs w:val="22"/>
              </w:rPr>
              <w:t>其他渠道资金</w:t>
            </w:r>
          </w:p>
        </w:tc>
      </w:tr>
      <w:tr w14:paraId="3ECE8ECA">
        <w:tblPrEx>
          <w:tblCellMar>
            <w:top w:w="15" w:type="dxa"/>
            <w:left w:w="15" w:type="dxa"/>
            <w:bottom w:w="15" w:type="dxa"/>
            <w:right w:w="15" w:type="dxa"/>
          </w:tblCellMar>
        </w:tblPrEx>
        <w:trPr>
          <w:trHeight w:val="1160" w:hRule="atLeast"/>
        </w:trPr>
        <w:tc>
          <w:tcPr>
            <w:tcW w:w="1532" w:type="dxa"/>
            <w:vMerge w:val="continue"/>
            <w:tcBorders>
              <w:top w:val="single" w:color="000000" w:sz="4" w:space="0"/>
              <w:left w:val="single" w:color="000000" w:sz="4" w:space="0"/>
              <w:bottom w:val="single" w:color="000000" w:sz="4" w:space="0"/>
              <w:right w:val="single" w:color="000000" w:sz="4" w:space="0"/>
            </w:tcBorders>
            <w:vAlign w:val="center"/>
          </w:tcPr>
          <w:p w14:paraId="1F629A58">
            <w:pPr>
              <w:jc w:val="center"/>
              <w:rPr>
                <w:rFonts w:ascii="宋体"/>
                <w:b/>
                <w:bCs/>
                <w:color w:val="000000"/>
                <w:sz w:val="22"/>
                <w:szCs w:val="22"/>
              </w:rPr>
            </w:pPr>
          </w:p>
        </w:tc>
        <w:tc>
          <w:tcPr>
            <w:tcW w:w="1540" w:type="dxa"/>
            <w:vMerge w:val="continue"/>
            <w:tcBorders>
              <w:top w:val="single" w:color="000000" w:sz="4" w:space="0"/>
              <w:left w:val="single" w:color="000000" w:sz="4" w:space="0"/>
              <w:bottom w:val="single" w:color="000000" w:sz="4" w:space="0"/>
              <w:right w:val="single" w:color="000000" w:sz="4" w:space="0"/>
            </w:tcBorders>
            <w:vAlign w:val="center"/>
          </w:tcPr>
          <w:p w14:paraId="0EF0662A">
            <w:pPr>
              <w:jc w:val="center"/>
              <w:rPr>
                <w:rFonts w:ascii="宋体"/>
                <w:b/>
                <w:bCs/>
                <w:color w:val="000000"/>
                <w:sz w:val="22"/>
                <w:szCs w:val="22"/>
              </w:rPr>
            </w:pPr>
          </w:p>
        </w:tc>
        <w:tc>
          <w:tcPr>
            <w:tcW w:w="1505" w:type="dxa"/>
            <w:vMerge w:val="continue"/>
            <w:tcBorders>
              <w:top w:val="single" w:color="000000" w:sz="4" w:space="0"/>
              <w:left w:val="single" w:color="000000" w:sz="4" w:space="0"/>
              <w:bottom w:val="single" w:color="000000" w:sz="4" w:space="0"/>
              <w:right w:val="single" w:color="000000" w:sz="4" w:space="0"/>
            </w:tcBorders>
            <w:vAlign w:val="center"/>
          </w:tcPr>
          <w:p w14:paraId="105F14CA">
            <w:pPr>
              <w:jc w:val="center"/>
              <w:rPr>
                <w:rFonts w:ascii="宋体"/>
                <w:b/>
                <w:bCs/>
                <w:color w:val="000000"/>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vAlign w:val="center"/>
          </w:tcPr>
          <w:p w14:paraId="4AE6D98B">
            <w:pPr>
              <w:jc w:val="center"/>
              <w:rPr>
                <w:rFonts w:ascii="宋体"/>
                <w:b/>
                <w:bCs/>
                <w:color w:val="000000"/>
                <w:sz w:val="22"/>
                <w:szCs w:val="22"/>
              </w:rPr>
            </w:pPr>
          </w:p>
        </w:tc>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00FD682D">
            <w:pPr>
              <w:jc w:val="center"/>
              <w:rPr>
                <w:rFonts w:ascii="宋体"/>
                <w:b/>
                <w:bCs/>
                <w:color w:val="000000"/>
                <w:sz w:val="22"/>
                <w:szCs w:val="22"/>
              </w:rPr>
            </w:pPr>
          </w:p>
        </w:tc>
        <w:tc>
          <w:tcPr>
            <w:tcW w:w="826" w:type="dxa"/>
            <w:vMerge w:val="continue"/>
            <w:tcBorders>
              <w:top w:val="single" w:color="000000" w:sz="4" w:space="0"/>
              <w:left w:val="single" w:color="000000" w:sz="4" w:space="0"/>
              <w:bottom w:val="single" w:color="000000" w:sz="4" w:space="0"/>
              <w:right w:val="single" w:color="000000" w:sz="4" w:space="0"/>
            </w:tcBorders>
            <w:vAlign w:val="center"/>
          </w:tcPr>
          <w:p w14:paraId="32927B9B">
            <w:pPr>
              <w:jc w:val="center"/>
              <w:rPr>
                <w:rFonts w:ascii="宋体"/>
                <w:b/>
                <w:bCs/>
                <w:color w:val="000000"/>
                <w:sz w:val="22"/>
                <w:szCs w:val="22"/>
              </w:rPr>
            </w:pPr>
          </w:p>
        </w:tc>
        <w:tc>
          <w:tcPr>
            <w:tcW w:w="981" w:type="dxa"/>
            <w:vMerge w:val="continue"/>
            <w:tcBorders>
              <w:top w:val="single" w:color="000000" w:sz="4" w:space="0"/>
              <w:left w:val="single" w:color="000000" w:sz="4" w:space="0"/>
              <w:bottom w:val="single" w:color="000000" w:sz="4" w:space="0"/>
              <w:right w:val="single" w:color="000000" w:sz="4" w:space="0"/>
            </w:tcBorders>
            <w:vAlign w:val="center"/>
          </w:tcPr>
          <w:p w14:paraId="5A83D0CB">
            <w:pPr>
              <w:jc w:val="center"/>
              <w:rPr>
                <w:rFonts w:ascii="宋体"/>
                <w:b/>
                <w:bCs/>
                <w:color w:val="000000"/>
                <w:sz w:val="22"/>
                <w:szCs w:val="22"/>
              </w:rPr>
            </w:pPr>
          </w:p>
        </w:tc>
        <w:tc>
          <w:tcPr>
            <w:tcW w:w="1010" w:type="dxa"/>
            <w:vMerge w:val="continue"/>
            <w:tcBorders>
              <w:top w:val="single" w:color="000000" w:sz="4" w:space="0"/>
              <w:left w:val="single" w:color="000000" w:sz="4" w:space="0"/>
              <w:bottom w:val="single" w:color="000000" w:sz="4" w:space="0"/>
              <w:right w:val="single" w:color="000000" w:sz="4" w:space="0"/>
            </w:tcBorders>
            <w:vAlign w:val="center"/>
          </w:tcPr>
          <w:p w14:paraId="734E230F">
            <w:pPr>
              <w:jc w:val="center"/>
              <w:rPr>
                <w:rFonts w:ascii="宋体"/>
                <w:b/>
                <w:bCs/>
                <w:color w:val="000000"/>
                <w:sz w:val="22"/>
                <w:szCs w:val="22"/>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09C694E6">
            <w:pPr>
              <w:widowControl/>
              <w:jc w:val="left"/>
              <w:textAlignment w:val="center"/>
              <w:rPr>
                <w:rFonts w:ascii="宋体"/>
                <w:b/>
                <w:bCs/>
                <w:color w:val="000000"/>
                <w:sz w:val="22"/>
                <w:szCs w:val="22"/>
              </w:rPr>
            </w:pPr>
            <w:r>
              <w:rPr>
                <w:rFonts w:hint="eastAsia" w:ascii="宋体" w:hAnsi="宋体" w:cs="宋体"/>
                <w:b/>
                <w:bCs/>
                <w:color w:val="000000"/>
                <w:kern w:val="0"/>
                <w:sz w:val="22"/>
                <w:szCs w:val="22"/>
              </w:rPr>
              <w:t>合计</w:t>
            </w:r>
          </w:p>
        </w:tc>
        <w:tc>
          <w:tcPr>
            <w:tcW w:w="1001" w:type="dxa"/>
            <w:tcBorders>
              <w:top w:val="single" w:color="000000" w:sz="4" w:space="0"/>
              <w:left w:val="single" w:color="000000" w:sz="4" w:space="0"/>
              <w:bottom w:val="single" w:color="000000" w:sz="4" w:space="0"/>
              <w:right w:val="single" w:color="000000" w:sz="4" w:space="0"/>
            </w:tcBorders>
            <w:vAlign w:val="center"/>
          </w:tcPr>
          <w:p w14:paraId="1EE9CCE6">
            <w:pPr>
              <w:widowControl/>
              <w:jc w:val="left"/>
              <w:textAlignment w:val="center"/>
              <w:rPr>
                <w:rFonts w:ascii="宋体"/>
                <w:b/>
                <w:bCs/>
                <w:color w:val="000000"/>
                <w:sz w:val="22"/>
                <w:szCs w:val="22"/>
              </w:rPr>
            </w:pPr>
            <w:r>
              <w:rPr>
                <w:rFonts w:hint="eastAsia" w:ascii="宋体" w:hAnsi="宋体" w:cs="宋体"/>
                <w:b/>
                <w:bCs/>
                <w:color w:val="000000"/>
                <w:kern w:val="0"/>
                <w:sz w:val="22"/>
                <w:szCs w:val="22"/>
              </w:rPr>
              <w:t>一般公共预算拨款</w:t>
            </w:r>
          </w:p>
        </w:tc>
        <w:tc>
          <w:tcPr>
            <w:tcW w:w="789" w:type="dxa"/>
            <w:tcBorders>
              <w:top w:val="single" w:color="000000" w:sz="4" w:space="0"/>
              <w:left w:val="single" w:color="000000" w:sz="4" w:space="0"/>
              <w:bottom w:val="single" w:color="000000" w:sz="4" w:space="0"/>
              <w:right w:val="single" w:color="000000" w:sz="4" w:space="0"/>
            </w:tcBorders>
            <w:vAlign w:val="center"/>
          </w:tcPr>
          <w:p w14:paraId="2515A0EB">
            <w:pPr>
              <w:widowControl/>
              <w:jc w:val="left"/>
              <w:textAlignment w:val="center"/>
              <w:rPr>
                <w:rFonts w:ascii="宋体"/>
                <w:b/>
                <w:bCs/>
                <w:color w:val="000000"/>
                <w:sz w:val="22"/>
                <w:szCs w:val="22"/>
              </w:rPr>
            </w:pPr>
            <w:r>
              <w:rPr>
                <w:rFonts w:hint="eastAsia" w:ascii="宋体" w:hAnsi="宋体" w:cs="宋体"/>
                <w:b/>
                <w:bCs/>
                <w:color w:val="000000"/>
                <w:kern w:val="0"/>
                <w:sz w:val="22"/>
                <w:szCs w:val="22"/>
              </w:rPr>
              <w:t>基金预算拨款</w:t>
            </w:r>
          </w:p>
        </w:tc>
        <w:tc>
          <w:tcPr>
            <w:tcW w:w="790" w:type="dxa"/>
            <w:tcBorders>
              <w:top w:val="single" w:color="000000" w:sz="4" w:space="0"/>
              <w:left w:val="single" w:color="000000" w:sz="4" w:space="0"/>
              <w:bottom w:val="single" w:color="000000" w:sz="4" w:space="0"/>
              <w:right w:val="single" w:color="000000" w:sz="4" w:space="0"/>
            </w:tcBorders>
            <w:vAlign w:val="center"/>
          </w:tcPr>
          <w:p w14:paraId="1D5ECCEA">
            <w:pPr>
              <w:widowControl/>
              <w:jc w:val="left"/>
              <w:textAlignment w:val="center"/>
              <w:rPr>
                <w:rFonts w:ascii="宋体"/>
                <w:b/>
                <w:bCs/>
                <w:color w:val="000000"/>
                <w:sz w:val="22"/>
                <w:szCs w:val="22"/>
              </w:rPr>
            </w:pPr>
            <w:r>
              <w:rPr>
                <w:rFonts w:hint="eastAsia" w:ascii="宋体" w:hAnsi="宋体" w:cs="宋体"/>
                <w:b/>
                <w:bCs/>
                <w:color w:val="000000"/>
                <w:kern w:val="0"/>
                <w:sz w:val="22"/>
                <w:szCs w:val="22"/>
              </w:rPr>
              <w:t>财政专户核拨</w:t>
            </w:r>
          </w:p>
        </w:tc>
        <w:tc>
          <w:tcPr>
            <w:tcW w:w="920" w:type="dxa"/>
            <w:tcBorders>
              <w:top w:val="single" w:color="000000" w:sz="4" w:space="0"/>
              <w:left w:val="single" w:color="000000" w:sz="4" w:space="0"/>
              <w:bottom w:val="single" w:color="000000" w:sz="4" w:space="0"/>
              <w:right w:val="single" w:color="000000" w:sz="4" w:space="0"/>
            </w:tcBorders>
            <w:vAlign w:val="center"/>
          </w:tcPr>
          <w:p w14:paraId="2A04DE74">
            <w:pPr>
              <w:widowControl/>
              <w:jc w:val="left"/>
              <w:textAlignment w:val="center"/>
              <w:rPr>
                <w:rFonts w:ascii="宋体"/>
                <w:b/>
                <w:bCs/>
                <w:color w:val="000000"/>
                <w:sz w:val="22"/>
                <w:szCs w:val="22"/>
              </w:rPr>
            </w:pPr>
            <w:r>
              <w:rPr>
                <w:rFonts w:hint="eastAsia" w:ascii="宋体" w:hAnsi="宋体" w:cs="宋体"/>
                <w:b/>
                <w:bCs/>
                <w:color w:val="000000"/>
                <w:kern w:val="0"/>
                <w:sz w:val="22"/>
                <w:szCs w:val="22"/>
              </w:rPr>
              <w:t>其他来源收入</w:t>
            </w: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2885F767">
            <w:pPr>
              <w:jc w:val="center"/>
              <w:rPr>
                <w:rFonts w:ascii="宋体"/>
                <w:b/>
                <w:bCs/>
                <w:color w:val="000000"/>
                <w:sz w:val="22"/>
                <w:szCs w:val="22"/>
              </w:rPr>
            </w:pPr>
          </w:p>
        </w:tc>
      </w:tr>
      <w:tr w14:paraId="2E8222F9">
        <w:tblPrEx>
          <w:tblCellMar>
            <w:top w:w="15" w:type="dxa"/>
            <w:left w:w="15" w:type="dxa"/>
            <w:bottom w:w="15" w:type="dxa"/>
            <w:right w:w="15" w:type="dxa"/>
          </w:tblCellMar>
        </w:tblPrEx>
        <w:trPr>
          <w:trHeight w:val="900" w:hRule="atLeast"/>
        </w:trPr>
        <w:tc>
          <w:tcPr>
            <w:tcW w:w="1532" w:type="dxa"/>
            <w:tcBorders>
              <w:top w:val="single" w:color="000000" w:sz="4" w:space="0"/>
              <w:left w:val="single" w:color="000000" w:sz="4" w:space="0"/>
              <w:bottom w:val="single" w:color="000000" w:sz="4" w:space="0"/>
              <w:right w:val="single" w:color="000000" w:sz="4" w:space="0"/>
            </w:tcBorders>
            <w:vAlign w:val="center"/>
          </w:tcPr>
          <w:p w14:paraId="58961203">
            <w:pPr>
              <w:widowControl/>
              <w:jc w:val="left"/>
              <w:textAlignment w:val="center"/>
              <w:rPr>
                <w:rFonts w:ascii="宋体"/>
                <w:color w:val="000000"/>
                <w:sz w:val="22"/>
                <w:szCs w:val="22"/>
              </w:rPr>
            </w:pPr>
            <w:r>
              <w:rPr>
                <w:rFonts w:hint="eastAsia" w:ascii="宋体" w:hAnsi="宋体" w:cs="宋体"/>
                <w:color w:val="000000"/>
                <w:kern w:val="0"/>
                <w:sz w:val="22"/>
                <w:szCs w:val="22"/>
              </w:rPr>
              <w:t>合计</w:t>
            </w:r>
          </w:p>
        </w:tc>
        <w:tc>
          <w:tcPr>
            <w:tcW w:w="1540" w:type="dxa"/>
            <w:tcBorders>
              <w:top w:val="single" w:color="000000" w:sz="4" w:space="0"/>
              <w:left w:val="single" w:color="000000" w:sz="4" w:space="0"/>
              <w:bottom w:val="single" w:color="000000" w:sz="4" w:space="0"/>
              <w:right w:val="single" w:color="000000" w:sz="4" w:space="0"/>
            </w:tcBorders>
            <w:vAlign w:val="center"/>
          </w:tcPr>
          <w:p w14:paraId="304F457E">
            <w:pPr>
              <w:widowControl/>
              <w:jc w:val="center"/>
              <w:textAlignment w:val="center"/>
              <w:rPr>
                <w:rFonts w:ascii="宋体"/>
                <w:color w:val="000000"/>
                <w:sz w:val="22"/>
                <w:szCs w:val="22"/>
              </w:rPr>
            </w:pPr>
            <w:r>
              <w:rPr>
                <w:rFonts w:ascii="宋体" w:hAnsi="宋体" w:cs="宋体"/>
                <w:color w:val="000000"/>
                <w:kern w:val="0"/>
                <w:sz w:val="22"/>
                <w:szCs w:val="22"/>
              </w:rPr>
              <w:t>15</w:t>
            </w:r>
          </w:p>
        </w:tc>
        <w:tc>
          <w:tcPr>
            <w:tcW w:w="1505" w:type="dxa"/>
            <w:tcBorders>
              <w:top w:val="single" w:color="000000" w:sz="4" w:space="0"/>
              <w:left w:val="single" w:color="000000" w:sz="4" w:space="0"/>
              <w:bottom w:val="single" w:color="000000" w:sz="4" w:space="0"/>
              <w:right w:val="single" w:color="000000" w:sz="4" w:space="0"/>
            </w:tcBorders>
            <w:vAlign w:val="center"/>
          </w:tcPr>
          <w:p w14:paraId="2C857B3B">
            <w:pPr>
              <w:jc w:val="center"/>
              <w:rPr>
                <w:rFonts w:ascii="宋体"/>
                <w:color w:val="000000"/>
                <w:sz w:val="22"/>
                <w:szCs w:val="22"/>
              </w:rPr>
            </w:pPr>
          </w:p>
        </w:tc>
        <w:tc>
          <w:tcPr>
            <w:tcW w:w="640" w:type="dxa"/>
            <w:tcBorders>
              <w:top w:val="single" w:color="000000" w:sz="4" w:space="0"/>
              <w:left w:val="single" w:color="000000" w:sz="4" w:space="0"/>
              <w:bottom w:val="single" w:color="000000" w:sz="4" w:space="0"/>
              <w:right w:val="single" w:color="000000" w:sz="4" w:space="0"/>
            </w:tcBorders>
            <w:vAlign w:val="center"/>
          </w:tcPr>
          <w:p w14:paraId="05408238">
            <w:pPr>
              <w:jc w:val="center"/>
              <w:rPr>
                <w:rFonts w:ascii="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vAlign w:val="center"/>
          </w:tcPr>
          <w:p w14:paraId="78850FC7">
            <w:pPr>
              <w:jc w:val="center"/>
              <w:rPr>
                <w:rFonts w:ascii="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vAlign w:val="center"/>
          </w:tcPr>
          <w:p w14:paraId="1F91CB80">
            <w:pPr>
              <w:widowControl/>
              <w:jc w:val="center"/>
              <w:textAlignment w:val="center"/>
              <w:rPr>
                <w:rFonts w:ascii="宋体"/>
                <w:color w:val="000000"/>
                <w:sz w:val="22"/>
                <w:szCs w:val="22"/>
              </w:rPr>
            </w:pPr>
            <w:r>
              <w:rPr>
                <w:rFonts w:ascii="宋体" w:hAnsi="宋体" w:cs="宋体"/>
                <w:color w:val="000000"/>
                <w:kern w:val="0"/>
                <w:sz w:val="22"/>
                <w:szCs w:val="22"/>
              </w:rPr>
              <w:t>45</w:t>
            </w:r>
          </w:p>
        </w:tc>
        <w:tc>
          <w:tcPr>
            <w:tcW w:w="981" w:type="dxa"/>
            <w:tcBorders>
              <w:top w:val="single" w:color="000000" w:sz="4" w:space="0"/>
              <w:left w:val="single" w:color="000000" w:sz="4" w:space="0"/>
              <w:bottom w:val="single" w:color="000000" w:sz="4" w:space="0"/>
              <w:right w:val="single" w:color="000000" w:sz="4" w:space="0"/>
            </w:tcBorders>
            <w:vAlign w:val="center"/>
          </w:tcPr>
          <w:p w14:paraId="5D736549">
            <w:pPr>
              <w:jc w:val="center"/>
              <w:rPr>
                <w:rFonts w:ascii="宋体"/>
                <w:color w:val="000000"/>
                <w:sz w:val="22"/>
                <w:szCs w:val="22"/>
              </w:rPr>
            </w:pPr>
          </w:p>
        </w:tc>
        <w:tc>
          <w:tcPr>
            <w:tcW w:w="1010" w:type="dxa"/>
            <w:tcBorders>
              <w:top w:val="single" w:color="000000" w:sz="4" w:space="0"/>
              <w:left w:val="single" w:color="000000" w:sz="4" w:space="0"/>
              <w:bottom w:val="single" w:color="000000" w:sz="4" w:space="0"/>
              <w:right w:val="single" w:color="000000" w:sz="4" w:space="0"/>
            </w:tcBorders>
            <w:vAlign w:val="center"/>
          </w:tcPr>
          <w:p w14:paraId="20C475EE">
            <w:pPr>
              <w:widowControl/>
              <w:jc w:val="center"/>
              <w:textAlignment w:val="center"/>
              <w:rPr>
                <w:rFonts w:ascii="宋体"/>
                <w:color w:val="000000"/>
                <w:sz w:val="22"/>
                <w:szCs w:val="22"/>
              </w:rPr>
            </w:pPr>
            <w:r>
              <w:rPr>
                <w:rFonts w:ascii="宋体" w:hAnsi="宋体" w:cs="宋体"/>
                <w:color w:val="000000"/>
                <w:kern w:val="0"/>
                <w:sz w:val="22"/>
                <w:szCs w:val="22"/>
              </w:rPr>
              <w:t>15</w:t>
            </w:r>
          </w:p>
        </w:tc>
        <w:tc>
          <w:tcPr>
            <w:tcW w:w="927" w:type="dxa"/>
            <w:tcBorders>
              <w:top w:val="single" w:color="000000" w:sz="4" w:space="0"/>
              <w:left w:val="single" w:color="000000" w:sz="4" w:space="0"/>
              <w:bottom w:val="single" w:color="000000" w:sz="4" w:space="0"/>
              <w:right w:val="single" w:color="000000" w:sz="4" w:space="0"/>
            </w:tcBorders>
            <w:vAlign w:val="center"/>
          </w:tcPr>
          <w:p w14:paraId="66E944A4">
            <w:pPr>
              <w:widowControl/>
              <w:jc w:val="center"/>
              <w:textAlignment w:val="center"/>
              <w:rPr>
                <w:rFonts w:ascii="宋体"/>
                <w:color w:val="000000"/>
                <w:sz w:val="22"/>
                <w:szCs w:val="22"/>
              </w:rPr>
            </w:pPr>
            <w:r>
              <w:rPr>
                <w:rFonts w:ascii="宋体" w:hAnsi="宋体" w:cs="宋体"/>
                <w:color w:val="000000"/>
                <w:kern w:val="0"/>
                <w:sz w:val="22"/>
                <w:szCs w:val="22"/>
              </w:rPr>
              <w:t>15</w:t>
            </w:r>
          </w:p>
        </w:tc>
        <w:tc>
          <w:tcPr>
            <w:tcW w:w="1001" w:type="dxa"/>
            <w:tcBorders>
              <w:top w:val="single" w:color="000000" w:sz="4" w:space="0"/>
              <w:left w:val="single" w:color="000000" w:sz="4" w:space="0"/>
              <w:bottom w:val="single" w:color="000000" w:sz="4" w:space="0"/>
              <w:right w:val="single" w:color="000000" w:sz="4" w:space="0"/>
            </w:tcBorders>
            <w:vAlign w:val="center"/>
          </w:tcPr>
          <w:p w14:paraId="1F819365">
            <w:pPr>
              <w:widowControl/>
              <w:jc w:val="center"/>
              <w:textAlignment w:val="center"/>
              <w:rPr>
                <w:rFonts w:ascii="宋体"/>
                <w:color w:val="000000"/>
                <w:sz w:val="22"/>
                <w:szCs w:val="22"/>
              </w:rPr>
            </w:pPr>
            <w:r>
              <w:rPr>
                <w:rFonts w:ascii="宋体" w:hAnsi="宋体" w:cs="宋体"/>
                <w:color w:val="000000"/>
                <w:kern w:val="0"/>
                <w:sz w:val="22"/>
                <w:szCs w:val="22"/>
              </w:rPr>
              <w:t>15</w:t>
            </w:r>
          </w:p>
        </w:tc>
        <w:tc>
          <w:tcPr>
            <w:tcW w:w="789" w:type="dxa"/>
            <w:tcBorders>
              <w:top w:val="single" w:color="000000" w:sz="4" w:space="0"/>
              <w:left w:val="single" w:color="000000" w:sz="4" w:space="0"/>
              <w:bottom w:val="single" w:color="000000" w:sz="4" w:space="0"/>
              <w:right w:val="single" w:color="000000" w:sz="4" w:space="0"/>
            </w:tcBorders>
            <w:vAlign w:val="center"/>
          </w:tcPr>
          <w:p w14:paraId="4E0D4B46">
            <w:pPr>
              <w:rPr>
                <w:rFonts w:ascii="宋体"/>
                <w:color w:val="000000"/>
                <w:sz w:val="22"/>
                <w:szCs w:val="22"/>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64C1B966">
            <w:pPr>
              <w:rPr>
                <w:rFonts w:ascii="宋体"/>
                <w:color w:val="000000"/>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258EA59E">
            <w:pPr>
              <w:rPr>
                <w:rFonts w:ascii="宋体"/>
                <w:color w:val="000000"/>
                <w:sz w:val="22"/>
                <w:szCs w:val="22"/>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A4A6339">
            <w:pPr>
              <w:rPr>
                <w:rFonts w:ascii="宋体"/>
                <w:color w:val="000000"/>
                <w:sz w:val="22"/>
                <w:szCs w:val="22"/>
              </w:rPr>
            </w:pPr>
          </w:p>
        </w:tc>
      </w:tr>
      <w:tr w14:paraId="35103947">
        <w:tblPrEx>
          <w:tblCellMar>
            <w:top w:w="15" w:type="dxa"/>
            <w:left w:w="15" w:type="dxa"/>
            <w:bottom w:w="15" w:type="dxa"/>
            <w:right w:w="15" w:type="dxa"/>
          </w:tblCellMar>
        </w:tblPrEx>
        <w:trPr>
          <w:trHeight w:val="900" w:hRule="atLeast"/>
        </w:trPr>
        <w:tc>
          <w:tcPr>
            <w:tcW w:w="1532" w:type="dxa"/>
            <w:tcBorders>
              <w:top w:val="single" w:color="000000" w:sz="4" w:space="0"/>
              <w:left w:val="single" w:color="000000" w:sz="4" w:space="0"/>
              <w:bottom w:val="single" w:color="000000" w:sz="4" w:space="0"/>
              <w:right w:val="single" w:color="000000" w:sz="4" w:space="0"/>
            </w:tcBorders>
            <w:vAlign w:val="center"/>
          </w:tcPr>
          <w:p w14:paraId="0DDB9545">
            <w:pPr>
              <w:widowControl/>
              <w:jc w:val="left"/>
              <w:textAlignment w:val="center"/>
              <w:rPr>
                <w:rFonts w:ascii="宋体"/>
                <w:color w:val="000000"/>
                <w:sz w:val="22"/>
                <w:szCs w:val="22"/>
              </w:rPr>
            </w:pPr>
            <w:r>
              <w:rPr>
                <w:rFonts w:hint="eastAsia" w:ascii="宋体" w:hAnsi="宋体" w:cs="宋体"/>
                <w:color w:val="000000"/>
                <w:kern w:val="0"/>
                <w:sz w:val="22"/>
                <w:szCs w:val="22"/>
              </w:rPr>
              <w:t>办公设备购置</w:t>
            </w:r>
          </w:p>
        </w:tc>
        <w:tc>
          <w:tcPr>
            <w:tcW w:w="1540" w:type="dxa"/>
            <w:tcBorders>
              <w:top w:val="single" w:color="000000" w:sz="4" w:space="0"/>
              <w:left w:val="single" w:color="000000" w:sz="4" w:space="0"/>
              <w:bottom w:val="single" w:color="000000" w:sz="4" w:space="0"/>
              <w:right w:val="single" w:color="000000" w:sz="4" w:space="0"/>
            </w:tcBorders>
            <w:vAlign w:val="center"/>
          </w:tcPr>
          <w:p w14:paraId="68388DE9">
            <w:pPr>
              <w:widowControl/>
              <w:jc w:val="center"/>
              <w:textAlignment w:val="center"/>
              <w:rPr>
                <w:rFonts w:ascii="宋体"/>
                <w:color w:val="000000"/>
                <w:sz w:val="22"/>
                <w:szCs w:val="22"/>
              </w:rPr>
            </w:pPr>
            <w:r>
              <w:rPr>
                <w:rFonts w:ascii="宋体" w:hAnsi="宋体" w:cs="宋体"/>
                <w:color w:val="000000"/>
                <w:kern w:val="0"/>
                <w:sz w:val="22"/>
                <w:szCs w:val="22"/>
              </w:rPr>
              <w:t>7</w:t>
            </w:r>
          </w:p>
        </w:tc>
        <w:tc>
          <w:tcPr>
            <w:tcW w:w="1505" w:type="dxa"/>
            <w:tcBorders>
              <w:top w:val="single" w:color="000000" w:sz="4" w:space="0"/>
              <w:left w:val="single" w:color="000000" w:sz="4" w:space="0"/>
              <w:bottom w:val="single" w:color="000000" w:sz="4" w:space="0"/>
              <w:right w:val="single" w:color="000000" w:sz="4" w:space="0"/>
            </w:tcBorders>
            <w:vAlign w:val="center"/>
          </w:tcPr>
          <w:p w14:paraId="3212EC1F">
            <w:pPr>
              <w:widowControl/>
              <w:jc w:val="center"/>
              <w:textAlignment w:val="center"/>
              <w:rPr>
                <w:rFonts w:ascii="宋体"/>
                <w:color w:val="000000"/>
                <w:sz w:val="22"/>
                <w:szCs w:val="22"/>
              </w:rPr>
            </w:pPr>
            <w:r>
              <w:rPr>
                <w:rFonts w:hint="eastAsia" w:ascii="宋体" w:hAnsi="宋体" w:cs="宋体"/>
                <w:color w:val="000000"/>
                <w:kern w:val="0"/>
                <w:sz w:val="22"/>
                <w:szCs w:val="22"/>
              </w:rPr>
              <w:t>电脑</w:t>
            </w:r>
          </w:p>
        </w:tc>
        <w:tc>
          <w:tcPr>
            <w:tcW w:w="640" w:type="dxa"/>
            <w:tcBorders>
              <w:top w:val="single" w:color="000000" w:sz="4" w:space="0"/>
              <w:left w:val="single" w:color="000000" w:sz="4" w:space="0"/>
              <w:bottom w:val="single" w:color="000000" w:sz="4" w:space="0"/>
              <w:right w:val="single" w:color="000000" w:sz="4" w:space="0"/>
            </w:tcBorders>
            <w:vAlign w:val="center"/>
          </w:tcPr>
          <w:p w14:paraId="2DEB3603">
            <w:pPr>
              <w:jc w:val="center"/>
              <w:rPr>
                <w:rFonts w:ascii="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vAlign w:val="center"/>
          </w:tcPr>
          <w:p w14:paraId="260DEB37">
            <w:pPr>
              <w:widowControl/>
              <w:jc w:val="center"/>
              <w:textAlignment w:val="center"/>
              <w:rPr>
                <w:rFonts w:ascii="宋体"/>
                <w:color w:val="000000"/>
                <w:sz w:val="22"/>
                <w:szCs w:val="22"/>
              </w:rPr>
            </w:pPr>
            <w:r>
              <w:rPr>
                <w:rFonts w:hint="eastAsia" w:ascii="宋体" w:hAnsi="宋体" w:cs="宋体"/>
                <w:color w:val="000000"/>
                <w:kern w:val="0"/>
                <w:sz w:val="22"/>
                <w:szCs w:val="22"/>
              </w:rPr>
              <w:t>台</w:t>
            </w:r>
          </w:p>
        </w:tc>
        <w:tc>
          <w:tcPr>
            <w:tcW w:w="826" w:type="dxa"/>
            <w:tcBorders>
              <w:top w:val="single" w:color="000000" w:sz="4" w:space="0"/>
              <w:left w:val="single" w:color="000000" w:sz="4" w:space="0"/>
              <w:bottom w:val="single" w:color="000000" w:sz="4" w:space="0"/>
              <w:right w:val="single" w:color="000000" w:sz="4" w:space="0"/>
            </w:tcBorders>
            <w:vAlign w:val="center"/>
          </w:tcPr>
          <w:p w14:paraId="5EC85007">
            <w:pPr>
              <w:widowControl/>
              <w:jc w:val="center"/>
              <w:textAlignment w:val="center"/>
              <w:rPr>
                <w:rFonts w:ascii="宋体"/>
                <w:color w:val="000000"/>
                <w:sz w:val="22"/>
                <w:szCs w:val="22"/>
              </w:rPr>
            </w:pPr>
            <w:r>
              <w:rPr>
                <w:rFonts w:ascii="宋体" w:hAnsi="宋体" w:cs="宋体"/>
                <w:color w:val="000000"/>
                <w:kern w:val="0"/>
                <w:sz w:val="22"/>
                <w:szCs w:val="22"/>
              </w:rPr>
              <w:t>20</w:t>
            </w:r>
          </w:p>
        </w:tc>
        <w:tc>
          <w:tcPr>
            <w:tcW w:w="981" w:type="dxa"/>
            <w:tcBorders>
              <w:top w:val="single" w:color="000000" w:sz="4" w:space="0"/>
              <w:left w:val="single" w:color="000000" w:sz="4" w:space="0"/>
              <w:bottom w:val="single" w:color="000000" w:sz="4" w:space="0"/>
              <w:right w:val="single" w:color="000000" w:sz="4" w:space="0"/>
            </w:tcBorders>
            <w:vAlign w:val="center"/>
          </w:tcPr>
          <w:p w14:paraId="01384762">
            <w:pPr>
              <w:widowControl/>
              <w:jc w:val="center"/>
              <w:textAlignment w:val="center"/>
              <w:rPr>
                <w:rFonts w:ascii="宋体"/>
                <w:color w:val="000000"/>
                <w:sz w:val="22"/>
                <w:szCs w:val="22"/>
              </w:rPr>
            </w:pPr>
            <w:r>
              <w:rPr>
                <w:rFonts w:ascii="宋体" w:hAnsi="宋体" w:cs="宋体"/>
                <w:color w:val="000000"/>
                <w:kern w:val="0"/>
                <w:sz w:val="22"/>
                <w:szCs w:val="22"/>
              </w:rPr>
              <w:t>0.35</w:t>
            </w:r>
          </w:p>
        </w:tc>
        <w:tc>
          <w:tcPr>
            <w:tcW w:w="1010" w:type="dxa"/>
            <w:tcBorders>
              <w:top w:val="single" w:color="000000" w:sz="4" w:space="0"/>
              <w:left w:val="single" w:color="000000" w:sz="4" w:space="0"/>
              <w:bottom w:val="single" w:color="000000" w:sz="4" w:space="0"/>
              <w:right w:val="single" w:color="000000" w:sz="4" w:space="0"/>
            </w:tcBorders>
            <w:vAlign w:val="center"/>
          </w:tcPr>
          <w:p w14:paraId="1CFA68E9">
            <w:pPr>
              <w:widowControl/>
              <w:jc w:val="center"/>
              <w:textAlignment w:val="center"/>
              <w:rPr>
                <w:rFonts w:ascii="宋体"/>
                <w:color w:val="000000"/>
                <w:sz w:val="22"/>
                <w:szCs w:val="22"/>
              </w:rPr>
            </w:pPr>
            <w:r>
              <w:rPr>
                <w:rFonts w:ascii="宋体" w:hAnsi="宋体" w:cs="宋体"/>
                <w:color w:val="000000"/>
                <w:kern w:val="0"/>
                <w:sz w:val="22"/>
                <w:szCs w:val="22"/>
              </w:rPr>
              <w:t>7</w:t>
            </w:r>
          </w:p>
        </w:tc>
        <w:tc>
          <w:tcPr>
            <w:tcW w:w="927" w:type="dxa"/>
            <w:tcBorders>
              <w:top w:val="single" w:color="000000" w:sz="4" w:space="0"/>
              <w:left w:val="single" w:color="000000" w:sz="4" w:space="0"/>
              <w:bottom w:val="single" w:color="000000" w:sz="4" w:space="0"/>
              <w:right w:val="single" w:color="000000" w:sz="4" w:space="0"/>
            </w:tcBorders>
            <w:vAlign w:val="center"/>
          </w:tcPr>
          <w:p w14:paraId="785AC8F5">
            <w:pPr>
              <w:widowControl/>
              <w:jc w:val="center"/>
              <w:textAlignment w:val="center"/>
              <w:rPr>
                <w:rFonts w:ascii="宋体"/>
                <w:color w:val="000000"/>
                <w:sz w:val="22"/>
                <w:szCs w:val="22"/>
              </w:rPr>
            </w:pPr>
            <w:r>
              <w:rPr>
                <w:rFonts w:ascii="宋体" w:hAnsi="宋体" w:cs="宋体"/>
                <w:color w:val="000000"/>
                <w:kern w:val="0"/>
                <w:sz w:val="22"/>
                <w:szCs w:val="22"/>
              </w:rPr>
              <w:t>7</w:t>
            </w:r>
          </w:p>
        </w:tc>
        <w:tc>
          <w:tcPr>
            <w:tcW w:w="1001" w:type="dxa"/>
            <w:tcBorders>
              <w:top w:val="single" w:color="000000" w:sz="4" w:space="0"/>
              <w:left w:val="single" w:color="000000" w:sz="4" w:space="0"/>
              <w:bottom w:val="single" w:color="000000" w:sz="4" w:space="0"/>
              <w:right w:val="single" w:color="000000" w:sz="4" w:space="0"/>
            </w:tcBorders>
            <w:vAlign w:val="center"/>
          </w:tcPr>
          <w:p w14:paraId="28C8BA2F">
            <w:pPr>
              <w:widowControl/>
              <w:jc w:val="center"/>
              <w:textAlignment w:val="center"/>
              <w:rPr>
                <w:rFonts w:ascii="宋体"/>
                <w:color w:val="000000"/>
                <w:sz w:val="22"/>
                <w:szCs w:val="22"/>
              </w:rPr>
            </w:pPr>
            <w:r>
              <w:rPr>
                <w:rFonts w:ascii="宋体" w:hAnsi="宋体" w:cs="宋体"/>
                <w:color w:val="000000"/>
                <w:kern w:val="0"/>
                <w:sz w:val="22"/>
                <w:szCs w:val="22"/>
              </w:rPr>
              <w:t>7</w:t>
            </w:r>
          </w:p>
        </w:tc>
        <w:tc>
          <w:tcPr>
            <w:tcW w:w="789" w:type="dxa"/>
            <w:tcBorders>
              <w:top w:val="single" w:color="000000" w:sz="4" w:space="0"/>
              <w:left w:val="single" w:color="000000" w:sz="4" w:space="0"/>
              <w:bottom w:val="single" w:color="000000" w:sz="4" w:space="0"/>
              <w:right w:val="single" w:color="000000" w:sz="4" w:space="0"/>
            </w:tcBorders>
            <w:vAlign w:val="center"/>
          </w:tcPr>
          <w:p w14:paraId="2DDD593C">
            <w:pPr>
              <w:rPr>
                <w:rFonts w:ascii="宋体"/>
                <w:color w:val="000000"/>
                <w:sz w:val="22"/>
                <w:szCs w:val="22"/>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0BC94F6A">
            <w:pPr>
              <w:rPr>
                <w:rFonts w:ascii="宋体"/>
                <w:color w:val="000000"/>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24C7193D">
            <w:pPr>
              <w:rPr>
                <w:rFonts w:ascii="宋体"/>
                <w:color w:val="000000"/>
                <w:sz w:val="22"/>
                <w:szCs w:val="22"/>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519E24C">
            <w:pPr>
              <w:rPr>
                <w:rFonts w:ascii="宋体"/>
                <w:color w:val="000000"/>
                <w:sz w:val="22"/>
                <w:szCs w:val="22"/>
              </w:rPr>
            </w:pPr>
          </w:p>
        </w:tc>
      </w:tr>
      <w:tr w14:paraId="4F81BE35">
        <w:tblPrEx>
          <w:tblCellMar>
            <w:top w:w="15" w:type="dxa"/>
            <w:left w:w="15" w:type="dxa"/>
            <w:bottom w:w="15" w:type="dxa"/>
            <w:right w:w="15" w:type="dxa"/>
          </w:tblCellMar>
        </w:tblPrEx>
        <w:trPr>
          <w:trHeight w:val="900" w:hRule="atLeast"/>
        </w:trPr>
        <w:tc>
          <w:tcPr>
            <w:tcW w:w="1532" w:type="dxa"/>
            <w:tcBorders>
              <w:top w:val="single" w:color="000000" w:sz="4" w:space="0"/>
              <w:left w:val="single" w:color="000000" w:sz="4" w:space="0"/>
              <w:bottom w:val="single" w:color="000000" w:sz="4" w:space="0"/>
              <w:right w:val="single" w:color="000000" w:sz="4" w:space="0"/>
            </w:tcBorders>
            <w:vAlign w:val="center"/>
          </w:tcPr>
          <w:p w14:paraId="38A2A11B">
            <w:pPr>
              <w:widowControl/>
              <w:jc w:val="left"/>
              <w:textAlignment w:val="center"/>
              <w:rPr>
                <w:rFonts w:ascii="宋体"/>
                <w:color w:val="000000"/>
                <w:sz w:val="22"/>
                <w:szCs w:val="22"/>
              </w:rPr>
            </w:pPr>
            <w:r>
              <w:rPr>
                <w:rFonts w:hint="eastAsia" w:ascii="宋体" w:hAnsi="宋体" w:cs="宋体"/>
                <w:color w:val="000000"/>
                <w:kern w:val="0"/>
                <w:sz w:val="22"/>
                <w:szCs w:val="22"/>
              </w:rPr>
              <w:t>办公设备购置</w:t>
            </w:r>
          </w:p>
        </w:tc>
        <w:tc>
          <w:tcPr>
            <w:tcW w:w="1540" w:type="dxa"/>
            <w:tcBorders>
              <w:top w:val="single" w:color="000000" w:sz="4" w:space="0"/>
              <w:left w:val="single" w:color="000000" w:sz="4" w:space="0"/>
              <w:bottom w:val="single" w:color="000000" w:sz="4" w:space="0"/>
              <w:right w:val="single" w:color="000000" w:sz="4" w:space="0"/>
            </w:tcBorders>
            <w:vAlign w:val="center"/>
          </w:tcPr>
          <w:p w14:paraId="6A24DA55">
            <w:pPr>
              <w:widowControl/>
              <w:jc w:val="center"/>
              <w:textAlignment w:val="center"/>
              <w:rPr>
                <w:rFonts w:ascii="宋体"/>
                <w:color w:val="000000"/>
                <w:sz w:val="22"/>
                <w:szCs w:val="22"/>
              </w:rPr>
            </w:pPr>
            <w:r>
              <w:rPr>
                <w:rFonts w:ascii="宋体" w:hAnsi="宋体" w:cs="宋体"/>
                <w:color w:val="000000"/>
                <w:kern w:val="0"/>
                <w:sz w:val="22"/>
                <w:szCs w:val="22"/>
              </w:rPr>
              <w:t>2</w:t>
            </w:r>
          </w:p>
        </w:tc>
        <w:tc>
          <w:tcPr>
            <w:tcW w:w="1505" w:type="dxa"/>
            <w:tcBorders>
              <w:top w:val="single" w:color="000000" w:sz="4" w:space="0"/>
              <w:left w:val="single" w:color="000000" w:sz="4" w:space="0"/>
              <w:bottom w:val="single" w:color="000000" w:sz="4" w:space="0"/>
              <w:right w:val="single" w:color="000000" w:sz="4" w:space="0"/>
            </w:tcBorders>
            <w:vAlign w:val="center"/>
          </w:tcPr>
          <w:p w14:paraId="6E0803B9">
            <w:pPr>
              <w:widowControl/>
              <w:jc w:val="center"/>
              <w:textAlignment w:val="center"/>
              <w:rPr>
                <w:rFonts w:ascii="宋体"/>
                <w:color w:val="000000"/>
                <w:sz w:val="22"/>
                <w:szCs w:val="22"/>
              </w:rPr>
            </w:pPr>
            <w:r>
              <w:rPr>
                <w:rFonts w:hint="eastAsia" w:ascii="宋体" w:hAnsi="宋体" w:cs="宋体"/>
                <w:color w:val="000000"/>
                <w:kern w:val="0"/>
                <w:sz w:val="22"/>
                <w:szCs w:val="22"/>
              </w:rPr>
              <w:t>打印机</w:t>
            </w:r>
          </w:p>
        </w:tc>
        <w:tc>
          <w:tcPr>
            <w:tcW w:w="640" w:type="dxa"/>
            <w:tcBorders>
              <w:top w:val="single" w:color="000000" w:sz="4" w:space="0"/>
              <w:left w:val="single" w:color="000000" w:sz="4" w:space="0"/>
              <w:bottom w:val="single" w:color="000000" w:sz="4" w:space="0"/>
              <w:right w:val="single" w:color="000000" w:sz="4" w:space="0"/>
            </w:tcBorders>
            <w:vAlign w:val="center"/>
          </w:tcPr>
          <w:p w14:paraId="66A988C2">
            <w:pPr>
              <w:jc w:val="center"/>
              <w:rPr>
                <w:rFonts w:ascii="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vAlign w:val="center"/>
          </w:tcPr>
          <w:p w14:paraId="31A59809">
            <w:pPr>
              <w:widowControl/>
              <w:jc w:val="center"/>
              <w:textAlignment w:val="center"/>
              <w:rPr>
                <w:rFonts w:ascii="宋体"/>
                <w:color w:val="000000"/>
                <w:sz w:val="22"/>
                <w:szCs w:val="22"/>
              </w:rPr>
            </w:pPr>
            <w:r>
              <w:rPr>
                <w:rFonts w:hint="eastAsia" w:ascii="宋体" w:hAnsi="宋体" w:cs="宋体"/>
                <w:color w:val="000000"/>
                <w:kern w:val="0"/>
                <w:sz w:val="22"/>
                <w:szCs w:val="22"/>
              </w:rPr>
              <w:t>台</w:t>
            </w:r>
          </w:p>
        </w:tc>
        <w:tc>
          <w:tcPr>
            <w:tcW w:w="826" w:type="dxa"/>
            <w:tcBorders>
              <w:top w:val="single" w:color="000000" w:sz="4" w:space="0"/>
              <w:left w:val="single" w:color="000000" w:sz="4" w:space="0"/>
              <w:bottom w:val="single" w:color="000000" w:sz="4" w:space="0"/>
              <w:right w:val="single" w:color="000000" w:sz="4" w:space="0"/>
            </w:tcBorders>
            <w:vAlign w:val="center"/>
          </w:tcPr>
          <w:p w14:paraId="1EBC0CBA">
            <w:pPr>
              <w:widowControl/>
              <w:jc w:val="center"/>
              <w:textAlignment w:val="center"/>
              <w:rPr>
                <w:rFonts w:ascii="宋体"/>
                <w:color w:val="000000"/>
                <w:sz w:val="22"/>
                <w:szCs w:val="22"/>
              </w:rPr>
            </w:pPr>
            <w:r>
              <w:rPr>
                <w:rFonts w:ascii="宋体" w:hAnsi="宋体" w:cs="宋体"/>
                <w:color w:val="000000"/>
                <w:kern w:val="0"/>
                <w:sz w:val="22"/>
                <w:szCs w:val="22"/>
              </w:rPr>
              <w:t>10</w:t>
            </w:r>
          </w:p>
        </w:tc>
        <w:tc>
          <w:tcPr>
            <w:tcW w:w="981" w:type="dxa"/>
            <w:tcBorders>
              <w:top w:val="single" w:color="000000" w:sz="4" w:space="0"/>
              <w:left w:val="single" w:color="000000" w:sz="4" w:space="0"/>
              <w:bottom w:val="single" w:color="000000" w:sz="4" w:space="0"/>
              <w:right w:val="single" w:color="000000" w:sz="4" w:space="0"/>
            </w:tcBorders>
            <w:vAlign w:val="center"/>
          </w:tcPr>
          <w:p w14:paraId="62064067">
            <w:pPr>
              <w:widowControl/>
              <w:jc w:val="center"/>
              <w:textAlignment w:val="center"/>
              <w:rPr>
                <w:rFonts w:ascii="宋体"/>
                <w:color w:val="000000"/>
                <w:sz w:val="22"/>
                <w:szCs w:val="22"/>
              </w:rPr>
            </w:pPr>
            <w:r>
              <w:rPr>
                <w:rFonts w:ascii="宋体" w:hAnsi="宋体" w:cs="宋体"/>
                <w:color w:val="000000"/>
                <w:kern w:val="0"/>
                <w:sz w:val="22"/>
                <w:szCs w:val="22"/>
              </w:rPr>
              <w:t>0.2</w:t>
            </w:r>
          </w:p>
        </w:tc>
        <w:tc>
          <w:tcPr>
            <w:tcW w:w="1010" w:type="dxa"/>
            <w:tcBorders>
              <w:top w:val="single" w:color="000000" w:sz="4" w:space="0"/>
              <w:left w:val="single" w:color="000000" w:sz="4" w:space="0"/>
              <w:bottom w:val="single" w:color="000000" w:sz="4" w:space="0"/>
              <w:right w:val="single" w:color="000000" w:sz="4" w:space="0"/>
            </w:tcBorders>
            <w:vAlign w:val="center"/>
          </w:tcPr>
          <w:p w14:paraId="67DC610B">
            <w:pPr>
              <w:widowControl/>
              <w:jc w:val="center"/>
              <w:textAlignment w:val="center"/>
              <w:rPr>
                <w:rFonts w:ascii="宋体"/>
                <w:color w:val="000000"/>
                <w:sz w:val="22"/>
                <w:szCs w:val="22"/>
              </w:rPr>
            </w:pPr>
            <w:r>
              <w:rPr>
                <w:rFonts w:ascii="宋体" w:hAnsi="宋体" w:cs="宋体"/>
                <w:color w:val="000000"/>
                <w:kern w:val="0"/>
                <w:sz w:val="22"/>
                <w:szCs w:val="22"/>
              </w:rPr>
              <w:t>2</w:t>
            </w:r>
          </w:p>
        </w:tc>
        <w:tc>
          <w:tcPr>
            <w:tcW w:w="927" w:type="dxa"/>
            <w:tcBorders>
              <w:top w:val="single" w:color="000000" w:sz="4" w:space="0"/>
              <w:left w:val="single" w:color="000000" w:sz="4" w:space="0"/>
              <w:bottom w:val="single" w:color="000000" w:sz="4" w:space="0"/>
              <w:right w:val="single" w:color="000000" w:sz="4" w:space="0"/>
            </w:tcBorders>
            <w:vAlign w:val="center"/>
          </w:tcPr>
          <w:p w14:paraId="4CE6FA59">
            <w:pPr>
              <w:widowControl/>
              <w:jc w:val="center"/>
              <w:textAlignment w:val="center"/>
              <w:rPr>
                <w:rFonts w:ascii="宋体"/>
                <w:color w:val="000000"/>
                <w:sz w:val="22"/>
                <w:szCs w:val="22"/>
              </w:rPr>
            </w:pPr>
            <w:r>
              <w:rPr>
                <w:rFonts w:ascii="宋体" w:hAnsi="宋体" w:cs="宋体"/>
                <w:color w:val="000000"/>
                <w:kern w:val="0"/>
                <w:sz w:val="22"/>
                <w:szCs w:val="22"/>
              </w:rPr>
              <w:t>2</w:t>
            </w:r>
          </w:p>
        </w:tc>
        <w:tc>
          <w:tcPr>
            <w:tcW w:w="1001" w:type="dxa"/>
            <w:tcBorders>
              <w:top w:val="single" w:color="000000" w:sz="4" w:space="0"/>
              <w:left w:val="single" w:color="000000" w:sz="4" w:space="0"/>
              <w:bottom w:val="single" w:color="000000" w:sz="4" w:space="0"/>
              <w:right w:val="single" w:color="000000" w:sz="4" w:space="0"/>
            </w:tcBorders>
            <w:vAlign w:val="center"/>
          </w:tcPr>
          <w:p w14:paraId="1A0E1A03">
            <w:pPr>
              <w:widowControl/>
              <w:jc w:val="center"/>
              <w:textAlignment w:val="center"/>
              <w:rPr>
                <w:rFonts w:ascii="宋体"/>
                <w:color w:val="000000"/>
                <w:sz w:val="22"/>
                <w:szCs w:val="22"/>
              </w:rPr>
            </w:pPr>
            <w:r>
              <w:rPr>
                <w:rFonts w:ascii="宋体" w:hAnsi="宋体" w:cs="宋体"/>
                <w:color w:val="000000"/>
                <w:kern w:val="0"/>
                <w:sz w:val="22"/>
                <w:szCs w:val="22"/>
              </w:rPr>
              <w:t>2</w:t>
            </w:r>
          </w:p>
        </w:tc>
        <w:tc>
          <w:tcPr>
            <w:tcW w:w="789" w:type="dxa"/>
            <w:tcBorders>
              <w:top w:val="single" w:color="000000" w:sz="4" w:space="0"/>
              <w:left w:val="single" w:color="000000" w:sz="4" w:space="0"/>
              <w:bottom w:val="single" w:color="000000" w:sz="4" w:space="0"/>
              <w:right w:val="single" w:color="000000" w:sz="4" w:space="0"/>
            </w:tcBorders>
            <w:vAlign w:val="center"/>
          </w:tcPr>
          <w:p w14:paraId="74A3E754">
            <w:pPr>
              <w:rPr>
                <w:rFonts w:ascii="宋体"/>
                <w:color w:val="000000"/>
                <w:sz w:val="22"/>
                <w:szCs w:val="22"/>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7DCF7110">
            <w:pPr>
              <w:rPr>
                <w:rFonts w:ascii="宋体"/>
                <w:color w:val="000000"/>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1FC72B5E">
            <w:pPr>
              <w:rPr>
                <w:rFonts w:ascii="宋体"/>
                <w:color w:val="000000"/>
                <w:sz w:val="22"/>
                <w:szCs w:val="22"/>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3E5B4D0">
            <w:pPr>
              <w:rPr>
                <w:rFonts w:ascii="宋体"/>
                <w:color w:val="000000"/>
                <w:sz w:val="22"/>
                <w:szCs w:val="22"/>
              </w:rPr>
            </w:pPr>
          </w:p>
        </w:tc>
      </w:tr>
      <w:tr w14:paraId="328C6077">
        <w:tblPrEx>
          <w:tblCellMar>
            <w:top w:w="15" w:type="dxa"/>
            <w:left w:w="15" w:type="dxa"/>
            <w:bottom w:w="15" w:type="dxa"/>
            <w:right w:w="15" w:type="dxa"/>
          </w:tblCellMar>
        </w:tblPrEx>
        <w:trPr>
          <w:trHeight w:val="900" w:hRule="atLeast"/>
        </w:trPr>
        <w:tc>
          <w:tcPr>
            <w:tcW w:w="1532" w:type="dxa"/>
            <w:tcBorders>
              <w:top w:val="single" w:color="000000" w:sz="4" w:space="0"/>
              <w:left w:val="single" w:color="000000" w:sz="4" w:space="0"/>
              <w:bottom w:val="single" w:color="000000" w:sz="4" w:space="0"/>
              <w:right w:val="single" w:color="000000" w:sz="4" w:space="0"/>
            </w:tcBorders>
            <w:vAlign w:val="center"/>
          </w:tcPr>
          <w:p w14:paraId="45AE031E">
            <w:pPr>
              <w:widowControl/>
              <w:jc w:val="left"/>
              <w:textAlignment w:val="center"/>
              <w:rPr>
                <w:rFonts w:ascii="宋体"/>
                <w:color w:val="000000"/>
                <w:sz w:val="22"/>
                <w:szCs w:val="22"/>
              </w:rPr>
            </w:pPr>
            <w:r>
              <w:rPr>
                <w:rFonts w:hint="eastAsia" w:ascii="宋体" w:hAnsi="宋体" w:cs="宋体"/>
                <w:color w:val="000000"/>
                <w:kern w:val="0"/>
                <w:sz w:val="22"/>
                <w:szCs w:val="22"/>
              </w:rPr>
              <w:t>办公设备购置</w:t>
            </w:r>
          </w:p>
        </w:tc>
        <w:tc>
          <w:tcPr>
            <w:tcW w:w="1540" w:type="dxa"/>
            <w:tcBorders>
              <w:top w:val="single" w:color="000000" w:sz="4" w:space="0"/>
              <w:left w:val="single" w:color="000000" w:sz="4" w:space="0"/>
              <w:bottom w:val="single" w:color="000000" w:sz="4" w:space="0"/>
              <w:right w:val="single" w:color="000000" w:sz="4" w:space="0"/>
            </w:tcBorders>
            <w:vAlign w:val="center"/>
          </w:tcPr>
          <w:p w14:paraId="252B6A9B">
            <w:pPr>
              <w:widowControl/>
              <w:jc w:val="center"/>
              <w:textAlignment w:val="center"/>
              <w:rPr>
                <w:rFonts w:ascii="宋体"/>
                <w:color w:val="000000"/>
                <w:sz w:val="22"/>
                <w:szCs w:val="22"/>
              </w:rPr>
            </w:pPr>
            <w:r>
              <w:rPr>
                <w:rFonts w:ascii="宋体" w:hAnsi="宋体" w:cs="宋体"/>
                <w:color w:val="000000"/>
                <w:kern w:val="0"/>
                <w:sz w:val="22"/>
                <w:szCs w:val="22"/>
              </w:rPr>
              <w:t>2.5</w:t>
            </w:r>
          </w:p>
        </w:tc>
        <w:tc>
          <w:tcPr>
            <w:tcW w:w="1505" w:type="dxa"/>
            <w:tcBorders>
              <w:top w:val="single" w:color="000000" w:sz="4" w:space="0"/>
              <w:left w:val="single" w:color="000000" w:sz="4" w:space="0"/>
              <w:bottom w:val="single" w:color="000000" w:sz="4" w:space="0"/>
              <w:right w:val="single" w:color="000000" w:sz="4" w:space="0"/>
            </w:tcBorders>
            <w:vAlign w:val="center"/>
          </w:tcPr>
          <w:p w14:paraId="1DCDA6B8">
            <w:pPr>
              <w:widowControl/>
              <w:jc w:val="center"/>
              <w:textAlignment w:val="center"/>
              <w:rPr>
                <w:rFonts w:ascii="宋体"/>
                <w:color w:val="000000"/>
                <w:sz w:val="22"/>
                <w:szCs w:val="22"/>
              </w:rPr>
            </w:pPr>
            <w:r>
              <w:rPr>
                <w:rFonts w:hint="eastAsia" w:ascii="宋体" w:hAnsi="宋体" w:cs="宋体"/>
                <w:color w:val="000000"/>
                <w:kern w:val="0"/>
                <w:sz w:val="22"/>
                <w:szCs w:val="22"/>
              </w:rPr>
              <w:t>空调</w:t>
            </w:r>
          </w:p>
        </w:tc>
        <w:tc>
          <w:tcPr>
            <w:tcW w:w="640" w:type="dxa"/>
            <w:tcBorders>
              <w:top w:val="single" w:color="000000" w:sz="4" w:space="0"/>
              <w:left w:val="single" w:color="000000" w:sz="4" w:space="0"/>
              <w:bottom w:val="single" w:color="000000" w:sz="4" w:space="0"/>
              <w:right w:val="single" w:color="000000" w:sz="4" w:space="0"/>
            </w:tcBorders>
            <w:vAlign w:val="center"/>
          </w:tcPr>
          <w:p w14:paraId="207DC776">
            <w:pPr>
              <w:jc w:val="center"/>
              <w:rPr>
                <w:rFonts w:ascii="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vAlign w:val="center"/>
          </w:tcPr>
          <w:p w14:paraId="142E4631">
            <w:pPr>
              <w:widowControl/>
              <w:jc w:val="center"/>
              <w:textAlignment w:val="center"/>
              <w:rPr>
                <w:rFonts w:ascii="宋体"/>
                <w:color w:val="000000"/>
                <w:sz w:val="22"/>
                <w:szCs w:val="22"/>
              </w:rPr>
            </w:pPr>
            <w:r>
              <w:rPr>
                <w:rFonts w:hint="eastAsia" w:ascii="宋体" w:hAnsi="宋体" w:cs="宋体"/>
                <w:color w:val="000000"/>
                <w:kern w:val="0"/>
                <w:sz w:val="22"/>
                <w:szCs w:val="22"/>
              </w:rPr>
              <w:t>台</w:t>
            </w:r>
          </w:p>
        </w:tc>
        <w:tc>
          <w:tcPr>
            <w:tcW w:w="826" w:type="dxa"/>
            <w:tcBorders>
              <w:top w:val="single" w:color="000000" w:sz="4" w:space="0"/>
              <w:left w:val="single" w:color="000000" w:sz="4" w:space="0"/>
              <w:bottom w:val="single" w:color="000000" w:sz="4" w:space="0"/>
              <w:right w:val="single" w:color="000000" w:sz="4" w:space="0"/>
            </w:tcBorders>
            <w:vAlign w:val="center"/>
          </w:tcPr>
          <w:p w14:paraId="0749355F">
            <w:pPr>
              <w:widowControl/>
              <w:jc w:val="center"/>
              <w:textAlignment w:val="center"/>
              <w:rPr>
                <w:rFonts w:ascii="宋体"/>
                <w:color w:val="000000"/>
                <w:sz w:val="22"/>
                <w:szCs w:val="22"/>
              </w:rPr>
            </w:pPr>
            <w:r>
              <w:rPr>
                <w:rFonts w:ascii="宋体" w:hAnsi="宋体" w:cs="宋体"/>
                <w:color w:val="000000"/>
                <w:kern w:val="0"/>
                <w:sz w:val="22"/>
                <w:szCs w:val="22"/>
              </w:rPr>
              <w:t>5</w:t>
            </w:r>
          </w:p>
        </w:tc>
        <w:tc>
          <w:tcPr>
            <w:tcW w:w="981" w:type="dxa"/>
            <w:tcBorders>
              <w:top w:val="single" w:color="000000" w:sz="4" w:space="0"/>
              <w:left w:val="single" w:color="000000" w:sz="4" w:space="0"/>
              <w:bottom w:val="single" w:color="000000" w:sz="4" w:space="0"/>
              <w:right w:val="single" w:color="000000" w:sz="4" w:space="0"/>
            </w:tcBorders>
            <w:vAlign w:val="center"/>
          </w:tcPr>
          <w:p w14:paraId="289CB849">
            <w:pPr>
              <w:widowControl/>
              <w:jc w:val="center"/>
              <w:textAlignment w:val="center"/>
              <w:rPr>
                <w:rFonts w:ascii="宋体"/>
                <w:color w:val="000000"/>
                <w:sz w:val="22"/>
                <w:szCs w:val="22"/>
              </w:rPr>
            </w:pPr>
            <w:r>
              <w:rPr>
                <w:rFonts w:ascii="宋体" w:hAnsi="宋体" w:cs="宋体"/>
                <w:color w:val="000000"/>
                <w:kern w:val="0"/>
                <w:sz w:val="22"/>
                <w:szCs w:val="22"/>
              </w:rPr>
              <w:t>0.5</w:t>
            </w:r>
          </w:p>
        </w:tc>
        <w:tc>
          <w:tcPr>
            <w:tcW w:w="1010" w:type="dxa"/>
            <w:tcBorders>
              <w:top w:val="single" w:color="000000" w:sz="4" w:space="0"/>
              <w:left w:val="single" w:color="000000" w:sz="4" w:space="0"/>
              <w:bottom w:val="single" w:color="000000" w:sz="4" w:space="0"/>
              <w:right w:val="single" w:color="000000" w:sz="4" w:space="0"/>
            </w:tcBorders>
            <w:vAlign w:val="center"/>
          </w:tcPr>
          <w:p w14:paraId="1807A09C">
            <w:pPr>
              <w:widowControl/>
              <w:jc w:val="center"/>
              <w:textAlignment w:val="center"/>
              <w:rPr>
                <w:rFonts w:ascii="宋体"/>
                <w:color w:val="000000"/>
                <w:sz w:val="22"/>
                <w:szCs w:val="22"/>
              </w:rPr>
            </w:pPr>
            <w:r>
              <w:rPr>
                <w:rFonts w:ascii="宋体" w:hAnsi="宋体" w:cs="宋体"/>
                <w:color w:val="000000"/>
                <w:kern w:val="0"/>
                <w:sz w:val="22"/>
                <w:szCs w:val="22"/>
              </w:rPr>
              <w:t>2.5</w:t>
            </w:r>
          </w:p>
        </w:tc>
        <w:tc>
          <w:tcPr>
            <w:tcW w:w="927" w:type="dxa"/>
            <w:tcBorders>
              <w:top w:val="single" w:color="000000" w:sz="4" w:space="0"/>
              <w:left w:val="single" w:color="000000" w:sz="4" w:space="0"/>
              <w:bottom w:val="single" w:color="000000" w:sz="4" w:space="0"/>
              <w:right w:val="single" w:color="000000" w:sz="4" w:space="0"/>
            </w:tcBorders>
            <w:vAlign w:val="center"/>
          </w:tcPr>
          <w:p w14:paraId="20ABB6CB">
            <w:pPr>
              <w:widowControl/>
              <w:jc w:val="center"/>
              <w:textAlignment w:val="center"/>
              <w:rPr>
                <w:rFonts w:ascii="宋体"/>
                <w:color w:val="000000"/>
                <w:sz w:val="22"/>
                <w:szCs w:val="22"/>
              </w:rPr>
            </w:pPr>
            <w:r>
              <w:rPr>
                <w:rFonts w:ascii="宋体" w:hAnsi="宋体" w:cs="宋体"/>
                <w:color w:val="000000"/>
                <w:kern w:val="0"/>
                <w:sz w:val="22"/>
                <w:szCs w:val="22"/>
              </w:rPr>
              <w:t>2.5</w:t>
            </w:r>
          </w:p>
        </w:tc>
        <w:tc>
          <w:tcPr>
            <w:tcW w:w="1001" w:type="dxa"/>
            <w:tcBorders>
              <w:top w:val="single" w:color="000000" w:sz="4" w:space="0"/>
              <w:left w:val="single" w:color="000000" w:sz="4" w:space="0"/>
              <w:bottom w:val="single" w:color="000000" w:sz="4" w:space="0"/>
              <w:right w:val="single" w:color="000000" w:sz="4" w:space="0"/>
            </w:tcBorders>
            <w:vAlign w:val="center"/>
          </w:tcPr>
          <w:p w14:paraId="5F2CB0A1">
            <w:pPr>
              <w:widowControl/>
              <w:jc w:val="center"/>
              <w:textAlignment w:val="center"/>
              <w:rPr>
                <w:rFonts w:ascii="宋体"/>
                <w:color w:val="000000"/>
                <w:sz w:val="22"/>
                <w:szCs w:val="22"/>
              </w:rPr>
            </w:pPr>
            <w:r>
              <w:rPr>
                <w:rFonts w:ascii="宋体" w:hAnsi="宋体" w:cs="宋体"/>
                <w:color w:val="000000"/>
                <w:kern w:val="0"/>
                <w:sz w:val="22"/>
                <w:szCs w:val="22"/>
              </w:rPr>
              <w:t>2.5</w:t>
            </w:r>
          </w:p>
        </w:tc>
        <w:tc>
          <w:tcPr>
            <w:tcW w:w="789" w:type="dxa"/>
            <w:tcBorders>
              <w:top w:val="single" w:color="000000" w:sz="4" w:space="0"/>
              <w:left w:val="single" w:color="000000" w:sz="4" w:space="0"/>
              <w:bottom w:val="single" w:color="000000" w:sz="4" w:space="0"/>
              <w:right w:val="single" w:color="000000" w:sz="4" w:space="0"/>
            </w:tcBorders>
            <w:vAlign w:val="center"/>
          </w:tcPr>
          <w:p w14:paraId="1D6033E1">
            <w:pPr>
              <w:rPr>
                <w:rFonts w:ascii="宋体"/>
                <w:color w:val="000000"/>
                <w:sz w:val="22"/>
                <w:szCs w:val="22"/>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50B49ED2">
            <w:pPr>
              <w:rPr>
                <w:rFonts w:ascii="宋体"/>
                <w:color w:val="000000"/>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33D743E2">
            <w:pPr>
              <w:rPr>
                <w:rFonts w:ascii="宋体"/>
                <w:color w:val="000000"/>
                <w:sz w:val="22"/>
                <w:szCs w:val="22"/>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EA9DA53">
            <w:pPr>
              <w:rPr>
                <w:rFonts w:ascii="宋体"/>
                <w:color w:val="000000"/>
                <w:sz w:val="22"/>
                <w:szCs w:val="22"/>
              </w:rPr>
            </w:pPr>
          </w:p>
        </w:tc>
      </w:tr>
      <w:tr w14:paraId="14020699">
        <w:tblPrEx>
          <w:tblCellMar>
            <w:top w:w="15" w:type="dxa"/>
            <w:left w:w="15" w:type="dxa"/>
            <w:bottom w:w="15" w:type="dxa"/>
            <w:right w:w="15" w:type="dxa"/>
          </w:tblCellMar>
        </w:tblPrEx>
        <w:trPr>
          <w:trHeight w:val="900" w:hRule="atLeast"/>
        </w:trPr>
        <w:tc>
          <w:tcPr>
            <w:tcW w:w="1532" w:type="dxa"/>
            <w:tcBorders>
              <w:top w:val="single" w:color="000000" w:sz="4" w:space="0"/>
              <w:left w:val="single" w:color="000000" w:sz="4" w:space="0"/>
              <w:bottom w:val="single" w:color="000000" w:sz="4" w:space="0"/>
              <w:right w:val="single" w:color="000000" w:sz="4" w:space="0"/>
            </w:tcBorders>
            <w:vAlign w:val="center"/>
          </w:tcPr>
          <w:p w14:paraId="30828F7E">
            <w:pPr>
              <w:widowControl/>
              <w:jc w:val="left"/>
              <w:textAlignment w:val="center"/>
              <w:rPr>
                <w:rFonts w:ascii="宋体"/>
                <w:color w:val="000000"/>
                <w:sz w:val="22"/>
                <w:szCs w:val="22"/>
              </w:rPr>
            </w:pPr>
            <w:r>
              <w:rPr>
                <w:rFonts w:hint="eastAsia" w:ascii="宋体" w:hAnsi="宋体" w:cs="宋体"/>
                <w:color w:val="000000"/>
                <w:kern w:val="0"/>
                <w:sz w:val="22"/>
                <w:szCs w:val="22"/>
              </w:rPr>
              <w:t>办公设备购置</w:t>
            </w:r>
          </w:p>
        </w:tc>
        <w:tc>
          <w:tcPr>
            <w:tcW w:w="1540" w:type="dxa"/>
            <w:tcBorders>
              <w:top w:val="single" w:color="000000" w:sz="4" w:space="0"/>
              <w:left w:val="single" w:color="000000" w:sz="4" w:space="0"/>
              <w:bottom w:val="single" w:color="000000" w:sz="4" w:space="0"/>
              <w:right w:val="single" w:color="000000" w:sz="4" w:space="0"/>
            </w:tcBorders>
            <w:vAlign w:val="center"/>
          </w:tcPr>
          <w:p w14:paraId="752D48BF">
            <w:pPr>
              <w:widowControl/>
              <w:jc w:val="center"/>
              <w:textAlignment w:val="center"/>
              <w:rPr>
                <w:rFonts w:ascii="宋体"/>
                <w:color w:val="000000"/>
                <w:sz w:val="22"/>
                <w:szCs w:val="22"/>
              </w:rPr>
            </w:pPr>
            <w:r>
              <w:rPr>
                <w:rFonts w:ascii="宋体" w:hAnsi="宋体" w:cs="宋体"/>
                <w:color w:val="000000"/>
                <w:kern w:val="0"/>
                <w:sz w:val="22"/>
                <w:szCs w:val="22"/>
              </w:rPr>
              <w:t>3.5</w:t>
            </w:r>
          </w:p>
        </w:tc>
        <w:tc>
          <w:tcPr>
            <w:tcW w:w="1505" w:type="dxa"/>
            <w:tcBorders>
              <w:top w:val="single" w:color="000000" w:sz="4" w:space="0"/>
              <w:left w:val="single" w:color="000000" w:sz="4" w:space="0"/>
              <w:bottom w:val="single" w:color="000000" w:sz="4" w:space="0"/>
              <w:right w:val="single" w:color="000000" w:sz="4" w:space="0"/>
            </w:tcBorders>
            <w:vAlign w:val="center"/>
          </w:tcPr>
          <w:p w14:paraId="48183E1C">
            <w:pPr>
              <w:widowControl/>
              <w:jc w:val="center"/>
              <w:textAlignment w:val="center"/>
              <w:rPr>
                <w:rFonts w:ascii="宋体"/>
                <w:color w:val="000000"/>
                <w:sz w:val="22"/>
                <w:szCs w:val="22"/>
              </w:rPr>
            </w:pPr>
            <w:r>
              <w:rPr>
                <w:rFonts w:hint="eastAsia" w:ascii="宋体" w:hAnsi="宋体" w:cs="宋体"/>
                <w:color w:val="000000"/>
                <w:kern w:val="0"/>
                <w:sz w:val="22"/>
                <w:szCs w:val="22"/>
              </w:rPr>
              <w:t>空调</w:t>
            </w:r>
          </w:p>
        </w:tc>
        <w:tc>
          <w:tcPr>
            <w:tcW w:w="640" w:type="dxa"/>
            <w:tcBorders>
              <w:top w:val="single" w:color="000000" w:sz="4" w:space="0"/>
              <w:left w:val="single" w:color="000000" w:sz="4" w:space="0"/>
              <w:bottom w:val="single" w:color="000000" w:sz="4" w:space="0"/>
              <w:right w:val="single" w:color="000000" w:sz="4" w:space="0"/>
            </w:tcBorders>
            <w:vAlign w:val="center"/>
          </w:tcPr>
          <w:p w14:paraId="47097D81">
            <w:pPr>
              <w:jc w:val="center"/>
              <w:rPr>
                <w:rFonts w:ascii="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vAlign w:val="center"/>
          </w:tcPr>
          <w:p w14:paraId="5BD2E8C4">
            <w:pPr>
              <w:widowControl/>
              <w:jc w:val="center"/>
              <w:textAlignment w:val="center"/>
              <w:rPr>
                <w:rFonts w:ascii="宋体"/>
                <w:color w:val="000000"/>
                <w:sz w:val="22"/>
                <w:szCs w:val="22"/>
              </w:rPr>
            </w:pPr>
            <w:r>
              <w:rPr>
                <w:rFonts w:hint="eastAsia" w:ascii="宋体" w:hAnsi="宋体" w:cs="宋体"/>
                <w:color w:val="000000"/>
                <w:kern w:val="0"/>
                <w:sz w:val="22"/>
                <w:szCs w:val="22"/>
              </w:rPr>
              <w:t>台</w:t>
            </w:r>
          </w:p>
        </w:tc>
        <w:tc>
          <w:tcPr>
            <w:tcW w:w="826" w:type="dxa"/>
            <w:tcBorders>
              <w:top w:val="single" w:color="000000" w:sz="4" w:space="0"/>
              <w:left w:val="single" w:color="000000" w:sz="4" w:space="0"/>
              <w:bottom w:val="single" w:color="000000" w:sz="4" w:space="0"/>
              <w:right w:val="single" w:color="000000" w:sz="4" w:space="0"/>
            </w:tcBorders>
            <w:vAlign w:val="center"/>
          </w:tcPr>
          <w:p w14:paraId="672FB610">
            <w:pPr>
              <w:widowControl/>
              <w:jc w:val="center"/>
              <w:textAlignment w:val="center"/>
              <w:rPr>
                <w:rFonts w:ascii="宋体"/>
                <w:color w:val="000000"/>
                <w:sz w:val="22"/>
                <w:szCs w:val="22"/>
              </w:rPr>
            </w:pPr>
            <w:r>
              <w:rPr>
                <w:rFonts w:ascii="宋体" w:hAnsi="宋体" w:cs="宋体"/>
                <w:color w:val="000000"/>
                <w:kern w:val="0"/>
                <w:sz w:val="22"/>
                <w:szCs w:val="22"/>
              </w:rPr>
              <w:t>10</w:t>
            </w:r>
          </w:p>
        </w:tc>
        <w:tc>
          <w:tcPr>
            <w:tcW w:w="981" w:type="dxa"/>
            <w:tcBorders>
              <w:top w:val="single" w:color="000000" w:sz="4" w:space="0"/>
              <w:left w:val="single" w:color="000000" w:sz="4" w:space="0"/>
              <w:bottom w:val="single" w:color="000000" w:sz="4" w:space="0"/>
              <w:right w:val="single" w:color="000000" w:sz="4" w:space="0"/>
            </w:tcBorders>
            <w:vAlign w:val="center"/>
          </w:tcPr>
          <w:p w14:paraId="3F039443">
            <w:pPr>
              <w:widowControl/>
              <w:jc w:val="center"/>
              <w:textAlignment w:val="center"/>
              <w:rPr>
                <w:rFonts w:ascii="宋体"/>
                <w:color w:val="000000"/>
                <w:sz w:val="22"/>
                <w:szCs w:val="22"/>
              </w:rPr>
            </w:pPr>
            <w:r>
              <w:rPr>
                <w:rFonts w:ascii="宋体" w:hAnsi="宋体" w:cs="宋体"/>
                <w:color w:val="000000"/>
                <w:kern w:val="0"/>
                <w:sz w:val="22"/>
                <w:szCs w:val="22"/>
              </w:rPr>
              <w:t>0.35</w:t>
            </w:r>
          </w:p>
        </w:tc>
        <w:tc>
          <w:tcPr>
            <w:tcW w:w="1010" w:type="dxa"/>
            <w:tcBorders>
              <w:top w:val="single" w:color="000000" w:sz="4" w:space="0"/>
              <w:left w:val="single" w:color="000000" w:sz="4" w:space="0"/>
              <w:bottom w:val="single" w:color="000000" w:sz="4" w:space="0"/>
              <w:right w:val="single" w:color="000000" w:sz="4" w:space="0"/>
            </w:tcBorders>
            <w:vAlign w:val="center"/>
          </w:tcPr>
          <w:p w14:paraId="0BA5B816">
            <w:pPr>
              <w:widowControl/>
              <w:jc w:val="center"/>
              <w:textAlignment w:val="center"/>
              <w:rPr>
                <w:rFonts w:ascii="宋体"/>
                <w:color w:val="000000"/>
                <w:sz w:val="22"/>
                <w:szCs w:val="22"/>
              </w:rPr>
            </w:pPr>
            <w:r>
              <w:rPr>
                <w:rFonts w:ascii="宋体" w:hAnsi="宋体" w:cs="宋体"/>
                <w:color w:val="000000"/>
                <w:kern w:val="0"/>
                <w:sz w:val="22"/>
                <w:szCs w:val="22"/>
              </w:rPr>
              <w:t>3.5</w:t>
            </w:r>
          </w:p>
        </w:tc>
        <w:tc>
          <w:tcPr>
            <w:tcW w:w="927" w:type="dxa"/>
            <w:tcBorders>
              <w:top w:val="single" w:color="000000" w:sz="4" w:space="0"/>
              <w:left w:val="single" w:color="000000" w:sz="4" w:space="0"/>
              <w:bottom w:val="single" w:color="000000" w:sz="4" w:space="0"/>
              <w:right w:val="single" w:color="000000" w:sz="4" w:space="0"/>
            </w:tcBorders>
            <w:vAlign w:val="center"/>
          </w:tcPr>
          <w:p w14:paraId="4F7899E3">
            <w:pPr>
              <w:widowControl/>
              <w:jc w:val="center"/>
              <w:textAlignment w:val="center"/>
              <w:rPr>
                <w:rFonts w:ascii="宋体"/>
                <w:color w:val="000000"/>
                <w:sz w:val="22"/>
                <w:szCs w:val="22"/>
              </w:rPr>
            </w:pPr>
            <w:r>
              <w:rPr>
                <w:rFonts w:ascii="宋体" w:hAnsi="宋体" w:cs="宋体"/>
                <w:color w:val="000000"/>
                <w:kern w:val="0"/>
                <w:sz w:val="22"/>
                <w:szCs w:val="22"/>
              </w:rPr>
              <w:t>3.5</w:t>
            </w:r>
          </w:p>
        </w:tc>
        <w:tc>
          <w:tcPr>
            <w:tcW w:w="1001" w:type="dxa"/>
            <w:tcBorders>
              <w:top w:val="single" w:color="000000" w:sz="4" w:space="0"/>
              <w:left w:val="single" w:color="000000" w:sz="4" w:space="0"/>
              <w:bottom w:val="single" w:color="000000" w:sz="4" w:space="0"/>
              <w:right w:val="single" w:color="000000" w:sz="4" w:space="0"/>
            </w:tcBorders>
            <w:vAlign w:val="center"/>
          </w:tcPr>
          <w:p w14:paraId="31BF7D7C">
            <w:pPr>
              <w:widowControl/>
              <w:jc w:val="center"/>
              <w:textAlignment w:val="center"/>
              <w:rPr>
                <w:rFonts w:ascii="宋体"/>
                <w:color w:val="000000"/>
                <w:sz w:val="22"/>
                <w:szCs w:val="22"/>
              </w:rPr>
            </w:pPr>
            <w:r>
              <w:rPr>
                <w:rFonts w:ascii="宋体" w:hAnsi="宋体" w:cs="宋体"/>
                <w:color w:val="000000"/>
                <w:kern w:val="0"/>
                <w:sz w:val="22"/>
                <w:szCs w:val="22"/>
              </w:rPr>
              <w:t>3.5</w:t>
            </w:r>
          </w:p>
        </w:tc>
        <w:tc>
          <w:tcPr>
            <w:tcW w:w="789" w:type="dxa"/>
            <w:tcBorders>
              <w:top w:val="single" w:color="000000" w:sz="4" w:space="0"/>
              <w:left w:val="single" w:color="000000" w:sz="4" w:space="0"/>
              <w:bottom w:val="single" w:color="000000" w:sz="4" w:space="0"/>
              <w:right w:val="single" w:color="000000" w:sz="4" w:space="0"/>
            </w:tcBorders>
            <w:vAlign w:val="center"/>
          </w:tcPr>
          <w:p w14:paraId="4BCDC4BC">
            <w:pPr>
              <w:rPr>
                <w:rFonts w:ascii="宋体"/>
                <w:color w:val="000000"/>
                <w:sz w:val="22"/>
                <w:szCs w:val="22"/>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6762C37C">
            <w:pPr>
              <w:rPr>
                <w:rFonts w:ascii="宋体"/>
                <w:color w:val="000000"/>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75FD9911">
            <w:pPr>
              <w:rPr>
                <w:rFonts w:ascii="宋体"/>
                <w:color w:val="000000"/>
                <w:sz w:val="22"/>
                <w:szCs w:val="22"/>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CCB924F">
            <w:pPr>
              <w:rPr>
                <w:rFonts w:ascii="宋体"/>
                <w:color w:val="000000"/>
                <w:sz w:val="22"/>
                <w:szCs w:val="22"/>
              </w:rPr>
            </w:pPr>
          </w:p>
        </w:tc>
      </w:tr>
    </w:tbl>
    <w:p w14:paraId="3896F896">
      <w:pPr>
        <w:autoSpaceDE w:val="0"/>
        <w:autoSpaceDN w:val="0"/>
        <w:adjustRightInd w:val="0"/>
        <w:jc w:val="left"/>
        <w:rPr>
          <w:rFonts w:ascii="黑体" w:hAnsi="黑体" w:eastAsia="黑体"/>
          <w:b/>
          <w:bCs/>
          <w:sz w:val="32"/>
          <w:szCs w:val="32"/>
        </w:rPr>
      </w:pPr>
    </w:p>
    <w:p w14:paraId="5A631A3F">
      <w:pPr>
        <w:autoSpaceDE w:val="0"/>
        <w:autoSpaceDN w:val="0"/>
        <w:adjustRightInd w:val="0"/>
        <w:ind w:firstLine="643" w:firstLineChars="200"/>
        <w:jc w:val="left"/>
        <w:rPr>
          <w:rFonts w:ascii="黑体" w:hAnsi="黑体" w:eastAsia="黑体"/>
          <w:b/>
          <w:bCs/>
          <w:sz w:val="32"/>
          <w:szCs w:val="32"/>
        </w:rPr>
      </w:pPr>
      <w:r>
        <w:rPr>
          <w:rFonts w:hint="eastAsia" w:ascii="黑体" w:hAnsi="黑体" w:eastAsia="黑体" w:cs="黑体"/>
          <w:b/>
          <w:bCs/>
          <w:sz w:val="32"/>
          <w:szCs w:val="32"/>
        </w:rPr>
        <w:t>七、国有资产信息</w:t>
      </w:r>
    </w:p>
    <w:p w14:paraId="2B18ACB7">
      <w:pPr>
        <w:ind w:firstLine="640" w:firstLineChars="200"/>
        <w:rPr>
          <w:rFonts w:ascii="仿宋_GB2312" w:eastAsia="仿宋_GB2312"/>
          <w:sz w:val="32"/>
          <w:szCs w:val="32"/>
        </w:rPr>
      </w:pPr>
      <w:r>
        <w:rPr>
          <w:rFonts w:hint="eastAsia" w:ascii="仿宋_GB2312" w:hAnsi="黑体" w:eastAsia="仿宋_GB2312" w:cs="仿宋_GB2312"/>
          <w:sz w:val="32"/>
          <w:szCs w:val="32"/>
        </w:rPr>
        <w:t>馆陶县工商行政和食品药品监督管理局年末固定资产金额为</w:t>
      </w:r>
      <w:r>
        <w:rPr>
          <w:rFonts w:ascii="仿宋_GB2312" w:eastAsia="仿宋_GB2312" w:cs="仿宋_GB2312"/>
          <w:sz w:val="32"/>
          <w:szCs w:val="32"/>
        </w:rPr>
        <w:t>737.88</w:t>
      </w:r>
      <w:r>
        <w:rPr>
          <w:rFonts w:hint="eastAsia" w:ascii="仿宋_GB2312" w:eastAsia="仿宋_GB2312" w:cs="仿宋_GB2312"/>
          <w:sz w:val="32"/>
          <w:szCs w:val="32"/>
        </w:rPr>
        <w:t>万元。</w:t>
      </w:r>
      <w:r>
        <w:rPr>
          <w:rFonts w:hint="eastAsia" w:ascii="仿宋_GB2312" w:hAnsi="黑体" w:eastAsia="仿宋_GB2312" w:cs="仿宋_GB2312"/>
          <w:sz w:val="32"/>
          <w:szCs w:val="32"/>
        </w:rPr>
        <w:t>（</w:t>
      </w:r>
      <w:r>
        <w:rPr>
          <w:rFonts w:hint="eastAsia" w:ascii="仿宋_GB2312" w:eastAsia="仿宋_GB2312" w:cs="仿宋_GB2312"/>
          <w:sz w:val="32"/>
          <w:szCs w:val="32"/>
        </w:rPr>
        <w:t>详见下表）</w:t>
      </w:r>
    </w:p>
    <w:p w14:paraId="14100B44">
      <w:pPr>
        <w:ind w:firstLine="640" w:firstLineChars="200"/>
        <w:rPr>
          <w:rFonts w:ascii="黑体" w:hAnsi="黑体" w:eastAsia="黑体"/>
          <w:sz w:val="32"/>
          <w:szCs w:val="32"/>
        </w:rPr>
      </w:pPr>
      <w:r>
        <w:rPr>
          <w:rFonts w:hint="eastAsia" w:ascii="仿宋_GB2312" w:eastAsia="仿宋_GB2312" w:cs="仿宋_GB2312"/>
          <w:sz w:val="32"/>
          <w:szCs w:val="32"/>
        </w:rPr>
        <w:t>本年度各单位拟购置固定资产总额为</w:t>
      </w:r>
      <w:r>
        <w:rPr>
          <w:rFonts w:ascii="仿宋_GB2312" w:eastAsia="仿宋_GB2312" w:cs="仿宋_GB2312"/>
          <w:sz w:val="32"/>
          <w:szCs w:val="32"/>
        </w:rPr>
        <w:t>15</w:t>
      </w:r>
      <w:r>
        <w:rPr>
          <w:rFonts w:hint="eastAsia" w:ascii="仿宋_GB2312" w:eastAsia="仿宋_GB2312" w:cs="仿宋_GB2312"/>
          <w:sz w:val="32"/>
          <w:szCs w:val="32"/>
        </w:rPr>
        <w:t>万元，主要为空调、电脑、打印机等，已列入政府采购预算表，详见政府采购预算表。</w:t>
      </w:r>
    </w:p>
    <w:p w14:paraId="65429D02">
      <w:pPr>
        <w:autoSpaceDE w:val="0"/>
        <w:autoSpaceDN w:val="0"/>
        <w:adjustRightInd w:val="0"/>
        <w:ind w:left="197" w:leftChars="94" w:firstLine="3360" w:firstLineChars="1050"/>
        <w:jc w:val="left"/>
        <w:rPr>
          <w:rFonts w:ascii="黑体" w:hAnsi="黑体" w:eastAsia="黑体"/>
          <w:sz w:val="32"/>
          <w:szCs w:val="32"/>
        </w:rPr>
      </w:pPr>
      <w:r>
        <w:rPr>
          <w:rFonts w:hint="eastAsia" w:ascii="黑体" w:hAnsi="黑体" w:eastAsia="黑体" w:cs="黑体"/>
          <w:sz w:val="32"/>
          <w:szCs w:val="32"/>
        </w:rPr>
        <w:t>河北省省直部门固定资产占用情况表</w:t>
      </w:r>
    </w:p>
    <w:p w14:paraId="28AAB366">
      <w:pPr>
        <w:autoSpaceDE w:val="0"/>
        <w:autoSpaceDN w:val="0"/>
        <w:adjustRightInd w:val="0"/>
        <w:ind w:left="197" w:leftChars="94" w:firstLine="1280" w:firstLineChars="400"/>
        <w:jc w:val="left"/>
        <w:rPr>
          <w:rFonts w:ascii="仿宋_GB2312" w:hAnsi="宋体" w:eastAsia="仿宋_GB2312"/>
          <w:sz w:val="32"/>
          <w:szCs w:val="32"/>
        </w:rPr>
      </w:pPr>
      <w:r>
        <w:rPr>
          <w:rFonts w:hint="eastAsia" w:ascii="仿宋_GB2312" w:hAnsi="宋体" w:eastAsia="仿宋_GB2312" w:cs="仿宋_GB2312"/>
          <w:sz w:val="32"/>
          <w:szCs w:val="32"/>
        </w:rPr>
        <w:t>编制部门：馆陶县工商食药局</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截止时间：</w:t>
      </w:r>
      <w:r>
        <w:rPr>
          <w:rFonts w:ascii="仿宋_GB2312" w:hAnsi="宋体" w:eastAsia="仿宋_GB2312" w:cs="仿宋_GB2312"/>
          <w:sz w:val="32"/>
          <w:szCs w:val="32"/>
        </w:rPr>
        <w:t>2018</w:t>
      </w:r>
      <w:r>
        <w:rPr>
          <w:rFonts w:hint="eastAsia" w:ascii="仿宋_GB2312" w:hAnsi="宋体" w:eastAsia="仿宋_GB2312" w:cs="仿宋_GB2312"/>
          <w:sz w:val="32"/>
          <w:szCs w:val="32"/>
        </w:rPr>
        <w:t>年</w:t>
      </w:r>
      <w:r>
        <w:rPr>
          <w:rFonts w:ascii="仿宋_GB2312" w:hAnsi="宋体" w:eastAsia="仿宋_GB2312" w:cs="仿宋_GB2312"/>
          <w:sz w:val="32"/>
          <w:szCs w:val="32"/>
        </w:rPr>
        <w:t>12</w:t>
      </w:r>
      <w:r>
        <w:rPr>
          <w:rFonts w:hint="eastAsia" w:ascii="仿宋_GB2312" w:hAnsi="宋体" w:eastAsia="仿宋_GB2312" w:cs="仿宋_GB2312"/>
          <w:sz w:val="32"/>
          <w:szCs w:val="32"/>
        </w:rPr>
        <w:t>月</w:t>
      </w:r>
      <w:r>
        <w:rPr>
          <w:rFonts w:ascii="仿宋_GB2312" w:hAnsi="宋体" w:eastAsia="仿宋_GB2312" w:cs="仿宋_GB2312"/>
          <w:sz w:val="32"/>
          <w:szCs w:val="32"/>
        </w:rPr>
        <w:t>31</w:t>
      </w:r>
      <w:r>
        <w:rPr>
          <w:rFonts w:hint="eastAsia" w:ascii="仿宋_GB2312" w:hAnsi="宋体" w:eastAsia="仿宋_GB2312" w:cs="仿宋_GB2312"/>
          <w:sz w:val="32"/>
          <w:szCs w:val="32"/>
        </w:rPr>
        <w:t>日</w:t>
      </w:r>
    </w:p>
    <w:tbl>
      <w:tblPr>
        <w:tblStyle w:val="4"/>
        <w:tblpPr w:leftFromText="180" w:rightFromText="180" w:vertAnchor="text" w:horzAnchor="margin" w:tblpXSpec="center" w:tblpY="677"/>
        <w:tblW w:w="11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1800"/>
        <w:gridCol w:w="5292"/>
      </w:tblGrid>
      <w:tr w14:paraId="0496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248" w:type="dxa"/>
          </w:tcPr>
          <w:p w14:paraId="0ABD8A4C">
            <w:pPr>
              <w:autoSpaceDE w:val="0"/>
              <w:autoSpaceDN w:val="0"/>
              <w:adjustRightInd w:val="0"/>
              <w:jc w:val="center"/>
              <w:rPr>
                <w:rFonts w:ascii="仿宋_GB2312" w:hAnsi="宋体" w:eastAsia="仿宋_GB2312"/>
                <w:sz w:val="32"/>
                <w:szCs w:val="32"/>
              </w:rPr>
            </w:pPr>
            <w:r>
              <w:rPr>
                <w:rFonts w:hint="eastAsia" w:ascii="仿宋_GB2312" w:hAnsi="宋体" w:eastAsia="仿宋_GB2312" w:cs="仿宋_GB2312"/>
                <w:sz w:val="32"/>
                <w:szCs w:val="32"/>
              </w:rPr>
              <w:t>项目</w:t>
            </w:r>
          </w:p>
        </w:tc>
        <w:tc>
          <w:tcPr>
            <w:tcW w:w="1800" w:type="dxa"/>
          </w:tcPr>
          <w:p w14:paraId="2C845414">
            <w:pPr>
              <w:autoSpaceDE w:val="0"/>
              <w:autoSpaceDN w:val="0"/>
              <w:adjustRightInd w:val="0"/>
              <w:jc w:val="center"/>
              <w:rPr>
                <w:rFonts w:ascii="仿宋_GB2312" w:hAnsi="宋体" w:eastAsia="仿宋_GB2312"/>
                <w:sz w:val="32"/>
                <w:szCs w:val="32"/>
              </w:rPr>
            </w:pPr>
            <w:r>
              <w:rPr>
                <w:rFonts w:hint="eastAsia" w:ascii="仿宋_GB2312" w:hAnsi="宋体" w:eastAsia="仿宋_GB2312" w:cs="仿宋_GB2312"/>
                <w:sz w:val="32"/>
                <w:szCs w:val="32"/>
              </w:rPr>
              <w:t>数量</w:t>
            </w:r>
          </w:p>
        </w:tc>
        <w:tc>
          <w:tcPr>
            <w:tcW w:w="5292" w:type="dxa"/>
          </w:tcPr>
          <w:p w14:paraId="5701AAF2">
            <w:pPr>
              <w:autoSpaceDE w:val="0"/>
              <w:autoSpaceDN w:val="0"/>
              <w:adjustRightInd w:val="0"/>
              <w:jc w:val="center"/>
              <w:rPr>
                <w:rFonts w:ascii="仿宋_GB2312" w:hAnsi="宋体" w:eastAsia="仿宋_GB2312"/>
                <w:sz w:val="32"/>
                <w:szCs w:val="32"/>
              </w:rPr>
            </w:pPr>
            <w:r>
              <w:rPr>
                <w:rFonts w:hint="eastAsia" w:ascii="仿宋_GB2312" w:hAnsi="宋体" w:eastAsia="仿宋_GB2312" w:cs="仿宋_GB2312"/>
                <w:sz w:val="32"/>
                <w:szCs w:val="32"/>
              </w:rPr>
              <w:t>价值（份额单位：万元）</w:t>
            </w:r>
          </w:p>
        </w:tc>
      </w:tr>
      <w:tr w14:paraId="4A4E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248" w:type="dxa"/>
          </w:tcPr>
          <w:p w14:paraId="2FA75359">
            <w:pPr>
              <w:autoSpaceDE w:val="0"/>
              <w:autoSpaceDN w:val="0"/>
              <w:adjustRightInd w:val="0"/>
              <w:jc w:val="center"/>
              <w:rPr>
                <w:rFonts w:ascii="仿宋_GB2312" w:hAnsi="宋体" w:eastAsia="仿宋_GB2312"/>
                <w:sz w:val="32"/>
                <w:szCs w:val="32"/>
              </w:rPr>
            </w:pPr>
            <w:r>
              <w:rPr>
                <w:rFonts w:hint="eastAsia" w:ascii="仿宋_GB2312" w:hAnsi="宋体" w:eastAsia="仿宋_GB2312" w:cs="仿宋_GB2312"/>
                <w:sz w:val="32"/>
                <w:szCs w:val="32"/>
              </w:rPr>
              <w:t>资产总额</w:t>
            </w:r>
          </w:p>
        </w:tc>
        <w:tc>
          <w:tcPr>
            <w:tcW w:w="1800" w:type="dxa"/>
          </w:tcPr>
          <w:p w14:paraId="413A6BF0">
            <w:pPr>
              <w:autoSpaceDE w:val="0"/>
              <w:autoSpaceDN w:val="0"/>
              <w:adjustRightInd w:val="0"/>
              <w:jc w:val="center"/>
              <w:rPr>
                <w:rFonts w:ascii="仿宋_GB2312" w:hAnsi="宋体" w:eastAsia="仿宋_GB2312"/>
                <w:sz w:val="32"/>
                <w:szCs w:val="32"/>
              </w:rPr>
            </w:pPr>
            <w:r>
              <w:rPr>
                <w:rFonts w:ascii="仿宋_GB2312" w:hAnsi="宋体" w:eastAsia="仿宋_GB2312" w:cs="仿宋_GB2312"/>
                <w:sz w:val="32"/>
                <w:szCs w:val="32"/>
              </w:rPr>
              <w:t>——</w:t>
            </w:r>
          </w:p>
        </w:tc>
        <w:tc>
          <w:tcPr>
            <w:tcW w:w="5292" w:type="dxa"/>
          </w:tcPr>
          <w:p w14:paraId="1F707591">
            <w:pPr>
              <w:autoSpaceDE w:val="0"/>
              <w:autoSpaceDN w:val="0"/>
              <w:adjustRightInd w:val="0"/>
              <w:jc w:val="left"/>
              <w:rPr>
                <w:rFonts w:ascii="仿宋_GB2312" w:hAnsi="宋体" w:eastAsia="仿宋_GB2312" w:cs="仿宋_GB2312"/>
                <w:sz w:val="32"/>
                <w:szCs w:val="32"/>
              </w:rPr>
            </w:pPr>
            <w:r>
              <w:rPr>
                <w:rFonts w:ascii="仿宋_GB2312" w:hAnsi="宋体" w:eastAsia="仿宋_GB2312" w:cs="仿宋_GB2312"/>
                <w:sz w:val="32"/>
                <w:szCs w:val="32"/>
              </w:rPr>
              <w:t>737.88</w:t>
            </w:r>
          </w:p>
        </w:tc>
      </w:tr>
      <w:tr w14:paraId="562E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Pr>
          <w:p w14:paraId="59523DD1">
            <w:pPr>
              <w:autoSpaceDE w:val="0"/>
              <w:autoSpaceDN w:val="0"/>
              <w:adjustRightInd w:val="0"/>
              <w:jc w:val="left"/>
              <w:rPr>
                <w:rFonts w:ascii="仿宋_GB2312" w:hAnsi="宋体" w:eastAsia="仿宋_GB2312"/>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、房屋（平方米）</w:t>
            </w:r>
          </w:p>
        </w:tc>
        <w:tc>
          <w:tcPr>
            <w:tcW w:w="1800" w:type="dxa"/>
          </w:tcPr>
          <w:p w14:paraId="6118E168">
            <w:pPr>
              <w:autoSpaceDE w:val="0"/>
              <w:autoSpaceDN w:val="0"/>
              <w:adjustRightInd w:val="0"/>
              <w:jc w:val="left"/>
              <w:rPr>
                <w:rFonts w:ascii="仿宋_GB2312" w:hAnsi="宋体" w:eastAsia="仿宋_GB2312" w:cs="仿宋_GB2312"/>
                <w:sz w:val="32"/>
                <w:szCs w:val="32"/>
              </w:rPr>
            </w:pPr>
            <w:r>
              <w:rPr>
                <w:rFonts w:ascii="仿宋_GB2312" w:hAnsi="宋体" w:eastAsia="仿宋_GB2312" w:cs="仿宋_GB2312"/>
                <w:sz w:val="32"/>
                <w:szCs w:val="32"/>
              </w:rPr>
              <w:t>4815</w:t>
            </w:r>
          </w:p>
        </w:tc>
        <w:tc>
          <w:tcPr>
            <w:tcW w:w="5292" w:type="dxa"/>
          </w:tcPr>
          <w:p w14:paraId="0EC03608">
            <w:pPr>
              <w:autoSpaceDE w:val="0"/>
              <w:autoSpaceDN w:val="0"/>
              <w:adjustRightInd w:val="0"/>
              <w:jc w:val="left"/>
              <w:rPr>
                <w:rFonts w:ascii="仿宋_GB2312" w:hAnsi="宋体" w:eastAsia="仿宋_GB2312" w:cs="仿宋_GB2312"/>
                <w:sz w:val="32"/>
                <w:szCs w:val="32"/>
              </w:rPr>
            </w:pPr>
            <w:r>
              <w:rPr>
                <w:rFonts w:ascii="仿宋_GB2312" w:hAnsi="宋体" w:eastAsia="仿宋_GB2312" w:cs="仿宋_GB2312"/>
                <w:sz w:val="32"/>
                <w:szCs w:val="32"/>
              </w:rPr>
              <w:t>404.99</w:t>
            </w:r>
          </w:p>
        </w:tc>
      </w:tr>
      <w:tr w14:paraId="7D9A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248" w:type="dxa"/>
          </w:tcPr>
          <w:p w14:paraId="02EE8AA3">
            <w:pPr>
              <w:autoSpaceDE w:val="0"/>
              <w:autoSpaceDN w:val="0"/>
              <w:adjustRightInd w:val="0"/>
              <w:jc w:val="left"/>
              <w:rPr>
                <w:rFonts w:ascii="仿宋_GB2312" w:hAnsi="宋体" w:eastAsia="仿宋_GB2312"/>
                <w:sz w:val="32"/>
                <w:szCs w:val="32"/>
              </w:rPr>
            </w:pPr>
            <w:r>
              <w:rPr>
                <w:rFonts w:hint="eastAsia" w:ascii="仿宋_GB2312" w:hAnsi="宋体" w:eastAsia="仿宋_GB2312" w:cs="仿宋_GB2312"/>
                <w:sz w:val="32"/>
                <w:szCs w:val="32"/>
              </w:rPr>
              <w:t>其中：办公用房（平方米）</w:t>
            </w:r>
          </w:p>
        </w:tc>
        <w:tc>
          <w:tcPr>
            <w:tcW w:w="1800" w:type="dxa"/>
          </w:tcPr>
          <w:p w14:paraId="0EB530DF">
            <w:pPr>
              <w:autoSpaceDE w:val="0"/>
              <w:autoSpaceDN w:val="0"/>
              <w:adjustRightInd w:val="0"/>
              <w:jc w:val="left"/>
              <w:rPr>
                <w:rFonts w:ascii="仿宋_GB2312" w:hAnsi="宋体" w:eastAsia="仿宋_GB2312" w:cs="仿宋_GB2312"/>
                <w:sz w:val="32"/>
                <w:szCs w:val="32"/>
              </w:rPr>
            </w:pPr>
            <w:r>
              <w:rPr>
                <w:rFonts w:ascii="仿宋_GB2312" w:hAnsi="宋体" w:eastAsia="仿宋_GB2312" w:cs="仿宋_GB2312"/>
                <w:sz w:val="32"/>
                <w:szCs w:val="32"/>
              </w:rPr>
              <w:t>4815</w:t>
            </w:r>
          </w:p>
        </w:tc>
        <w:tc>
          <w:tcPr>
            <w:tcW w:w="5292" w:type="dxa"/>
          </w:tcPr>
          <w:p w14:paraId="5098A162">
            <w:pPr>
              <w:autoSpaceDE w:val="0"/>
              <w:autoSpaceDN w:val="0"/>
              <w:adjustRightInd w:val="0"/>
              <w:jc w:val="left"/>
              <w:rPr>
                <w:rFonts w:ascii="仿宋_GB2312" w:hAnsi="宋体" w:eastAsia="仿宋_GB2312" w:cs="仿宋_GB2312"/>
                <w:sz w:val="32"/>
                <w:szCs w:val="32"/>
              </w:rPr>
            </w:pPr>
            <w:r>
              <w:rPr>
                <w:rFonts w:ascii="仿宋_GB2312" w:hAnsi="宋体" w:eastAsia="仿宋_GB2312" w:cs="仿宋_GB2312"/>
                <w:sz w:val="32"/>
                <w:szCs w:val="32"/>
              </w:rPr>
              <w:t>404.99</w:t>
            </w:r>
          </w:p>
        </w:tc>
      </w:tr>
      <w:tr w14:paraId="4E19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248" w:type="dxa"/>
          </w:tcPr>
          <w:p w14:paraId="373DD20E">
            <w:pPr>
              <w:autoSpaceDE w:val="0"/>
              <w:autoSpaceDN w:val="0"/>
              <w:adjustRightInd w:val="0"/>
              <w:jc w:val="left"/>
              <w:rPr>
                <w:rFonts w:ascii="仿宋_GB2312" w:hAnsi="宋体" w:eastAsia="仿宋_GB2312"/>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、车辆（台、辆）</w:t>
            </w:r>
          </w:p>
        </w:tc>
        <w:tc>
          <w:tcPr>
            <w:tcW w:w="1800" w:type="dxa"/>
          </w:tcPr>
          <w:p w14:paraId="47A3C6B2">
            <w:pPr>
              <w:autoSpaceDE w:val="0"/>
              <w:autoSpaceDN w:val="0"/>
              <w:adjustRightInd w:val="0"/>
              <w:jc w:val="left"/>
              <w:rPr>
                <w:rFonts w:ascii="仿宋_GB2312" w:hAnsi="宋体" w:eastAsia="仿宋_GB2312" w:cs="仿宋_GB2312"/>
                <w:sz w:val="32"/>
                <w:szCs w:val="32"/>
              </w:rPr>
            </w:pPr>
            <w:r>
              <w:rPr>
                <w:rFonts w:ascii="仿宋_GB2312" w:hAnsi="宋体" w:eastAsia="仿宋_GB2312" w:cs="仿宋_GB2312"/>
                <w:sz w:val="32"/>
                <w:szCs w:val="32"/>
              </w:rPr>
              <w:t>12</w:t>
            </w:r>
          </w:p>
        </w:tc>
        <w:tc>
          <w:tcPr>
            <w:tcW w:w="5292" w:type="dxa"/>
          </w:tcPr>
          <w:p w14:paraId="2449985F">
            <w:pPr>
              <w:autoSpaceDE w:val="0"/>
              <w:autoSpaceDN w:val="0"/>
              <w:adjustRightInd w:val="0"/>
              <w:jc w:val="left"/>
              <w:rPr>
                <w:rFonts w:ascii="仿宋_GB2312" w:hAnsi="宋体" w:eastAsia="仿宋_GB2312" w:cs="仿宋_GB2312"/>
                <w:sz w:val="32"/>
                <w:szCs w:val="32"/>
              </w:rPr>
            </w:pPr>
            <w:r>
              <w:rPr>
                <w:rFonts w:ascii="仿宋_GB2312" w:hAnsi="宋体" w:eastAsia="仿宋_GB2312" w:cs="仿宋_GB2312"/>
                <w:sz w:val="32"/>
                <w:szCs w:val="32"/>
              </w:rPr>
              <w:t>125.09</w:t>
            </w:r>
          </w:p>
        </w:tc>
      </w:tr>
      <w:tr w14:paraId="28E7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248" w:type="dxa"/>
          </w:tcPr>
          <w:p w14:paraId="4BE3466D">
            <w:pPr>
              <w:autoSpaceDE w:val="0"/>
              <w:autoSpaceDN w:val="0"/>
              <w:adjustRightInd w:val="0"/>
              <w:jc w:val="left"/>
              <w:rPr>
                <w:rFonts w:ascii="仿宋_GB2312" w:hAnsi="宋体" w:eastAsia="仿宋_GB2312"/>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、单价在</w:t>
            </w:r>
            <w:r>
              <w:rPr>
                <w:rFonts w:ascii="仿宋_GB2312" w:hAnsi="宋体" w:eastAsia="仿宋_GB2312" w:cs="仿宋_GB2312"/>
                <w:sz w:val="32"/>
                <w:szCs w:val="32"/>
              </w:rPr>
              <w:t>20</w:t>
            </w:r>
            <w:r>
              <w:rPr>
                <w:rFonts w:hint="eastAsia" w:ascii="仿宋_GB2312" w:hAnsi="宋体" w:eastAsia="仿宋_GB2312" w:cs="仿宋_GB2312"/>
                <w:sz w:val="32"/>
                <w:szCs w:val="32"/>
              </w:rPr>
              <w:t>万元以上设备</w:t>
            </w:r>
          </w:p>
        </w:tc>
        <w:tc>
          <w:tcPr>
            <w:tcW w:w="1800" w:type="dxa"/>
          </w:tcPr>
          <w:p w14:paraId="197B4B55">
            <w:pPr>
              <w:autoSpaceDE w:val="0"/>
              <w:autoSpaceDN w:val="0"/>
              <w:adjustRightInd w:val="0"/>
              <w:jc w:val="center"/>
              <w:rPr>
                <w:rFonts w:ascii="仿宋_GB2312" w:hAnsi="宋体" w:eastAsia="仿宋_GB2312"/>
                <w:sz w:val="32"/>
                <w:szCs w:val="32"/>
              </w:rPr>
            </w:pPr>
            <w:r>
              <w:rPr>
                <w:rFonts w:ascii="仿宋_GB2312" w:hAnsi="宋体" w:eastAsia="仿宋_GB2312" w:cs="仿宋_GB2312"/>
                <w:sz w:val="32"/>
                <w:szCs w:val="32"/>
              </w:rPr>
              <w:t>——</w:t>
            </w:r>
          </w:p>
        </w:tc>
        <w:tc>
          <w:tcPr>
            <w:tcW w:w="5292" w:type="dxa"/>
          </w:tcPr>
          <w:p w14:paraId="3A59E005">
            <w:pPr>
              <w:autoSpaceDE w:val="0"/>
              <w:autoSpaceDN w:val="0"/>
              <w:adjustRightInd w:val="0"/>
              <w:jc w:val="left"/>
              <w:rPr>
                <w:rFonts w:ascii="仿宋_GB2312" w:hAnsi="宋体" w:eastAsia="仿宋_GB2312"/>
                <w:sz w:val="32"/>
                <w:szCs w:val="32"/>
              </w:rPr>
            </w:pPr>
          </w:p>
        </w:tc>
      </w:tr>
      <w:tr w14:paraId="05EC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248" w:type="dxa"/>
          </w:tcPr>
          <w:p w14:paraId="1168B5FB">
            <w:pPr>
              <w:autoSpaceDE w:val="0"/>
              <w:autoSpaceDN w:val="0"/>
              <w:adjustRightInd w:val="0"/>
              <w:jc w:val="left"/>
              <w:rPr>
                <w:rFonts w:ascii="仿宋_GB2312" w:hAnsi="宋体" w:eastAsia="仿宋_GB2312"/>
                <w:sz w:val="32"/>
                <w:szCs w:val="32"/>
              </w:rPr>
            </w:pPr>
            <w:r>
              <w:rPr>
                <w:rFonts w:ascii="仿宋_GB2312" w:hAnsi="宋体" w:eastAsia="仿宋_GB2312" w:cs="仿宋_GB2312"/>
                <w:sz w:val="32"/>
                <w:szCs w:val="32"/>
              </w:rPr>
              <w:t>4</w:t>
            </w:r>
            <w:r>
              <w:rPr>
                <w:rFonts w:hint="eastAsia" w:ascii="仿宋_GB2312" w:hAnsi="宋体" w:eastAsia="仿宋_GB2312" w:cs="仿宋_GB2312"/>
                <w:sz w:val="32"/>
                <w:szCs w:val="32"/>
              </w:rPr>
              <w:t>、其他固定资产</w:t>
            </w:r>
          </w:p>
        </w:tc>
        <w:tc>
          <w:tcPr>
            <w:tcW w:w="1800" w:type="dxa"/>
          </w:tcPr>
          <w:p w14:paraId="31BF0B98">
            <w:pPr>
              <w:autoSpaceDE w:val="0"/>
              <w:autoSpaceDN w:val="0"/>
              <w:adjustRightInd w:val="0"/>
              <w:jc w:val="center"/>
              <w:rPr>
                <w:rFonts w:ascii="仿宋_GB2312" w:hAnsi="宋体" w:eastAsia="仿宋_GB2312"/>
                <w:sz w:val="32"/>
                <w:szCs w:val="32"/>
              </w:rPr>
            </w:pPr>
            <w:r>
              <w:rPr>
                <w:rFonts w:ascii="仿宋_GB2312" w:hAnsi="宋体" w:eastAsia="仿宋_GB2312" w:cs="仿宋_GB2312"/>
                <w:sz w:val="32"/>
                <w:szCs w:val="32"/>
              </w:rPr>
              <w:t>——</w:t>
            </w:r>
          </w:p>
        </w:tc>
        <w:tc>
          <w:tcPr>
            <w:tcW w:w="5292" w:type="dxa"/>
          </w:tcPr>
          <w:p w14:paraId="542E2F7C">
            <w:pPr>
              <w:autoSpaceDE w:val="0"/>
              <w:autoSpaceDN w:val="0"/>
              <w:adjustRightInd w:val="0"/>
              <w:jc w:val="left"/>
              <w:rPr>
                <w:rFonts w:ascii="仿宋_GB2312" w:hAnsi="宋体" w:eastAsia="仿宋_GB2312" w:cs="仿宋_GB2312"/>
                <w:sz w:val="32"/>
                <w:szCs w:val="32"/>
              </w:rPr>
            </w:pPr>
            <w:r>
              <w:rPr>
                <w:rFonts w:ascii="仿宋_GB2312" w:hAnsi="宋体" w:eastAsia="仿宋_GB2312" w:cs="仿宋_GB2312"/>
                <w:sz w:val="32"/>
                <w:szCs w:val="32"/>
              </w:rPr>
              <w:t>207.8</w:t>
            </w:r>
          </w:p>
        </w:tc>
      </w:tr>
    </w:tbl>
    <w:p w14:paraId="71005731">
      <w:pPr>
        <w:autoSpaceDE w:val="0"/>
        <w:autoSpaceDN w:val="0"/>
        <w:adjustRightInd w:val="0"/>
        <w:ind w:left="198" w:firstLine="640" w:firstLineChars="200"/>
        <w:jc w:val="left"/>
        <w:rPr>
          <w:rFonts w:ascii="仿宋_GB2312" w:hAnsi="宋体" w:eastAsia="仿宋_GB2312"/>
          <w:sz w:val="32"/>
          <w:szCs w:val="32"/>
        </w:rPr>
      </w:pPr>
    </w:p>
    <w:p w14:paraId="09EECE5B">
      <w:pPr>
        <w:autoSpaceDE w:val="0"/>
        <w:autoSpaceDN w:val="0"/>
        <w:adjustRightInd w:val="0"/>
        <w:ind w:left="198" w:firstLine="640" w:firstLineChars="200"/>
        <w:jc w:val="left"/>
        <w:rPr>
          <w:rFonts w:ascii="黑体" w:hAnsi="黑体" w:eastAsia="黑体"/>
          <w:sz w:val="32"/>
          <w:szCs w:val="32"/>
        </w:rPr>
      </w:pPr>
    </w:p>
    <w:p w14:paraId="12106873">
      <w:pPr>
        <w:autoSpaceDE w:val="0"/>
        <w:autoSpaceDN w:val="0"/>
        <w:adjustRightInd w:val="0"/>
        <w:ind w:left="198" w:firstLine="640" w:firstLineChars="200"/>
        <w:jc w:val="left"/>
        <w:rPr>
          <w:rFonts w:ascii="黑体" w:hAnsi="黑体" w:eastAsia="黑体"/>
          <w:sz w:val="32"/>
          <w:szCs w:val="32"/>
        </w:rPr>
      </w:pPr>
    </w:p>
    <w:p w14:paraId="42076D88">
      <w:pPr>
        <w:autoSpaceDE w:val="0"/>
        <w:autoSpaceDN w:val="0"/>
        <w:adjustRightInd w:val="0"/>
        <w:ind w:left="198" w:firstLine="640" w:firstLineChars="200"/>
        <w:jc w:val="left"/>
        <w:rPr>
          <w:rFonts w:ascii="黑体" w:hAnsi="黑体" w:eastAsia="黑体"/>
          <w:sz w:val="32"/>
          <w:szCs w:val="32"/>
        </w:rPr>
      </w:pPr>
    </w:p>
    <w:p w14:paraId="26296083">
      <w:pPr>
        <w:autoSpaceDE w:val="0"/>
        <w:autoSpaceDN w:val="0"/>
        <w:adjustRightInd w:val="0"/>
        <w:ind w:left="198" w:firstLine="640" w:firstLineChars="200"/>
        <w:jc w:val="left"/>
        <w:rPr>
          <w:rFonts w:ascii="黑体" w:hAnsi="黑体" w:eastAsia="黑体"/>
          <w:sz w:val="32"/>
          <w:szCs w:val="32"/>
        </w:rPr>
      </w:pPr>
    </w:p>
    <w:p w14:paraId="4F60A8CE">
      <w:pPr>
        <w:autoSpaceDE w:val="0"/>
        <w:autoSpaceDN w:val="0"/>
        <w:adjustRightInd w:val="0"/>
        <w:ind w:left="198" w:firstLine="640" w:firstLineChars="200"/>
        <w:jc w:val="left"/>
        <w:rPr>
          <w:rFonts w:ascii="黑体" w:hAnsi="黑体" w:eastAsia="黑体"/>
          <w:sz w:val="32"/>
          <w:szCs w:val="32"/>
        </w:rPr>
      </w:pPr>
    </w:p>
    <w:p w14:paraId="7A725DFD">
      <w:pPr>
        <w:autoSpaceDE w:val="0"/>
        <w:autoSpaceDN w:val="0"/>
        <w:adjustRightInd w:val="0"/>
        <w:ind w:left="198" w:firstLine="640" w:firstLineChars="200"/>
        <w:jc w:val="left"/>
        <w:rPr>
          <w:rFonts w:ascii="黑体" w:hAnsi="黑体" w:eastAsia="黑体"/>
          <w:sz w:val="32"/>
          <w:szCs w:val="32"/>
        </w:rPr>
      </w:pPr>
    </w:p>
    <w:p w14:paraId="065002C1">
      <w:pPr>
        <w:autoSpaceDE w:val="0"/>
        <w:autoSpaceDN w:val="0"/>
        <w:adjustRightInd w:val="0"/>
        <w:ind w:left="198" w:firstLine="640" w:firstLineChars="200"/>
        <w:jc w:val="left"/>
        <w:rPr>
          <w:rFonts w:ascii="黑体" w:hAnsi="黑体" w:eastAsia="黑体"/>
          <w:sz w:val="32"/>
          <w:szCs w:val="32"/>
        </w:rPr>
      </w:pPr>
    </w:p>
    <w:p w14:paraId="6CFEB9F3">
      <w:pPr>
        <w:autoSpaceDE w:val="0"/>
        <w:autoSpaceDN w:val="0"/>
        <w:adjustRightInd w:val="0"/>
        <w:ind w:left="198" w:firstLine="643" w:firstLineChars="200"/>
        <w:jc w:val="left"/>
        <w:rPr>
          <w:rFonts w:ascii="黑体" w:hAnsi="黑体" w:eastAsia="黑体"/>
          <w:b/>
          <w:bCs/>
          <w:sz w:val="32"/>
          <w:szCs w:val="32"/>
        </w:rPr>
      </w:pPr>
    </w:p>
    <w:p w14:paraId="149F034B">
      <w:pPr>
        <w:autoSpaceDE w:val="0"/>
        <w:autoSpaceDN w:val="0"/>
        <w:adjustRightInd w:val="0"/>
        <w:jc w:val="left"/>
        <w:rPr>
          <w:rFonts w:ascii="黑体" w:hAnsi="黑体" w:eastAsia="黑体"/>
          <w:b/>
          <w:bCs/>
          <w:sz w:val="32"/>
          <w:szCs w:val="32"/>
        </w:rPr>
      </w:pPr>
    </w:p>
    <w:p w14:paraId="50A79D0D">
      <w:pPr>
        <w:autoSpaceDE w:val="0"/>
        <w:autoSpaceDN w:val="0"/>
        <w:adjustRightInd w:val="0"/>
        <w:ind w:left="198" w:firstLine="643" w:firstLineChars="200"/>
        <w:jc w:val="left"/>
        <w:rPr>
          <w:rFonts w:ascii="黑体" w:hAnsi="黑体" w:eastAsia="黑体"/>
          <w:b/>
          <w:bCs/>
          <w:sz w:val="32"/>
          <w:szCs w:val="32"/>
        </w:rPr>
      </w:pPr>
      <w:r>
        <w:rPr>
          <w:rFonts w:hint="eastAsia" w:ascii="黑体" w:hAnsi="黑体" w:eastAsia="黑体" w:cs="黑体"/>
          <w:b/>
          <w:bCs/>
          <w:sz w:val="32"/>
          <w:szCs w:val="32"/>
        </w:rPr>
        <w:t>八、名词解释</w:t>
      </w:r>
    </w:p>
    <w:p w14:paraId="25A32DD4">
      <w:pPr>
        <w:tabs>
          <w:tab w:val="left" w:pos="11490"/>
        </w:tabs>
        <w:ind w:firstLine="643" w:firstLineChars="200"/>
        <w:rPr>
          <w:rFonts w:eastAsia="方正仿宋_GBK"/>
          <w:sz w:val="32"/>
          <w:szCs w:val="32"/>
        </w:rPr>
      </w:pPr>
      <w:r>
        <w:rPr>
          <w:rFonts w:eastAsia="方正仿宋_GBK"/>
          <w:b/>
          <w:bCs/>
          <w:sz w:val="32"/>
          <w:szCs w:val="32"/>
        </w:rPr>
        <w:t>1</w:t>
      </w:r>
      <w:r>
        <w:rPr>
          <w:rFonts w:hint="eastAsia" w:eastAsia="方正仿宋_GBK" w:cs="方正仿宋_GBK"/>
          <w:b/>
          <w:bCs/>
          <w:sz w:val="32"/>
          <w:szCs w:val="32"/>
        </w:rPr>
        <w:t>、一般公共预算拨款收入：</w:t>
      </w:r>
      <w:r>
        <w:rPr>
          <w:rFonts w:hint="eastAsia" w:ascii="仿宋_GB2312" w:eastAsia="仿宋_GB2312" w:cs="仿宋_GB2312"/>
          <w:sz w:val="32"/>
          <w:szCs w:val="32"/>
        </w:rPr>
        <w:t>指县级财政当年拨付的资金。</w:t>
      </w:r>
    </w:p>
    <w:p w14:paraId="22312E5E">
      <w:pPr>
        <w:tabs>
          <w:tab w:val="left" w:pos="11490"/>
        </w:tabs>
        <w:ind w:firstLine="643" w:firstLineChars="200"/>
        <w:rPr>
          <w:rFonts w:ascii="仿宋_GB2312" w:eastAsia="仿宋_GB2312"/>
          <w:sz w:val="32"/>
          <w:szCs w:val="32"/>
        </w:rPr>
      </w:pPr>
      <w:r>
        <w:rPr>
          <w:rFonts w:eastAsia="方正仿宋_GBK"/>
          <w:b/>
          <w:bCs/>
          <w:sz w:val="32"/>
          <w:szCs w:val="32"/>
        </w:rPr>
        <w:t>2</w:t>
      </w:r>
      <w:r>
        <w:rPr>
          <w:rFonts w:hint="eastAsia" w:eastAsia="方正仿宋_GBK" w:cs="方正仿宋_GBK"/>
          <w:b/>
          <w:bCs/>
          <w:sz w:val="32"/>
          <w:szCs w:val="32"/>
        </w:rPr>
        <w:t>、事业收入：</w:t>
      </w:r>
      <w:r>
        <w:rPr>
          <w:rFonts w:hint="eastAsia" w:ascii="仿宋_GB2312" w:eastAsia="仿宋_GB2312" w:cs="仿宋_GB2312"/>
          <w:sz w:val="32"/>
          <w:szCs w:val="32"/>
        </w:rPr>
        <w:t>指事业单位开展专业业务活动及辅助活动所取得的收入。</w:t>
      </w:r>
    </w:p>
    <w:p w14:paraId="5E806E98">
      <w:pPr>
        <w:tabs>
          <w:tab w:val="left" w:pos="11490"/>
        </w:tabs>
        <w:ind w:firstLine="643" w:firstLineChars="200"/>
        <w:rPr>
          <w:rFonts w:ascii="仿宋_GB2312" w:eastAsia="仿宋_GB2312"/>
          <w:sz w:val="32"/>
          <w:szCs w:val="32"/>
        </w:rPr>
      </w:pPr>
      <w:r>
        <w:rPr>
          <w:rFonts w:eastAsia="方正仿宋_GBK"/>
          <w:b/>
          <w:bCs/>
          <w:sz w:val="32"/>
          <w:szCs w:val="32"/>
        </w:rPr>
        <w:t>3</w:t>
      </w:r>
      <w:r>
        <w:rPr>
          <w:rFonts w:hint="eastAsia" w:eastAsia="方正仿宋_GBK" w:cs="方正仿宋_GBK"/>
          <w:b/>
          <w:bCs/>
          <w:sz w:val="32"/>
          <w:szCs w:val="32"/>
        </w:rPr>
        <w:t>、其他收入：</w:t>
      </w:r>
      <w:r>
        <w:rPr>
          <w:rFonts w:hint="eastAsia" w:ascii="仿宋_GB2312" w:eastAsia="仿宋_GB2312" w:cs="仿宋_GB2312"/>
          <w:sz w:val="32"/>
          <w:szCs w:val="32"/>
        </w:rPr>
        <w:t>指除</w:t>
      </w:r>
      <w:r>
        <w:rPr>
          <w:rFonts w:ascii="仿宋_GB2312" w:eastAsia="仿宋_GB2312"/>
          <w:sz w:val="32"/>
          <w:szCs w:val="32"/>
        </w:rPr>
        <w:t>“</w:t>
      </w:r>
      <w:r>
        <w:rPr>
          <w:rFonts w:hint="eastAsia" w:ascii="仿宋_GB2312" w:eastAsia="仿宋_GB2312" w:cs="仿宋_GB2312"/>
          <w:sz w:val="32"/>
          <w:szCs w:val="32"/>
        </w:rPr>
        <w:t>一般公共预算拨款收入</w:t>
      </w:r>
      <w:r>
        <w:rPr>
          <w:rFonts w:ascii="仿宋_GB2312" w:eastAsia="仿宋_GB2312"/>
          <w:sz w:val="32"/>
          <w:szCs w:val="32"/>
        </w:rPr>
        <w:t>”</w:t>
      </w:r>
      <w:r>
        <w:rPr>
          <w:rFonts w:hint="eastAsia" w:ascii="仿宋_GB2312" w:eastAsia="仿宋_GB2312" w:cs="仿宋_GB2312"/>
          <w:sz w:val="32"/>
          <w:szCs w:val="32"/>
        </w:rPr>
        <w:t>、</w:t>
      </w:r>
      <w:r>
        <w:rPr>
          <w:rFonts w:ascii="仿宋_GB2312" w:eastAsia="仿宋_GB2312"/>
          <w:sz w:val="32"/>
          <w:szCs w:val="32"/>
        </w:rPr>
        <w:t>“</w:t>
      </w:r>
      <w:r>
        <w:rPr>
          <w:rFonts w:hint="eastAsia" w:ascii="仿宋_GB2312" w:eastAsia="仿宋_GB2312" w:cs="仿宋_GB2312"/>
          <w:sz w:val="32"/>
          <w:szCs w:val="32"/>
        </w:rPr>
        <w:t>事业收入</w:t>
      </w:r>
      <w:r>
        <w:rPr>
          <w:rFonts w:ascii="仿宋_GB2312" w:eastAsia="仿宋_GB2312"/>
          <w:sz w:val="32"/>
          <w:szCs w:val="32"/>
        </w:rPr>
        <w:t>”</w:t>
      </w:r>
      <w:r>
        <w:rPr>
          <w:rFonts w:hint="eastAsia" w:ascii="仿宋_GB2312" w:eastAsia="仿宋_GB2312" w:cs="仿宋_GB2312"/>
          <w:sz w:val="32"/>
          <w:szCs w:val="32"/>
        </w:rPr>
        <w:t>等以外的收入。主要是按规定动用的租房收入、存款利息收入等。</w:t>
      </w:r>
    </w:p>
    <w:p w14:paraId="689ED4C9">
      <w:pPr>
        <w:tabs>
          <w:tab w:val="left" w:pos="11490"/>
        </w:tabs>
        <w:ind w:firstLine="643" w:firstLineChars="200"/>
        <w:rPr>
          <w:rFonts w:ascii="仿宋_GB2312" w:eastAsia="仿宋_GB2312"/>
          <w:sz w:val="32"/>
          <w:szCs w:val="32"/>
        </w:rPr>
      </w:pPr>
      <w:r>
        <w:rPr>
          <w:rFonts w:eastAsia="方正仿宋_GBK"/>
          <w:b/>
          <w:bCs/>
          <w:sz w:val="32"/>
          <w:szCs w:val="32"/>
        </w:rPr>
        <w:t>4</w:t>
      </w:r>
      <w:r>
        <w:rPr>
          <w:rFonts w:hint="eastAsia" w:eastAsia="方正仿宋_GBK" w:cs="方正仿宋_GBK"/>
          <w:b/>
          <w:bCs/>
          <w:sz w:val="32"/>
          <w:szCs w:val="32"/>
        </w:rPr>
        <w:t>、基本支出：</w:t>
      </w:r>
      <w:r>
        <w:rPr>
          <w:rFonts w:hint="eastAsia" w:ascii="仿宋_GB2312" w:eastAsia="仿宋_GB2312" w:cs="仿宋_GB2312"/>
          <w:sz w:val="32"/>
          <w:szCs w:val="32"/>
        </w:rPr>
        <w:t>指为保障机构正常运转、完成日常工作任务而发生的人员支出和公用支出。</w:t>
      </w:r>
    </w:p>
    <w:p w14:paraId="5C95C8D3">
      <w:pPr>
        <w:tabs>
          <w:tab w:val="left" w:pos="11490"/>
        </w:tabs>
        <w:ind w:firstLine="643" w:firstLineChars="200"/>
        <w:rPr>
          <w:rFonts w:ascii="仿宋_GB2312" w:eastAsia="仿宋_GB2312"/>
          <w:sz w:val="32"/>
          <w:szCs w:val="32"/>
        </w:rPr>
      </w:pPr>
      <w:r>
        <w:rPr>
          <w:rFonts w:eastAsia="方正仿宋_GBK"/>
          <w:b/>
          <w:bCs/>
          <w:sz w:val="32"/>
          <w:szCs w:val="32"/>
        </w:rPr>
        <w:t>5</w:t>
      </w:r>
      <w:r>
        <w:rPr>
          <w:rFonts w:hint="eastAsia" w:eastAsia="方正仿宋_GBK" w:cs="方正仿宋_GBK"/>
          <w:b/>
          <w:bCs/>
          <w:sz w:val="32"/>
          <w:szCs w:val="32"/>
        </w:rPr>
        <w:t>、项目支出：</w:t>
      </w:r>
      <w:r>
        <w:rPr>
          <w:rFonts w:hint="eastAsia" w:ascii="仿宋_GB2312" w:eastAsia="仿宋_GB2312" w:cs="仿宋_GB2312"/>
          <w:sz w:val="32"/>
          <w:szCs w:val="32"/>
        </w:rPr>
        <w:t>指在基本支出之外为完成特定行政任务和事业发展目标所发生的支出。</w:t>
      </w:r>
    </w:p>
    <w:p w14:paraId="11E4542E">
      <w:pPr>
        <w:tabs>
          <w:tab w:val="left" w:pos="11490"/>
        </w:tabs>
        <w:ind w:firstLine="643" w:firstLineChars="200"/>
        <w:rPr>
          <w:rFonts w:ascii="仿宋_GB2312" w:eastAsia="仿宋_GB2312"/>
          <w:sz w:val="32"/>
          <w:szCs w:val="32"/>
        </w:rPr>
      </w:pPr>
      <w:r>
        <w:rPr>
          <w:rFonts w:eastAsia="方正仿宋_GBK"/>
          <w:b/>
          <w:bCs/>
          <w:sz w:val="32"/>
          <w:szCs w:val="32"/>
        </w:rPr>
        <w:t>6</w:t>
      </w:r>
      <w:r>
        <w:rPr>
          <w:rFonts w:hint="eastAsia" w:eastAsia="方正仿宋_GBK" w:cs="方正仿宋_GBK"/>
          <w:b/>
          <w:bCs/>
          <w:sz w:val="32"/>
          <w:szCs w:val="32"/>
        </w:rPr>
        <w:t>、</w:t>
      </w:r>
      <w:r>
        <w:rPr>
          <w:rFonts w:eastAsia="方正仿宋_GBK"/>
          <w:b/>
          <w:bCs/>
          <w:sz w:val="32"/>
          <w:szCs w:val="32"/>
        </w:rPr>
        <w:t>“</w:t>
      </w:r>
      <w:r>
        <w:rPr>
          <w:rFonts w:hint="eastAsia" w:eastAsia="方正仿宋_GBK" w:cs="方正仿宋_GBK"/>
          <w:b/>
          <w:bCs/>
          <w:sz w:val="32"/>
          <w:szCs w:val="32"/>
        </w:rPr>
        <w:t>三公</w:t>
      </w:r>
      <w:r>
        <w:rPr>
          <w:rFonts w:eastAsia="方正仿宋_GBK"/>
          <w:b/>
          <w:bCs/>
          <w:sz w:val="32"/>
          <w:szCs w:val="32"/>
        </w:rPr>
        <w:t>”</w:t>
      </w:r>
      <w:r>
        <w:rPr>
          <w:rFonts w:hint="eastAsia" w:eastAsia="方正仿宋_GBK" w:cs="方正仿宋_GBK"/>
          <w:b/>
          <w:bCs/>
          <w:sz w:val="32"/>
          <w:szCs w:val="32"/>
        </w:rPr>
        <w:t>经费：</w:t>
      </w:r>
      <w:r>
        <w:rPr>
          <w:rFonts w:hint="eastAsia" w:ascii="仿宋_GB2312" w:eastAsia="仿宋_GB2312" w:cs="仿宋_GB2312"/>
          <w:sz w:val="32"/>
          <w:szCs w:val="32"/>
        </w:rPr>
        <w:t>纳入县级财政预算管理的</w:t>
      </w:r>
      <w:r>
        <w:rPr>
          <w:rFonts w:ascii="仿宋_GB2312" w:eastAsia="仿宋_GB2312"/>
          <w:sz w:val="32"/>
          <w:szCs w:val="32"/>
        </w:rPr>
        <w:t>“</w:t>
      </w:r>
      <w:r>
        <w:rPr>
          <w:rFonts w:hint="eastAsia" w:ascii="仿宋_GB2312" w:eastAsia="仿宋_GB2312" w:cs="仿宋_GB2312"/>
          <w:sz w:val="32"/>
          <w:szCs w:val="32"/>
        </w:rPr>
        <w:t>三公</w:t>
      </w:r>
      <w:r>
        <w:rPr>
          <w:rFonts w:ascii="仿宋_GB2312" w:eastAsia="仿宋_GB2312"/>
          <w:sz w:val="32"/>
          <w:szCs w:val="32"/>
        </w:rPr>
        <w:t>”</w:t>
      </w:r>
      <w:r>
        <w:rPr>
          <w:rFonts w:hint="eastAsia" w:ascii="仿宋_GB2312" w:eastAsia="仿宋_GB2312" w:cs="仿宋_GB2312"/>
          <w:sz w:val="32"/>
          <w:szCs w:val="32"/>
        </w:rPr>
        <w:t>经费，是指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98D4696">
      <w:pPr>
        <w:tabs>
          <w:tab w:val="left" w:pos="11490"/>
        </w:tabs>
        <w:ind w:firstLine="643" w:firstLineChars="200"/>
        <w:rPr>
          <w:rFonts w:ascii="仿宋_GB2312" w:eastAsia="仿宋_GB2312"/>
          <w:sz w:val="32"/>
          <w:szCs w:val="32"/>
        </w:rPr>
      </w:pPr>
      <w:r>
        <w:rPr>
          <w:rFonts w:eastAsia="方正仿宋_GBK"/>
          <w:b/>
          <w:bCs/>
          <w:sz w:val="32"/>
          <w:szCs w:val="32"/>
        </w:rPr>
        <w:t>7</w:t>
      </w:r>
      <w:r>
        <w:rPr>
          <w:rFonts w:hint="eastAsia" w:eastAsia="方正仿宋_GBK" w:cs="方正仿宋_GBK"/>
          <w:b/>
          <w:bCs/>
          <w:sz w:val="32"/>
          <w:szCs w:val="32"/>
        </w:rPr>
        <w:t>、机关运行费：</w:t>
      </w:r>
      <w:r>
        <w:rPr>
          <w:rFonts w:hint="eastAsia" w:ascii="仿宋_GB2312" w:eastAsia="仿宋_GB2312" w:cs="仿宋_GB2312"/>
          <w:sz w:val="32"/>
          <w:szCs w:val="32"/>
        </w:rPr>
        <w:t>为保障全部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FF202B8">
      <w:pPr>
        <w:tabs>
          <w:tab w:val="left" w:pos="11490"/>
        </w:tabs>
        <w:ind w:firstLine="643" w:firstLineChars="200"/>
        <w:rPr>
          <w:rFonts w:ascii="仿宋_GB2312" w:eastAsia="仿宋_GB2312"/>
          <w:sz w:val="32"/>
          <w:szCs w:val="32"/>
        </w:rPr>
      </w:pPr>
      <w:r>
        <w:rPr>
          <w:rFonts w:eastAsia="方正仿宋_GBK"/>
          <w:b/>
          <w:bCs/>
          <w:sz w:val="32"/>
          <w:szCs w:val="32"/>
        </w:rPr>
        <w:t>8</w:t>
      </w:r>
      <w:r>
        <w:rPr>
          <w:rFonts w:hint="eastAsia" w:eastAsia="方正仿宋_GBK" w:cs="方正仿宋_GBK"/>
          <w:b/>
          <w:bCs/>
          <w:sz w:val="32"/>
          <w:szCs w:val="32"/>
        </w:rPr>
        <w:t>、上年结转：</w:t>
      </w:r>
      <w:r>
        <w:rPr>
          <w:rFonts w:hint="eastAsia" w:ascii="仿宋_GB2312" w:eastAsia="仿宋_GB2312" w:cs="仿宋_GB2312"/>
          <w:sz w:val="32"/>
          <w:szCs w:val="32"/>
        </w:rPr>
        <w:t>指以前年度尚未完成、结转到本年仍按原规定用途继续使用的资金。</w:t>
      </w:r>
    </w:p>
    <w:p w14:paraId="5D62D59D">
      <w:pPr>
        <w:tabs>
          <w:tab w:val="left" w:pos="11490"/>
        </w:tabs>
        <w:ind w:firstLine="643" w:firstLineChars="200"/>
        <w:rPr>
          <w:rFonts w:ascii="仿宋_GB2312" w:eastAsia="仿宋_GB2312"/>
          <w:sz w:val="32"/>
          <w:szCs w:val="32"/>
        </w:rPr>
      </w:pPr>
      <w:r>
        <w:rPr>
          <w:rFonts w:eastAsia="方正仿宋_GBK"/>
          <w:b/>
          <w:bCs/>
          <w:sz w:val="32"/>
          <w:szCs w:val="32"/>
        </w:rPr>
        <w:t>9</w:t>
      </w:r>
      <w:r>
        <w:rPr>
          <w:rFonts w:hint="eastAsia" w:eastAsia="方正仿宋_GBK" w:cs="方正仿宋_GBK"/>
          <w:b/>
          <w:bCs/>
          <w:sz w:val="32"/>
          <w:szCs w:val="32"/>
        </w:rPr>
        <w:t>、事业单位经营支出：</w:t>
      </w:r>
      <w:r>
        <w:rPr>
          <w:rFonts w:hint="eastAsia" w:ascii="仿宋_GB2312" w:eastAsia="仿宋_GB2312" w:cs="仿宋_GB2312"/>
          <w:sz w:val="32"/>
          <w:szCs w:val="32"/>
        </w:rPr>
        <w:t>指事业单位在专业业务活动及其辅助活动之外开展非独立核算经营活动发生的支出。</w:t>
      </w:r>
    </w:p>
    <w:p w14:paraId="7C66CB46">
      <w:pPr>
        <w:tabs>
          <w:tab w:val="left" w:pos="11490"/>
        </w:tabs>
        <w:ind w:firstLine="803" w:firstLineChars="250"/>
        <w:rPr>
          <w:rFonts w:ascii="黑体" w:hAnsi="黑体" w:eastAsia="黑体"/>
          <w:b/>
          <w:bCs/>
          <w:sz w:val="32"/>
          <w:szCs w:val="32"/>
        </w:rPr>
      </w:pPr>
      <w:r>
        <w:rPr>
          <w:rFonts w:hint="eastAsia" w:ascii="黑体" w:hAnsi="黑体" w:eastAsia="黑体" w:cs="黑体"/>
          <w:b/>
          <w:bCs/>
          <w:sz w:val="32"/>
          <w:szCs w:val="32"/>
        </w:rPr>
        <w:t>九、其他需要说明的事项</w:t>
      </w:r>
    </w:p>
    <w:p w14:paraId="7D2CB2D8">
      <w:pPr>
        <w:spacing w:line="300" w:lineRule="exact"/>
        <w:jc w:val="left"/>
        <w:outlineLvl w:val="0"/>
      </w:pPr>
    </w:p>
    <w:p w14:paraId="09E9FEB8">
      <w:pPr>
        <w:spacing w:line="300" w:lineRule="exact"/>
        <w:ind w:firstLine="640" w:firstLineChars="200"/>
        <w:jc w:val="left"/>
        <w:outlineLvl w:val="0"/>
        <w:sectPr>
          <w:headerReference r:id="rId3" w:type="default"/>
          <w:footerReference r:id="rId4" w:type="default"/>
          <w:pgSz w:w="16839" w:h="11907" w:orient="landscape"/>
          <w:pgMar w:top="1021" w:right="1361" w:bottom="1021" w:left="1361" w:header="851" w:footer="992" w:gutter="0"/>
          <w:cols w:space="425" w:num="1"/>
          <w:docGrid w:type="lines" w:linePitch="312" w:charSpace="0"/>
        </w:sectPr>
      </w:pPr>
      <w:r>
        <w:rPr>
          <w:rFonts w:ascii="仿宋_GB2312" w:eastAsia="仿宋_GB2312" w:cs="仿宋_GB2312"/>
          <w:sz w:val="32"/>
          <w:szCs w:val="32"/>
        </w:rPr>
        <w:t xml:space="preserve">  </w:t>
      </w:r>
      <w:r>
        <w:rPr>
          <w:rFonts w:hint="eastAsia" w:ascii="仿宋_GB2312" w:eastAsia="仿宋_GB2312" w:cs="仿宋_GB2312"/>
          <w:sz w:val="32"/>
          <w:szCs w:val="32"/>
        </w:rPr>
        <w:t>我部门无其他说明的事项。</w:t>
      </w:r>
    </w:p>
    <w:p w14:paraId="47A92AB1">
      <w:pPr>
        <w:ind w:left="-1800" w:leftChars="-857"/>
      </w:pPr>
    </w:p>
    <w:sectPr>
      <w:pgSz w:w="11849" w:h="16781"/>
      <w:pgMar w:top="1440" w:right="1803" w:bottom="1440" w:left="1803" w:header="851" w:footer="992" w:gutter="0"/>
      <w:cols w:space="0" w:num="1"/>
      <w:docGrid w:type="lines" w:linePitch="3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7B48E4-1DC4-4A2A-A155-C560AB8839E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2" w:fontKey="{0042698C-EB6A-4027-B772-D33A4C595AE3}"/>
  </w:font>
  <w:font w:name="仿宋">
    <w:panose1 w:val="02010609060101010101"/>
    <w:charset w:val="86"/>
    <w:family w:val="auto"/>
    <w:pitch w:val="default"/>
    <w:sig w:usb0="800002BF" w:usb1="38CF7CFA" w:usb2="00000016" w:usb3="00000000" w:csb0="00040001" w:csb1="00000000"/>
    <w:embedRegular r:id="rId3" w:fontKey="{E13DDA2D-D46D-4226-85ED-E5FEB6F61D06}"/>
  </w:font>
  <w:font w:name="????">
    <w:altName w:val="Times New Roman"/>
    <w:panose1 w:val="00000000000000000000"/>
    <w:charset w:val="00"/>
    <w:family w:val="auto"/>
    <w:pitch w:val="default"/>
    <w:sig w:usb0="00000000" w:usb1="00000000" w:usb2="00000000" w:usb3="00000000" w:csb0="00000001" w:csb1="00000000"/>
  </w:font>
  <w:font w:name="方正书宋_GBK">
    <w:panose1 w:val="02000000000000000000"/>
    <w:charset w:val="86"/>
    <w:family w:val="script"/>
    <w:pitch w:val="default"/>
    <w:sig w:usb0="A00002BF" w:usb1="38CF7CFA" w:usb2="00082016" w:usb3="00000000" w:csb0="00040001" w:csb1="00000000"/>
    <w:embedRegular r:id="rId4" w:fontKey="{6EB0FA48-B659-451D-9F23-301888C3E8F5}"/>
  </w:font>
  <w:font w:name="方正仿宋_GBK">
    <w:panose1 w:val="02000000000000000000"/>
    <w:charset w:val="86"/>
    <w:family w:val="script"/>
    <w:pitch w:val="default"/>
    <w:sig w:usb0="00000001" w:usb1="080E0000" w:usb2="00000000" w:usb3="00000000" w:csb0="00040000" w:csb1="00000000"/>
    <w:embedRegular r:id="rId5" w:fontKey="{6DA0A1E6-5CB0-4631-8668-B9A905765669}"/>
  </w:font>
  <w:font w:name="楷体_GB2312">
    <w:altName w:val="楷体"/>
    <w:panose1 w:val="02010609030101010101"/>
    <w:charset w:val="86"/>
    <w:family w:val="modern"/>
    <w:pitch w:val="default"/>
    <w:sig w:usb0="00000000" w:usb1="00000000" w:usb2="00000010" w:usb3="00000000" w:csb0="00040000" w:csb1="00000000"/>
    <w:embedRegular r:id="rId6" w:fontKey="{31E9834B-9FA7-4232-AB7D-0C21CD5F9169}"/>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embedRegular r:id="rId7" w:fontKey="{2E19FC83-5A78-4791-9373-242A5AF65600}"/>
  </w:font>
  <w:font w:name="方正小标宋_GBK">
    <w:panose1 w:val="02000000000000000000"/>
    <w:charset w:val="86"/>
    <w:family w:val="script"/>
    <w:pitch w:val="default"/>
    <w:sig w:usb0="A00002BF" w:usb1="38CF7CFA" w:usb2="00082016" w:usb3="00000000" w:csb0="00040001" w:csb1="00000000"/>
    <w:embedRegular r:id="rId8" w:fontKey="{B13984DE-5B11-46F1-B37D-95B7D9A1D008}"/>
  </w:font>
  <w:font w:name="微软雅黑">
    <w:panose1 w:val="020B0503020204020204"/>
    <w:charset w:val="86"/>
    <w:family w:val="auto"/>
    <w:pitch w:val="default"/>
    <w:sig w:usb0="80000287" w:usb1="280F3C52" w:usb2="00000016" w:usb3="00000000" w:csb0="0004001F" w:csb1="00000000"/>
    <w:embedRegular r:id="rId9" w:fontKey="{CDA06051-F324-45DC-82E8-3AC16EE2E8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39BA">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11D0881A">
                <w:pPr>
                  <w:pStyle w:val="2"/>
                </w:pPr>
                <w:r>
                  <w:fldChar w:fldCharType="begin"/>
                </w:r>
                <w:r>
                  <w:instrText xml:space="preserve"> PAGE  \* MERGEFORMAT </w:instrText>
                </w:r>
                <w:r>
                  <w:fldChar w:fldCharType="separate"/>
                </w:r>
                <w:r>
                  <w:t>17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B7FD6">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A5281"/>
    <w:multiLevelType w:val="singleLevel"/>
    <w:tmpl w:val="C7AA5281"/>
    <w:lvl w:ilvl="0" w:tentative="0">
      <w:start w:val="6"/>
      <w:numFmt w:val="chineseCounting"/>
      <w:suff w:val="nothing"/>
      <w:lvlText w:val="%1、"/>
      <w:lvlJc w:val="left"/>
      <w:rPr>
        <w:rFonts w:hint="eastAsia"/>
      </w:rPr>
    </w:lvl>
  </w:abstractNum>
  <w:abstractNum w:abstractNumId="1">
    <w:nsid w:val="195E7261"/>
    <w:multiLevelType w:val="multilevel"/>
    <w:tmpl w:val="195E7261"/>
    <w:lvl w:ilvl="0" w:tentative="0">
      <w:start w:val="1"/>
      <w:numFmt w:val="japaneseCounting"/>
      <w:lvlText w:val="%1、"/>
      <w:lvlJc w:val="left"/>
      <w:pPr>
        <w:tabs>
          <w:tab w:val="left" w:pos="1493"/>
        </w:tabs>
        <w:ind w:left="1493" w:hanging="720"/>
      </w:pPr>
      <w:rPr>
        <w:rFonts w:hint="default" w:ascii="黑体" w:hAnsi="黑体" w:eastAsia="黑体"/>
      </w:rPr>
    </w:lvl>
    <w:lvl w:ilvl="1" w:tentative="0">
      <w:start w:val="1"/>
      <w:numFmt w:val="lowerLetter"/>
      <w:lvlText w:val="%2)"/>
      <w:lvlJc w:val="left"/>
      <w:pPr>
        <w:tabs>
          <w:tab w:val="left" w:pos="1613"/>
        </w:tabs>
        <w:ind w:left="1613" w:hanging="420"/>
      </w:pPr>
    </w:lvl>
    <w:lvl w:ilvl="2" w:tentative="0">
      <w:start w:val="1"/>
      <w:numFmt w:val="lowerRoman"/>
      <w:lvlText w:val="%3."/>
      <w:lvlJc w:val="right"/>
      <w:pPr>
        <w:tabs>
          <w:tab w:val="left" w:pos="2033"/>
        </w:tabs>
        <w:ind w:left="2033" w:hanging="420"/>
      </w:pPr>
    </w:lvl>
    <w:lvl w:ilvl="3" w:tentative="0">
      <w:start w:val="1"/>
      <w:numFmt w:val="decimal"/>
      <w:lvlText w:val="%4."/>
      <w:lvlJc w:val="left"/>
      <w:pPr>
        <w:tabs>
          <w:tab w:val="left" w:pos="2453"/>
        </w:tabs>
        <w:ind w:left="2453" w:hanging="420"/>
      </w:pPr>
    </w:lvl>
    <w:lvl w:ilvl="4" w:tentative="0">
      <w:start w:val="1"/>
      <w:numFmt w:val="lowerLetter"/>
      <w:lvlText w:val="%5)"/>
      <w:lvlJc w:val="left"/>
      <w:pPr>
        <w:tabs>
          <w:tab w:val="left" w:pos="2873"/>
        </w:tabs>
        <w:ind w:left="2873" w:hanging="420"/>
      </w:pPr>
    </w:lvl>
    <w:lvl w:ilvl="5" w:tentative="0">
      <w:start w:val="1"/>
      <w:numFmt w:val="lowerRoman"/>
      <w:lvlText w:val="%6."/>
      <w:lvlJc w:val="right"/>
      <w:pPr>
        <w:tabs>
          <w:tab w:val="left" w:pos="3293"/>
        </w:tabs>
        <w:ind w:left="3293" w:hanging="420"/>
      </w:pPr>
    </w:lvl>
    <w:lvl w:ilvl="6" w:tentative="0">
      <w:start w:val="1"/>
      <w:numFmt w:val="decimal"/>
      <w:lvlText w:val="%7."/>
      <w:lvlJc w:val="left"/>
      <w:pPr>
        <w:tabs>
          <w:tab w:val="left" w:pos="3713"/>
        </w:tabs>
        <w:ind w:left="3713" w:hanging="420"/>
      </w:pPr>
    </w:lvl>
    <w:lvl w:ilvl="7" w:tentative="0">
      <w:start w:val="1"/>
      <w:numFmt w:val="lowerLetter"/>
      <w:lvlText w:val="%8)"/>
      <w:lvlJc w:val="left"/>
      <w:pPr>
        <w:tabs>
          <w:tab w:val="left" w:pos="4133"/>
        </w:tabs>
        <w:ind w:left="4133" w:hanging="420"/>
      </w:pPr>
    </w:lvl>
    <w:lvl w:ilvl="8" w:tentative="0">
      <w:start w:val="1"/>
      <w:numFmt w:val="lowerRoman"/>
      <w:lvlText w:val="%9."/>
      <w:lvlJc w:val="right"/>
      <w:pPr>
        <w:tabs>
          <w:tab w:val="left" w:pos="4553"/>
        </w:tabs>
        <w:ind w:left="455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74"/>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ZlMDQzZjY2MjFlMGE0ZDYwZDc4NjBjNTBkNGEwNTEifQ=="/>
  </w:docVars>
  <w:rsids>
    <w:rsidRoot w:val="70B71498"/>
    <w:rsid w:val="000000FE"/>
    <w:rsid w:val="00005E74"/>
    <w:rsid w:val="00010D2F"/>
    <w:rsid w:val="00032D89"/>
    <w:rsid w:val="00071E4C"/>
    <w:rsid w:val="0008724F"/>
    <w:rsid w:val="0009016F"/>
    <w:rsid w:val="00127081"/>
    <w:rsid w:val="00132AAA"/>
    <w:rsid w:val="00173851"/>
    <w:rsid w:val="00197DF1"/>
    <w:rsid w:val="001A03C4"/>
    <w:rsid w:val="001B0F64"/>
    <w:rsid w:val="001D0816"/>
    <w:rsid w:val="001F1266"/>
    <w:rsid w:val="002041BA"/>
    <w:rsid w:val="00280B02"/>
    <w:rsid w:val="002A64DB"/>
    <w:rsid w:val="002C4A83"/>
    <w:rsid w:val="002C582A"/>
    <w:rsid w:val="002E503F"/>
    <w:rsid w:val="00302C0D"/>
    <w:rsid w:val="00363F0F"/>
    <w:rsid w:val="00373251"/>
    <w:rsid w:val="0037460E"/>
    <w:rsid w:val="003870B8"/>
    <w:rsid w:val="003C5E47"/>
    <w:rsid w:val="003E0AA4"/>
    <w:rsid w:val="004335AD"/>
    <w:rsid w:val="004705DC"/>
    <w:rsid w:val="004C21AE"/>
    <w:rsid w:val="004D55E8"/>
    <w:rsid w:val="004E0D75"/>
    <w:rsid w:val="004E66B7"/>
    <w:rsid w:val="004F085D"/>
    <w:rsid w:val="004F35CA"/>
    <w:rsid w:val="004F37E4"/>
    <w:rsid w:val="0050414F"/>
    <w:rsid w:val="00507268"/>
    <w:rsid w:val="00533D54"/>
    <w:rsid w:val="00586338"/>
    <w:rsid w:val="005D1D95"/>
    <w:rsid w:val="005F7923"/>
    <w:rsid w:val="0060246B"/>
    <w:rsid w:val="00640C96"/>
    <w:rsid w:val="006510D2"/>
    <w:rsid w:val="00665A4C"/>
    <w:rsid w:val="00683565"/>
    <w:rsid w:val="0069045C"/>
    <w:rsid w:val="006D1316"/>
    <w:rsid w:val="006D2C21"/>
    <w:rsid w:val="006E7D71"/>
    <w:rsid w:val="007079DD"/>
    <w:rsid w:val="00721C82"/>
    <w:rsid w:val="007310A7"/>
    <w:rsid w:val="007B61F3"/>
    <w:rsid w:val="007B6C79"/>
    <w:rsid w:val="007C160A"/>
    <w:rsid w:val="007C6D52"/>
    <w:rsid w:val="00800B49"/>
    <w:rsid w:val="00805F81"/>
    <w:rsid w:val="008340FE"/>
    <w:rsid w:val="0088590C"/>
    <w:rsid w:val="008921F8"/>
    <w:rsid w:val="008C270F"/>
    <w:rsid w:val="008D2866"/>
    <w:rsid w:val="008E1D6E"/>
    <w:rsid w:val="008E6674"/>
    <w:rsid w:val="008F7F36"/>
    <w:rsid w:val="009678F1"/>
    <w:rsid w:val="00967C5B"/>
    <w:rsid w:val="009845F9"/>
    <w:rsid w:val="009D0431"/>
    <w:rsid w:val="009F0797"/>
    <w:rsid w:val="00A25D13"/>
    <w:rsid w:val="00A2692A"/>
    <w:rsid w:val="00A66901"/>
    <w:rsid w:val="00A7558E"/>
    <w:rsid w:val="00A81C92"/>
    <w:rsid w:val="00A8665D"/>
    <w:rsid w:val="00B151F1"/>
    <w:rsid w:val="00B17B98"/>
    <w:rsid w:val="00B270CD"/>
    <w:rsid w:val="00B41EFC"/>
    <w:rsid w:val="00B5203F"/>
    <w:rsid w:val="00B74361"/>
    <w:rsid w:val="00B806DF"/>
    <w:rsid w:val="00B83751"/>
    <w:rsid w:val="00BA4573"/>
    <w:rsid w:val="00BB7E37"/>
    <w:rsid w:val="00C20550"/>
    <w:rsid w:val="00C269DA"/>
    <w:rsid w:val="00C659B7"/>
    <w:rsid w:val="00C768D2"/>
    <w:rsid w:val="00CC59CB"/>
    <w:rsid w:val="00CD2544"/>
    <w:rsid w:val="00CD4259"/>
    <w:rsid w:val="00CF4A4A"/>
    <w:rsid w:val="00D71AD3"/>
    <w:rsid w:val="00D84F8A"/>
    <w:rsid w:val="00D85F38"/>
    <w:rsid w:val="00D9180E"/>
    <w:rsid w:val="00D97DA7"/>
    <w:rsid w:val="00DB531D"/>
    <w:rsid w:val="00DD1405"/>
    <w:rsid w:val="00DF0778"/>
    <w:rsid w:val="00DF0D42"/>
    <w:rsid w:val="00DF351D"/>
    <w:rsid w:val="00E41E16"/>
    <w:rsid w:val="00EB073D"/>
    <w:rsid w:val="00F21DA4"/>
    <w:rsid w:val="00F56139"/>
    <w:rsid w:val="00F65C34"/>
    <w:rsid w:val="00F7079C"/>
    <w:rsid w:val="00FB5180"/>
    <w:rsid w:val="00FE4333"/>
    <w:rsid w:val="04E1703D"/>
    <w:rsid w:val="056D5C7D"/>
    <w:rsid w:val="0B8F3027"/>
    <w:rsid w:val="0BAA6373"/>
    <w:rsid w:val="147D6FFE"/>
    <w:rsid w:val="19C33450"/>
    <w:rsid w:val="1A1C1FE9"/>
    <w:rsid w:val="265A1A1C"/>
    <w:rsid w:val="271C6ACA"/>
    <w:rsid w:val="30882ED6"/>
    <w:rsid w:val="38483668"/>
    <w:rsid w:val="42F85BAF"/>
    <w:rsid w:val="43A02D2F"/>
    <w:rsid w:val="456E459E"/>
    <w:rsid w:val="4A957BFF"/>
    <w:rsid w:val="4C6859BE"/>
    <w:rsid w:val="4CD71742"/>
    <w:rsid w:val="52AD1F28"/>
    <w:rsid w:val="52BF09E7"/>
    <w:rsid w:val="5F132733"/>
    <w:rsid w:val="657317D6"/>
    <w:rsid w:val="65963ED7"/>
    <w:rsid w:val="706650F9"/>
    <w:rsid w:val="70B71498"/>
    <w:rsid w:val="75066D15"/>
    <w:rsid w:val="78B14136"/>
    <w:rsid w:val="7B8525BF"/>
    <w:rsid w:val="7C387C7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autoRedefine/>
    <w:semiHidden/>
    <w:qFormat/>
    <w:uiPriority w:val="99"/>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sz w:val="18"/>
      <w:szCs w:val="18"/>
    </w:rPr>
  </w:style>
  <w:style w:type="paragraph" w:styleId="3">
    <w:name w:val="header"/>
    <w:basedOn w:val="1"/>
    <w:link w:val="9"/>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6">
    <w:name w:val="Strong"/>
    <w:basedOn w:val="5"/>
    <w:autoRedefine/>
    <w:qFormat/>
    <w:uiPriority w:val="99"/>
    <w:rPr>
      <w:b/>
      <w:bCs/>
    </w:rPr>
  </w:style>
  <w:style w:type="character" w:styleId="7">
    <w:name w:val="Hyperlink"/>
    <w:basedOn w:val="5"/>
    <w:qFormat/>
    <w:uiPriority w:val="99"/>
    <w:rPr>
      <w:color w:val="0000FF"/>
      <w:u w:val="single"/>
    </w:rPr>
  </w:style>
  <w:style w:type="character" w:customStyle="1" w:styleId="8">
    <w:name w:val="Footer Char"/>
    <w:basedOn w:val="5"/>
    <w:link w:val="2"/>
    <w:semiHidden/>
    <w:qFormat/>
    <w:locked/>
    <w:uiPriority w:val="99"/>
    <w:rPr>
      <w:sz w:val="18"/>
      <w:szCs w:val="18"/>
    </w:rPr>
  </w:style>
  <w:style w:type="character" w:customStyle="1" w:styleId="9">
    <w:name w:val="Header Char"/>
    <w:basedOn w:val="5"/>
    <w:link w:val="3"/>
    <w:semiHidden/>
    <w:qFormat/>
    <w:locked/>
    <w:uiPriority w:val="99"/>
    <w:rPr>
      <w:sz w:val="18"/>
      <w:szCs w:val="18"/>
    </w:rPr>
  </w:style>
  <w:style w:type="character" w:customStyle="1" w:styleId="10">
    <w:name w:val="font31"/>
    <w:basedOn w:val="5"/>
    <w:qFormat/>
    <w:uiPriority w:val="99"/>
    <w:rPr>
      <w:rFonts w:ascii="宋体" w:hAnsi="宋体" w:eastAsia="宋体" w:cs="宋体"/>
      <w:color w:val="000000"/>
      <w:sz w:val="20"/>
      <w:szCs w:val="20"/>
      <w:u w:val="none"/>
    </w:rPr>
  </w:style>
  <w:style w:type="character" w:customStyle="1" w:styleId="11">
    <w:name w:val="font41"/>
    <w:basedOn w:val="5"/>
    <w:qFormat/>
    <w:uiPriority w:val="99"/>
    <w:rPr>
      <w:rFonts w:ascii="宋体" w:hAnsi="宋体" w:eastAsia="宋体" w:cs="宋体"/>
      <w:b/>
      <w:bCs/>
      <w:color w:val="000000"/>
      <w:sz w:val="20"/>
      <w:szCs w:val="20"/>
      <w:u w:val="none"/>
    </w:rPr>
  </w:style>
  <w:style w:type="paragraph" w:customStyle="1" w:styleId="12">
    <w:name w:val="[Normal]"/>
    <w:qFormat/>
    <w:uiPriority w:val="99"/>
    <w:rPr>
      <w:rFonts w:ascii="宋体" w:hAnsi="宋体" w:eastAsia="宋体" w:cs="宋体"/>
      <w:kern w:val="0"/>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22</Pages>
  <Words>8613</Words>
  <Characters>9259</Characters>
  <Lines>0</Lines>
  <Paragraphs>0</Paragraphs>
  <TotalTime>1</TotalTime>
  <ScaleCrop>false</ScaleCrop>
  <LinksUpToDate>false</LinksUpToDate>
  <CharactersWithSpaces>9376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2017-10-30T02:24:00Z</dcterms:created>
  <dc:creator>泡沫</dc:creator>
  <cp:lastModifiedBy>高玉庆</cp:lastModifiedBy>
  <dcterms:modified xsi:type="dcterms:W3CDTF">2026-06-17T08:49:06Z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B0D79744A2C14CC7AF203C70BEEB8B99</vt:lpwstr>
  </property>
  <property fmtid="{D5CDD505-2E9C-101B-9397-08002B2CF9AE}" pid="4" name="KSOTemplateDocerSaveRecord">
    <vt:lpwstr>eyJoZGlkIjoiNGZlMDQzZjY2MjFlMGE0ZDYwZDc4NjBjNTBkNGEwNTEiLCJ1c2VySWQiOiIyOTI4NTE0NjkifQ==</vt:lpwstr>
  </property>
</Properties>
</file>