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319馆陶县审计局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3750200.00</w:t>
            </w:r>
          </w:p>
        </w:tc>
        <w:tc>
          <w:tcPr>
            <w:tcW w:w="4535" w:type="dxa"/>
            <w:vAlign w:val="center"/>
          </w:tcPr>
          <w:p>
            <w:pPr>
              <w:pStyle w:val="12"/>
            </w:pPr>
            <w:r>
              <w:t>一、一般公共服务支出</w:t>
            </w:r>
          </w:p>
        </w:tc>
        <w:tc>
          <w:tcPr>
            <w:tcW w:w="2126" w:type="dxa"/>
            <w:vAlign w:val="center"/>
          </w:tcPr>
          <w:p>
            <w:pPr>
              <w:pStyle w:val="11"/>
            </w:pPr>
            <w:r>
              <w:t>3436100.00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174900.00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3750200.00</w:t>
            </w:r>
          </w:p>
        </w:tc>
        <w:tc>
          <w:tcPr>
            <w:tcW w:w="4535" w:type="dxa"/>
            <w:vAlign w:val="center"/>
          </w:tcPr>
          <w:p>
            <w:pPr>
              <w:pStyle w:val="14"/>
            </w:pPr>
            <w:r>
              <w:t>本年支出合计</w:t>
            </w:r>
          </w:p>
        </w:tc>
        <w:tc>
          <w:tcPr>
            <w:tcW w:w="2126" w:type="dxa"/>
            <w:vAlign w:val="center"/>
          </w:tcPr>
          <w:p>
            <w:pPr>
              <w:pStyle w:val="15"/>
            </w:pPr>
            <w:r>
              <w:t>3750200.00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3750200.00</w:t>
            </w:r>
          </w:p>
        </w:tc>
        <w:tc>
          <w:tcPr>
            <w:tcW w:w="4535" w:type="dxa"/>
            <w:vAlign w:val="center"/>
          </w:tcPr>
          <w:p>
            <w:pPr>
              <w:pStyle w:val="14"/>
            </w:pPr>
            <w:r>
              <w:t>支出总计</w:t>
            </w:r>
          </w:p>
        </w:tc>
        <w:tc>
          <w:tcPr>
            <w:tcW w:w="2126" w:type="dxa"/>
            <w:vAlign w:val="center"/>
          </w:tcPr>
          <w:p>
            <w:pPr>
              <w:pStyle w:val="15"/>
            </w:pPr>
            <w:r>
              <w:t>3750200.00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319馆陶县审计局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3750200.00</w:t>
            </w:r>
          </w:p>
        </w:tc>
        <w:tc>
          <w:tcPr>
            <w:tcW w:w="1134" w:type="dxa"/>
            <w:vAlign w:val="center"/>
          </w:tcPr>
          <w:p>
            <w:pPr>
              <w:pStyle w:val="15"/>
            </w:pPr>
            <w:r>
              <w:t>3750200.00</w:t>
            </w:r>
          </w:p>
        </w:tc>
        <w:tc>
          <w:tcPr>
            <w:tcW w:w="1134" w:type="dxa"/>
            <w:vAlign w:val="center"/>
          </w:tcPr>
          <w:p>
            <w:pPr>
              <w:pStyle w:val="15"/>
            </w:pPr>
            <w:r>
              <w:t>3750200.00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3436100.00</w:t>
            </w:r>
          </w:p>
        </w:tc>
        <w:tc>
          <w:tcPr>
            <w:tcW w:w="1134" w:type="dxa"/>
            <w:vAlign w:val="center"/>
          </w:tcPr>
          <w:p>
            <w:pPr>
              <w:pStyle w:val="11"/>
            </w:pPr>
            <w:r>
              <w:t>3436100.00</w:t>
            </w:r>
          </w:p>
        </w:tc>
        <w:tc>
          <w:tcPr>
            <w:tcW w:w="1134" w:type="dxa"/>
            <w:vAlign w:val="center"/>
          </w:tcPr>
          <w:p>
            <w:pPr>
              <w:pStyle w:val="11"/>
            </w:pPr>
            <w:r>
              <w:t>3436100.00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3436100.00</w:t>
            </w:r>
          </w:p>
        </w:tc>
        <w:tc>
          <w:tcPr>
            <w:tcW w:w="1134" w:type="dxa"/>
            <w:vAlign w:val="center"/>
          </w:tcPr>
          <w:p>
            <w:pPr>
              <w:pStyle w:val="11"/>
            </w:pPr>
            <w:r>
              <w:t>3436100.00</w:t>
            </w:r>
          </w:p>
        </w:tc>
        <w:tc>
          <w:tcPr>
            <w:tcW w:w="1134" w:type="dxa"/>
            <w:vAlign w:val="center"/>
          </w:tcPr>
          <w:p>
            <w:pPr>
              <w:pStyle w:val="11"/>
            </w:pPr>
            <w:r>
              <w:t>3436100.00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1230100.00</w:t>
            </w:r>
          </w:p>
        </w:tc>
        <w:tc>
          <w:tcPr>
            <w:tcW w:w="1134" w:type="dxa"/>
            <w:vAlign w:val="center"/>
          </w:tcPr>
          <w:p>
            <w:pPr>
              <w:pStyle w:val="11"/>
            </w:pPr>
            <w:r>
              <w:t>1230100.00</w:t>
            </w:r>
          </w:p>
        </w:tc>
        <w:tc>
          <w:tcPr>
            <w:tcW w:w="1134" w:type="dxa"/>
            <w:vAlign w:val="center"/>
          </w:tcPr>
          <w:p>
            <w:pPr>
              <w:pStyle w:val="11"/>
            </w:pPr>
            <w:r>
              <w:t>1230100.00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1700000.00</w:t>
            </w:r>
          </w:p>
        </w:tc>
        <w:tc>
          <w:tcPr>
            <w:tcW w:w="1134" w:type="dxa"/>
            <w:vAlign w:val="center"/>
          </w:tcPr>
          <w:p>
            <w:pPr>
              <w:pStyle w:val="11"/>
            </w:pPr>
            <w:r>
              <w:t>1700000.00</w:t>
            </w:r>
          </w:p>
        </w:tc>
        <w:tc>
          <w:tcPr>
            <w:tcW w:w="1134" w:type="dxa"/>
            <w:vAlign w:val="center"/>
          </w:tcPr>
          <w:p>
            <w:pPr>
              <w:pStyle w:val="11"/>
            </w:pPr>
            <w:r>
              <w:t>1700000.00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2010850</w:t>
            </w:r>
          </w:p>
        </w:tc>
        <w:tc>
          <w:tcPr>
            <w:tcW w:w="1559" w:type="dxa"/>
            <w:vAlign w:val="center"/>
          </w:tcPr>
          <w:p>
            <w:pPr>
              <w:pStyle w:val="12"/>
            </w:pPr>
            <w:r>
              <w:t>事业运行</w:t>
            </w:r>
          </w:p>
        </w:tc>
        <w:tc>
          <w:tcPr>
            <w:tcW w:w="1134" w:type="dxa"/>
            <w:vAlign w:val="center"/>
          </w:tcPr>
          <w:p>
            <w:pPr>
              <w:pStyle w:val="11"/>
            </w:pPr>
            <w:r>
              <w:t>456000.00</w:t>
            </w:r>
          </w:p>
        </w:tc>
        <w:tc>
          <w:tcPr>
            <w:tcW w:w="1134" w:type="dxa"/>
            <w:vAlign w:val="center"/>
          </w:tcPr>
          <w:p>
            <w:pPr>
              <w:pStyle w:val="11"/>
            </w:pPr>
            <w:r>
              <w:t>456000.00</w:t>
            </w:r>
          </w:p>
        </w:tc>
        <w:tc>
          <w:tcPr>
            <w:tcW w:w="1134" w:type="dxa"/>
            <w:vAlign w:val="center"/>
          </w:tcPr>
          <w:p>
            <w:pPr>
              <w:pStyle w:val="11"/>
            </w:pPr>
            <w:r>
              <w:t>456000.00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2010899</w:t>
            </w:r>
          </w:p>
        </w:tc>
        <w:tc>
          <w:tcPr>
            <w:tcW w:w="1559" w:type="dxa"/>
            <w:vAlign w:val="center"/>
          </w:tcPr>
          <w:p>
            <w:pPr>
              <w:pStyle w:val="12"/>
            </w:pPr>
            <w:r>
              <w:t>其他审计事务支出</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r>
              <w:t>50000.00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r>
              <w:t>174900.00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117000.00</w:t>
            </w:r>
          </w:p>
        </w:tc>
        <w:tc>
          <w:tcPr>
            <w:tcW w:w="1134" w:type="dxa"/>
            <w:vAlign w:val="center"/>
          </w:tcPr>
          <w:p>
            <w:pPr>
              <w:pStyle w:val="11"/>
            </w:pPr>
            <w:r>
              <w:t>117000.00</w:t>
            </w:r>
          </w:p>
        </w:tc>
        <w:tc>
          <w:tcPr>
            <w:tcW w:w="1134" w:type="dxa"/>
            <w:vAlign w:val="center"/>
          </w:tcPr>
          <w:p>
            <w:pPr>
              <w:pStyle w:val="11"/>
            </w:pPr>
            <w:r>
              <w:t>117000.00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57900.00</w:t>
            </w:r>
          </w:p>
        </w:tc>
        <w:tc>
          <w:tcPr>
            <w:tcW w:w="1134" w:type="dxa"/>
            <w:vAlign w:val="center"/>
          </w:tcPr>
          <w:p>
            <w:pPr>
              <w:pStyle w:val="11"/>
            </w:pPr>
            <w:r>
              <w:t>57900.00</w:t>
            </w:r>
          </w:p>
        </w:tc>
        <w:tc>
          <w:tcPr>
            <w:tcW w:w="1134" w:type="dxa"/>
            <w:vAlign w:val="center"/>
          </w:tcPr>
          <w:p>
            <w:pPr>
              <w:pStyle w:val="11"/>
            </w:pPr>
            <w:r>
              <w:t>57900.00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56200.00</w:t>
            </w:r>
          </w:p>
        </w:tc>
        <w:tc>
          <w:tcPr>
            <w:tcW w:w="1134" w:type="dxa"/>
            <w:vAlign w:val="center"/>
          </w:tcPr>
          <w:p>
            <w:pPr>
              <w:pStyle w:val="11"/>
            </w:pPr>
            <w:r>
              <w:t>56200.00</w:t>
            </w:r>
          </w:p>
        </w:tc>
        <w:tc>
          <w:tcPr>
            <w:tcW w:w="1134" w:type="dxa"/>
            <w:vAlign w:val="center"/>
          </w:tcPr>
          <w:p>
            <w:pPr>
              <w:pStyle w:val="11"/>
            </w:pPr>
            <w:r>
              <w:t>56200.00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56200.00</w:t>
            </w:r>
          </w:p>
        </w:tc>
        <w:tc>
          <w:tcPr>
            <w:tcW w:w="1134" w:type="dxa"/>
            <w:vAlign w:val="center"/>
          </w:tcPr>
          <w:p>
            <w:pPr>
              <w:pStyle w:val="11"/>
            </w:pPr>
            <w:r>
              <w:t>56200.00</w:t>
            </w:r>
          </w:p>
        </w:tc>
        <w:tc>
          <w:tcPr>
            <w:tcW w:w="1134" w:type="dxa"/>
            <w:vAlign w:val="center"/>
          </w:tcPr>
          <w:p>
            <w:pPr>
              <w:pStyle w:val="11"/>
            </w:pPr>
            <w:r>
              <w:t>56200.00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38900.00</w:t>
            </w:r>
          </w:p>
        </w:tc>
        <w:tc>
          <w:tcPr>
            <w:tcW w:w="1134" w:type="dxa"/>
            <w:vAlign w:val="center"/>
          </w:tcPr>
          <w:p>
            <w:pPr>
              <w:pStyle w:val="11"/>
            </w:pPr>
            <w:r>
              <w:t>38900.00</w:t>
            </w:r>
          </w:p>
        </w:tc>
        <w:tc>
          <w:tcPr>
            <w:tcW w:w="1134" w:type="dxa"/>
            <w:vAlign w:val="center"/>
          </w:tcPr>
          <w:p>
            <w:pPr>
              <w:pStyle w:val="11"/>
            </w:pPr>
            <w:r>
              <w:t>38900.00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17300.00</w:t>
            </w:r>
          </w:p>
        </w:tc>
        <w:tc>
          <w:tcPr>
            <w:tcW w:w="1134" w:type="dxa"/>
            <w:vAlign w:val="center"/>
          </w:tcPr>
          <w:p>
            <w:pPr>
              <w:pStyle w:val="11"/>
            </w:pPr>
            <w:r>
              <w:t>17300.00</w:t>
            </w:r>
          </w:p>
        </w:tc>
        <w:tc>
          <w:tcPr>
            <w:tcW w:w="1134" w:type="dxa"/>
            <w:vAlign w:val="center"/>
          </w:tcPr>
          <w:p>
            <w:pPr>
              <w:pStyle w:val="11"/>
            </w:pPr>
            <w:r>
              <w:t>17300.00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r>
              <w:t>83000.00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319馆陶县审计局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3750200.00</w:t>
            </w:r>
          </w:p>
        </w:tc>
        <w:tc>
          <w:tcPr>
            <w:tcW w:w="1361" w:type="dxa"/>
            <w:vAlign w:val="center"/>
          </w:tcPr>
          <w:p>
            <w:pPr>
              <w:pStyle w:val="15"/>
            </w:pPr>
            <w:r>
              <w:t>1700200.00</w:t>
            </w:r>
          </w:p>
        </w:tc>
        <w:tc>
          <w:tcPr>
            <w:tcW w:w="1361" w:type="dxa"/>
            <w:vAlign w:val="center"/>
          </w:tcPr>
          <w:p>
            <w:pPr>
              <w:pStyle w:val="15"/>
            </w:pPr>
            <w:r>
              <w:t>2050000.00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3436100.00</w:t>
            </w:r>
          </w:p>
        </w:tc>
        <w:tc>
          <w:tcPr>
            <w:tcW w:w="1361" w:type="dxa"/>
            <w:vAlign w:val="center"/>
          </w:tcPr>
          <w:p>
            <w:pPr>
              <w:pStyle w:val="11"/>
            </w:pPr>
            <w:r>
              <w:t>1386100.00</w:t>
            </w:r>
          </w:p>
        </w:tc>
        <w:tc>
          <w:tcPr>
            <w:tcW w:w="1361" w:type="dxa"/>
            <w:vAlign w:val="center"/>
          </w:tcPr>
          <w:p>
            <w:pPr>
              <w:pStyle w:val="11"/>
            </w:pPr>
            <w:r>
              <w:t>2050000.00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3436100.00</w:t>
            </w:r>
          </w:p>
        </w:tc>
        <w:tc>
          <w:tcPr>
            <w:tcW w:w="1361" w:type="dxa"/>
            <w:vAlign w:val="center"/>
          </w:tcPr>
          <w:p>
            <w:pPr>
              <w:pStyle w:val="11"/>
            </w:pPr>
            <w:r>
              <w:t>1386100.00</w:t>
            </w:r>
          </w:p>
        </w:tc>
        <w:tc>
          <w:tcPr>
            <w:tcW w:w="1361" w:type="dxa"/>
            <w:vAlign w:val="center"/>
          </w:tcPr>
          <w:p>
            <w:pPr>
              <w:pStyle w:val="11"/>
            </w:pPr>
            <w:r>
              <w:t>2050000.00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1230100.00</w:t>
            </w:r>
          </w:p>
        </w:tc>
        <w:tc>
          <w:tcPr>
            <w:tcW w:w="1361" w:type="dxa"/>
            <w:vAlign w:val="center"/>
          </w:tcPr>
          <w:p>
            <w:pPr>
              <w:pStyle w:val="11"/>
            </w:pPr>
            <w:r>
              <w:t>930100.00</w:t>
            </w:r>
          </w:p>
        </w:tc>
        <w:tc>
          <w:tcPr>
            <w:tcW w:w="1361" w:type="dxa"/>
            <w:vAlign w:val="center"/>
          </w:tcPr>
          <w:p>
            <w:pPr>
              <w:pStyle w:val="11"/>
            </w:pPr>
            <w:r>
              <w:t>300000.00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1700000.00</w:t>
            </w:r>
          </w:p>
        </w:tc>
        <w:tc>
          <w:tcPr>
            <w:tcW w:w="1361" w:type="dxa"/>
            <w:vAlign w:val="center"/>
          </w:tcPr>
          <w:p>
            <w:pPr>
              <w:pStyle w:val="11"/>
            </w:pPr>
          </w:p>
        </w:tc>
        <w:tc>
          <w:tcPr>
            <w:tcW w:w="1361" w:type="dxa"/>
            <w:vAlign w:val="center"/>
          </w:tcPr>
          <w:p>
            <w:pPr>
              <w:pStyle w:val="11"/>
            </w:pPr>
            <w:r>
              <w:t>1700000.00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2010850</w:t>
            </w:r>
          </w:p>
        </w:tc>
        <w:tc>
          <w:tcPr>
            <w:tcW w:w="4535" w:type="dxa"/>
            <w:vAlign w:val="center"/>
          </w:tcPr>
          <w:p>
            <w:pPr>
              <w:pStyle w:val="12"/>
            </w:pPr>
            <w:r>
              <w:t>事业运行</w:t>
            </w:r>
          </w:p>
        </w:tc>
        <w:tc>
          <w:tcPr>
            <w:tcW w:w="1361" w:type="dxa"/>
            <w:vAlign w:val="center"/>
          </w:tcPr>
          <w:p>
            <w:pPr>
              <w:pStyle w:val="11"/>
            </w:pPr>
            <w:r>
              <w:t>456000.00</w:t>
            </w:r>
          </w:p>
        </w:tc>
        <w:tc>
          <w:tcPr>
            <w:tcW w:w="1361" w:type="dxa"/>
            <w:vAlign w:val="center"/>
          </w:tcPr>
          <w:p>
            <w:pPr>
              <w:pStyle w:val="11"/>
            </w:pPr>
            <w:r>
              <w:t>456000.00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2010899</w:t>
            </w:r>
          </w:p>
        </w:tc>
        <w:tc>
          <w:tcPr>
            <w:tcW w:w="4535" w:type="dxa"/>
            <w:vAlign w:val="center"/>
          </w:tcPr>
          <w:p>
            <w:pPr>
              <w:pStyle w:val="12"/>
            </w:pPr>
            <w:r>
              <w:t>其他审计事务支出</w:t>
            </w: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r>
              <w:t>50000.00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174900.00</w:t>
            </w:r>
          </w:p>
        </w:tc>
        <w:tc>
          <w:tcPr>
            <w:tcW w:w="1361" w:type="dxa"/>
            <w:vAlign w:val="center"/>
          </w:tcPr>
          <w:p>
            <w:pPr>
              <w:pStyle w:val="11"/>
            </w:pPr>
            <w:r>
              <w:t>174900.00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174900.00</w:t>
            </w:r>
          </w:p>
        </w:tc>
        <w:tc>
          <w:tcPr>
            <w:tcW w:w="1361" w:type="dxa"/>
            <w:vAlign w:val="center"/>
          </w:tcPr>
          <w:p>
            <w:pPr>
              <w:pStyle w:val="11"/>
            </w:pPr>
            <w:r>
              <w:t>174900.00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117000.00</w:t>
            </w:r>
          </w:p>
        </w:tc>
        <w:tc>
          <w:tcPr>
            <w:tcW w:w="1361" w:type="dxa"/>
            <w:vAlign w:val="center"/>
          </w:tcPr>
          <w:p>
            <w:pPr>
              <w:pStyle w:val="11"/>
            </w:pPr>
            <w:r>
              <w:t>117000.00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57900.00</w:t>
            </w:r>
          </w:p>
        </w:tc>
        <w:tc>
          <w:tcPr>
            <w:tcW w:w="1361" w:type="dxa"/>
            <w:vAlign w:val="center"/>
          </w:tcPr>
          <w:p>
            <w:pPr>
              <w:pStyle w:val="11"/>
            </w:pPr>
            <w:r>
              <w:t>57900.00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56200.00</w:t>
            </w:r>
          </w:p>
        </w:tc>
        <w:tc>
          <w:tcPr>
            <w:tcW w:w="1361" w:type="dxa"/>
            <w:vAlign w:val="center"/>
          </w:tcPr>
          <w:p>
            <w:pPr>
              <w:pStyle w:val="11"/>
            </w:pPr>
            <w:r>
              <w:t>56200.00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56200.00</w:t>
            </w:r>
          </w:p>
        </w:tc>
        <w:tc>
          <w:tcPr>
            <w:tcW w:w="1361" w:type="dxa"/>
            <w:vAlign w:val="center"/>
          </w:tcPr>
          <w:p>
            <w:pPr>
              <w:pStyle w:val="11"/>
            </w:pPr>
            <w:r>
              <w:t>56200.00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38900.00</w:t>
            </w:r>
          </w:p>
        </w:tc>
        <w:tc>
          <w:tcPr>
            <w:tcW w:w="1361" w:type="dxa"/>
            <w:vAlign w:val="center"/>
          </w:tcPr>
          <w:p>
            <w:pPr>
              <w:pStyle w:val="11"/>
            </w:pPr>
            <w:r>
              <w:t>38900.00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17300.00</w:t>
            </w:r>
          </w:p>
        </w:tc>
        <w:tc>
          <w:tcPr>
            <w:tcW w:w="1361" w:type="dxa"/>
            <w:vAlign w:val="center"/>
          </w:tcPr>
          <w:p>
            <w:pPr>
              <w:pStyle w:val="11"/>
            </w:pPr>
            <w:r>
              <w:t>17300.00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83000.00</w:t>
            </w:r>
          </w:p>
        </w:tc>
        <w:tc>
          <w:tcPr>
            <w:tcW w:w="1361" w:type="dxa"/>
            <w:vAlign w:val="center"/>
          </w:tcPr>
          <w:p>
            <w:pPr>
              <w:pStyle w:val="11"/>
            </w:pPr>
            <w:r>
              <w:t>83000.00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83000.00</w:t>
            </w:r>
          </w:p>
        </w:tc>
        <w:tc>
          <w:tcPr>
            <w:tcW w:w="1361" w:type="dxa"/>
            <w:vAlign w:val="center"/>
          </w:tcPr>
          <w:p>
            <w:pPr>
              <w:pStyle w:val="11"/>
            </w:pPr>
            <w:r>
              <w:t>83000.00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83000.00</w:t>
            </w:r>
          </w:p>
        </w:tc>
        <w:tc>
          <w:tcPr>
            <w:tcW w:w="1361" w:type="dxa"/>
            <w:vAlign w:val="center"/>
          </w:tcPr>
          <w:p>
            <w:pPr>
              <w:pStyle w:val="11"/>
            </w:pPr>
            <w:r>
              <w:t>83000.00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319馆陶县审计局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3750200.00</w:t>
            </w:r>
          </w:p>
        </w:tc>
        <w:tc>
          <w:tcPr>
            <w:tcW w:w="3402" w:type="dxa"/>
            <w:vAlign w:val="center"/>
          </w:tcPr>
          <w:p>
            <w:pPr>
              <w:pStyle w:val="12"/>
            </w:pPr>
            <w:r>
              <w:t>一、一般公共服务支出</w:t>
            </w:r>
          </w:p>
        </w:tc>
        <w:tc>
          <w:tcPr>
            <w:tcW w:w="1474" w:type="dxa"/>
            <w:vAlign w:val="center"/>
          </w:tcPr>
          <w:p>
            <w:pPr>
              <w:pStyle w:val="11"/>
            </w:pPr>
            <w:r>
              <w:t>3436100.00</w:t>
            </w:r>
          </w:p>
        </w:tc>
        <w:tc>
          <w:tcPr>
            <w:tcW w:w="1474" w:type="dxa"/>
            <w:vAlign w:val="center"/>
          </w:tcPr>
          <w:p>
            <w:pPr>
              <w:pStyle w:val="11"/>
            </w:pPr>
            <w:r>
              <w:t>3436100.00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174900.00</w:t>
            </w:r>
          </w:p>
        </w:tc>
        <w:tc>
          <w:tcPr>
            <w:tcW w:w="1474" w:type="dxa"/>
            <w:vAlign w:val="center"/>
          </w:tcPr>
          <w:p>
            <w:pPr>
              <w:pStyle w:val="11"/>
            </w:pPr>
            <w:r>
              <w:t>174900.00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56200.00</w:t>
            </w:r>
          </w:p>
        </w:tc>
        <w:tc>
          <w:tcPr>
            <w:tcW w:w="1474" w:type="dxa"/>
            <w:vAlign w:val="center"/>
          </w:tcPr>
          <w:p>
            <w:pPr>
              <w:pStyle w:val="11"/>
            </w:pPr>
            <w:r>
              <w:t>56200.00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83000.00</w:t>
            </w:r>
          </w:p>
        </w:tc>
        <w:tc>
          <w:tcPr>
            <w:tcW w:w="1474" w:type="dxa"/>
            <w:vAlign w:val="center"/>
          </w:tcPr>
          <w:p>
            <w:pPr>
              <w:pStyle w:val="11"/>
            </w:pPr>
            <w:r>
              <w:t>83000.00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3750200.00</w:t>
            </w:r>
          </w:p>
        </w:tc>
        <w:tc>
          <w:tcPr>
            <w:tcW w:w="3402" w:type="dxa"/>
            <w:vAlign w:val="center"/>
          </w:tcPr>
          <w:p>
            <w:pPr>
              <w:pStyle w:val="14"/>
            </w:pPr>
            <w:r>
              <w:t>本年支出合计</w:t>
            </w:r>
          </w:p>
        </w:tc>
        <w:tc>
          <w:tcPr>
            <w:tcW w:w="1474" w:type="dxa"/>
            <w:vAlign w:val="center"/>
          </w:tcPr>
          <w:p>
            <w:pPr>
              <w:pStyle w:val="15"/>
            </w:pPr>
            <w:r>
              <w:t>3750200.00</w:t>
            </w:r>
          </w:p>
        </w:tc>
        <w:tc>
          <w:tcPr>
            <w:tcW w:w="1474" w:type="dxa"/>
            <w:vAlign w:val="center"/>
          </w:tcPr>
          <w:p>
            <w:pPr>
              <w:pStyle w:val="15"/>
            </w:pPr>
            <w:r>
              <w:t>3750200.00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3750200.00</w:t>
            </w:r>
          </w:p>
        </w:tc>
        <w:tc>
          <w:tcPr>
            <w:tcW w:w="3402" w:type="dxa"/>
            <w:vAlign w:val="center"/>
          </w:tcPr>
          <w:p>
            <w:pPr>
              <w:pStyle w:val="14"/>
            </w:pPr>
            <w:r>
              <w:t>支出总计</w:t>
            </w:r>
          </w:p>
        </w:tc>
        <w:tc>
          <w:tcPr>
            <w:tcW w:w="1474" w:type="dxa"/>
            <w:vAlign w:val="center"/>
          </w:tcPr>
          <w:p>
            <w:pPr>
              <w:pStyle w:val="15"/>
            </w:pPr>
            <w:r>
              <w:t>3750200.00</w:t>
            </w:r>
          </w:p>
        </w:tc>
        <w:tc>
          <w:tcPr>
            <w:tcW w:w="1474" w:type="dxa"/>
            <w:vAlign w:val="center"/>
          </w:tcPr>
          <w:p>
            <w:pPr>
              <w:pStyle w:val="15"/>
            </w:pPr>
            <w:r>
              <w:t>3750200.00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319馆陶县审计局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3750200.00</w:t>
            </w:r>
          </w:p>
        </w:tc>
        <w:tc>
          <w:tcPr>
            <w:tcW w:w="2551" w:type="dxa"/>
            <w:vAlign w:val="center"/>
          </w:tcPr>
          <w:p>
            <w:pPr>
              <w:pStyle w:val="15"/>
            </w:pPr>
            <w:r>
              <w:t>1700200.00</w:t>
            </w:r>
          </w:p>
        </w:tc>
        <w:tc>
          <w:tcPr>
            <w:tcW w:w="2551" w:type="dxa"/>
            <w:vAlign w:val="center"/>
          </w:tcPr>
          <w:p>
            <w:pPr>
              <w:pStyle w:val="15"/>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3436100.00</w:t>
            </w:r>
          </w:p>
        </w:tc>
        <w:tc>
          <w:tcPr>
            <w:tcW w:w="2551" w:type="dxa"/>
            <w:vAlign w:val="center"/>
          </w:tcPr>
          <w:p>
            <w:pPr>
              <w:pStyle w:val="11"/>
            </w:pPr>
            <w:r>
              <w:t>1386100.00</w:t>
            </w:r>
          </w:p>
        </w:tc>
        <w:tc>
          <w:tcPr>
            <w:tcW w:w="2551" w:type="dxa"/>
            <w:vAlign w:val="center"/>
          </w:tcPr>
          <w:p>
            <w:pPr>
              <w:pStyle w:val="11"/>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3436100.00</w:t>
            </w:r>
          </w:p>
        </w:tc>
        <w:tc>
          <w:tcPr>
            <w:tcW w:w="2551" w:type="dxa"/>
            <w:vAlign w:val="center"/>
          </w:tcPr>
          <w:p>
            <w:pPr>
              <w:pStyle w:val="11"/>
            </w:pPr>
            <w:r>
              <w:t>1386100.00</w:t>
            </w:r>
          </w:p>
        </w:tc>
        <w:tc>
          <w:tcPr>
            <w:tcW w:w="2551" w:type="dxa"/>
            <w:vAlign w:val="center"/>
          </w:tcPr>
          <w:p>
            <w:pPr>
              <w:pStyle w:val="11"/>
            </w:pPr>
            <w:r>
              <w:t>2050000.00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1230100.00</w:t>
            </w:r>
          </w:p>
        </w:tc>
        <w:tc>
          <w:tcPr>
            <w:tcW w:w="2551" w:type="dxa"/>
            <w:vAlign w:val="center"/>
          </w:tcPr>
          <w:p>
            <w:pPr>
              <w:pStyle w:val="11"/>
            </w:pPr>
            <w:r>
              <w:t>930100.00</w:t>
            </w:r>
          </w:p>
        </w:tc>
        <w:tc>
          <w:tcPr>
            <w:tcW w:w="2551" w:type="dxa"/>
            <w:vAlign w:val="center"/>
          </w:tcPr>
          <w:p>
            <w:pPr>
              <w:pStyle w:val="11"/>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1700000.00</w:t>
            </w:r>
          </w:p>
        </w:tc>
        <w:tc>
          <w:tcPr>
            <w:tcW w:w="2551" w:type="dxa"/>
            <w:vAlign w:val="center"/>
          </w:tcPr>
          <w:p>
            <w:pPr>
              <w:pStyle w:val="11"/>
            </w:pPr>
          </w:p>
        </w:tc>
        <w:tc>
          <w:tcPr>
            <w:tcW w:w="2551" w:type="dxa"/>
            <w:vAlign w:val="center"/>
          </w:tcPr>
          <w:p>
            <w:pPr>
              <w:pStyle w:val="11"/>
            </w:pPr>
            <w:r>
              <w:t>1700000.00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2010850</w:t>
            </w:r>
          </w:p>
        </w:tc>
        <w:tc>
          <w:tcPr>
            <w:tcW w:w="4535" w:type="dxa"/>
            <w:vAlign w:val="center"/>
          </w:tcPr>
          <w:p>
            <w:pPr>
              <w:pStyle w:val="12"/>
            </w:pPr>
            <w:r>
              <w:t>事业运行</w:t>
            </w:r>
          </w:p>
        </w:tc>
        <w:tc>
          <w:tcPr>
            <w:tcW w:w="2551" w:type="dxa"/>
            <w:vAlign w:val="center"/>
          </w:tcPr>
          <w:p>
            <w:pPr>
              <w:pStyle w:val="11"/>
            </w:pPr>
            <w:r>
              <w:t>456000.00</w:t>
            </w:r>
          </w:p>
        </w:tc>
        <w:tc>
          <w:tcPr>
            <w:tcW w:w="2551" w:type="dxa"/>
            <w:vAlign w:val="center"/>
          </w:tcPr>
          <w:p>
            <w:pPr>
              <w:pStyle w:val="11"/>
            </w:pPr>
            <w:r>
              <w:t>456000.00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2010899</w:t>
            </w:r>
          </w:p>
        </w:tc>
        <w:tc>
          <w:tcPr>
            <w:tcW w:w="4535" w:type="dxa"/>
            <w:vAlign w:val="center"/>
          </w:tcPr>
          <w:p>
            <w:pPr>
              <w:pStyle w:val="12"/>
            </w:pPr>
            <w:r>
              <w:t>其他审计事务支出</w:t>
            </w:r>
          </w:p>
        </w:tc>
        <w:tc>
          <w:tcPr>
            <w:tcW w:w="2551" w:type="dxa"/>
            <w:vAlign w:val="center"/>
          </w:tcPr>
          <w:p>
            <w:pPr>
              <w:pStyle w:val="11"/>
            </w:pPr>
            <w:r>
              <w:t>50000.00</w:t>
            </w:r>
          </w:p>
        </w:tc>
        <w:tc>
          <w:tcPr>
            <w:tcW w:w="2551" w:type="dxa"/>
            <w:vAlign w:val="center"/>
          </w:tcPr>
          <w:p>
            <w:pPr>
              <w:pStyle w:val="11"/>
            </w:pPr>
          </w:p>
        </w:tc>
        <w:tc>
          <w:tcPr>
            <w:tcW w:w="2551" w:type="dxa"/>
            <w:vAlign w:val="center"/>
          </w:tcPr>
          <w:p>
            <w:pPr>
              <w:pStyle w:val="11"/>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174900.00</w:t>
            </w:r>
          </w:p>
        </w:tc>
        <w:tc>
          <w:tcPr>
            <w:tcW w:w="2551" w:type="dxa"/>
            <w:vAlign w:val="center"/>
          </w:tcPr>
          <w:p>
            <w:pPr>
              <w:pStyle w:val="11"/>
            </w:pPr>
            <w:r>
              <w:t>174900.00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174900.00</w:t>
            </w:r>
          </w:p>
        </w:tc>
        <w:tc>
          <w:tcPr>
            <w:tcW w:w="2551" w:type="dxa"/>
            <w:vAlign w:val="center"/>
          </w:tcPr>
          <w:p>
            <w:pPr>
              <w:pStyle w:val="11"/>
            </w:pPr>
            <w:r>
              <w:t>174900.00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117000.00</w:t>
            </w:r>
          </w:p>
        </w:tc>
        <w:tc>
          <w:tcPr>
            <w:tcW w:w="2551" w:type="dxa"/>
            <w:vAlign w:val="center"/>
          </w:tcPr>
          <w:p>
            <w:pPr>
              <w:pStyle w:val="11"/>
            </w:pPr>
            <w:r>
              <w:t>117000.00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57900.00</w:t>
            </w:r>
          </w:p>
        </w:tc>
        <w:tc>
          <w:tcPr>
            <w:tcW w:w="2551" w:type="dxa"/>
            <w:vAlign w:val="center"/>
          </w:tcPr>
          <w:p>
            <w:pPr>
              <w:pStyle w:val="11"/>
            </w:pPr>
            <w:r>
              <w:t>57900.00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56200.00</w:t>
            </w:r>
          </w:p>
        </w:tc>
        <w:tc>
          <w:tcPr>
            <w:tcW w:w="2551" w:type="dxa"/>
            <w:vAlign w:val="center"/>
          </w:tcPr>
          <w:p>
            <w:pPr>
              <w:pStyle w:val="11"/>
            </w:pPr>
            <w:r>
              <w:t>56200.00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56200.00</w:t>
            </w:r>
          </w:p>
        </w:tc>
        <w:tc>
          <w:tcPr>
            <w:tcW w:w="2551" w:type="dxa"/>
            <w:vAlign w:val="center"/>
          </w:tcPr>
          <w:p>
            <w:pPr>
              <w:pStyle w:val="11"/>
            </w:pPr>
            <w:r>
              <w:t>56200.00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38900.00</w:t>
            </w:r>
          </w:p>
        </w:tc>
        <w:tc>
          <w:tcPr>
            <w:tcW w:w="2551" w:type="dxa"/>
            <w:vAlign w:val="center"/>
          </w:tcPr>
          <w:p>
            <w:pPr>
              <w:pStyle w:val="11"/>
            </w:pPr>
            <w:r>
              <w:t>38900.00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17300.00</w:t>
            </w:r>
          </w:p>
        </w:tc>
        <w:tc>
          <w:tcPr>
            <w:tcW w:w="2551" w:type="dxa"/>
            <w:vAlign w:val="center"/>
          </w:tcPr>
          <w:p>
            <w:pPr>
              <w:pStyle w:val="11"/>
            </w:pPr>
            <w:r>
              <w:t>17300.00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83000.00</w:t>
            </w:r>
          </w:p>
        </w:tc>
        <w:tc>
          <w:tcPr>
            <w:tcW w:w="2551" w:type="dxa"/>
            <w:vAlign w:val="center"/>
          </w:tcPr>
          <w:p>
            <w:pPr>
              <w:pStyle w:val="11"/>
            </w:pPr>
            <w:r>
              <w:t>83000.00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83000.00</w:t>
            </w:r>
          </w:p>
        </w:tc>
        <w:tc>
          <w:tcPr>
            <w:tcW w:w="2551" w:type="dxa"/>
            <w:vAlign w:val="center"/>
          </w:tcPr>
          <w:p>
            <w:pPr>
              <w:pStyle w:val="11"/>
            </w:pPr>
            <w:r>
              <w:t>83000.00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83000.00</w:t>
            </w:r>
          </w:p>
        </w:tc>
        <w:tc>
          <w:tcPr>
            <w:tcW w:w="2551" w:type="dxa"/>
            <w:vAlign w:val="center"/>
          </w:tcPr>
          <w:p>
            <w:pPr>
              <w:pStyle w:val="11"/>
            </w:pPr>
            <w:r>
              <w:t>83000.00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319馆陶县审计局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1700200.00</w:t>
            </w:r>
          </w:p>
        </w:tc>
        <w:tc>
          <w:tcPr>
            <w:tcW w:w="2551" w:type="dxa"/>
            <w:vAlign w:val="center"/>
          </w:tcPr>
          <w:p>
            <w:pPr>
              <w:pStyle w:val="15"/>
            </w:pPr>
            <w:r>
              <w:t>1578100.00</w:t>
            </w:r>
          </w:p>
        </w:tc>
        <w:tc>
          <w:tcPr>
            <w:tcW w:w="2551" w:type="dxa"/>
            <w:vAlign w:val="center"/>
          </w:tcPr>
          <w:p>
            <w:pPr>
              <w:pStyle w:val="15"/>
            </w:pPr>
            <w:r>
              <w:t>122100.00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1473100.00</w:t>
            </w:r>
          </w:p>
        </w:tc>
        <w:tc>
          <w:tcPr>
            <w:tcW w:w="2551" w:type="dxa"/>
            <w:vAlign w:val="center"/>
          </w:tcPr>
          <w:p>
            <w:pPr>
              <w:pStyle w:val="11"/>
            </w:pPr>
            <w:r>
              <w:t>1473100.00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608000.00</w:t>
            </w:r>
          </w:p>
        </w:tc>
        <w:tc>
          <w:tcPr>
            <w:tcW w:w="2551" w:type="dxa"/>
            <w:vAlign w:val="center"/>
          </w:tcPr>
          <w:p>
            <w:pPr>
              <w:pStyle w:val="11"/>
            </w:pPr>
            <w:r>
              <w:t>608000.00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194000.00</w:t>
            </w:r>
          </w:p>
        </w:tc>
        <w:tc>
          <w:tcPr>
            <w:tcW w:w="2551" w:type="dxa"/>
            <w:vAlign w:val="center"/>
          </w:tcPr>
          <w:p>
            <w:pPr>
              <w:pStyle w:val="11"/>
            </w:pPr>
            <w:r>
              <w:t>194000.00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264000.00</w:t>
            </w:r>
          </w:p>
        </w:tc>
        <w:tc>
          <w:tcPr>
            <w:tcW w:w="2551" w:type="dxa"/>
            <w:vAlign w:val="center"/>
          </w:tcPr>
          <w:p>
            <w:pPr>
              <w:pStyle w:val="11"/>
            </w:pPr>
            <w:r>
              <w:t>264000.00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88000.00</w:t>
            </w:r>
          </w:p>
        </w:tc>
        <w:tc>
          <w:tcPr>
            <w:tcW w:w="2551" w:type="dxa"/>
            <w:vAlign w:val="center"/>
          </w:tcPr>
          <w:p>
            <w:pPr>
              <w:pStyle w:val="11"/>
            </w:pPr>
            <w:r>
              <w:t>88000.00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117000.00</w:t>
            </w:r>
          </w:p>
        </w:tc>
        <w:tc>
          <w:tcPr>
            <w:tcW w:w="2551" w:type="dxa"/>
            <w:vAlign w:val="center"/>
          </w:tcPr>
          <w:p>
            <w:pPr>
              <w:pStyle w:val="11"/>
            </w:pPr>
            <w:r>
              <w:t>117000.00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57900.00</w:t>
            </w:r>
          </w:p>
        </w:tc>
        <w:tc>
          <w:tcPr>
            <w:tcW w:w="2551" w:type="dxa"/>
            <w:vAlign w:val="center"/>
          </w:tcPr>
          <w:p>
            <w:pPr>
              <w:pStyle w:val="11"/>
            </w:pPr>
            <w:r>
              <w:t>57900.00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55000.00</w:t>
            </w:r>
          </w:p>
        </w:tc>
        <w:tc>
          <w:tcPr>
            <w:tcW w:w="2551" w:type="dxa"/>
            <w:vAlign w:val="center"/>
          </w:tcPr>
          <w:p>
            <w:pPr>
              <w:pStyle w:val="11"/>
            </w:pPr>
            <w:r>
              <w:t>55000.00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6200.00</w:t>
            </w:r>
          </w:p>
        </w:tc>
        <w:tc>
          <w:tcPr>
            <w:tcW w:w="2551" w:type="dxa"/>
            <w:vAlign w:val="center"/>
          </w:tcPr>
          <w:p>
            <w:pPr>
              <w:pStyle w:val="11"/>
            </w:pPr>
            <w:r>
              <w:t>6200.00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83000.00</w:t>
            </w:r>
          </w:p>
        </w:tc>
        <w:tc>
          <w:tcPr>
            <w:tcW w:w="2551" w:type="dxa"/>
            <w:vAlign w:val="center"/>
          </w:tcPr>
          <w:p>
            <w:pPr>
              <w:pStyle w:val="11"/>
            </w:pPr>
            <w:r>
              <w:t>83000.00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122100.00</w:t>
            </w:r>
          </w:p>
        </w:tc>
        <w:tc>
          <w:tcPr>
            <w:tcW w:w="2551" w:type="dxa"/>
            <w:vAlign w:val="center"/>
          </w:tcPr>
          <w:p>
            <w:pPr>
              <w:pStyle w:val="11"/>
            </w:pPr>
          </w:p>
        </w:tc>
        <w:tc>
          <w:tcPr>
            <w:tcW w:w="2551" w:type="dxa"/>
            <w:vAlign w:val="center"/>
          </w:tcPr>
          <w:p>
            <w:pPr>
              <w:pStyle w:val="11"/>
            </w:pPr>
            <w:r>
              <w:t>122100.00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12100.00</w:t>
            </w:r>
          </w:p>
        </w:tc>
        <w:tc>
          <w:tcPr>
            <w:tcW w:w="2551" w:type="dxa"/>
            <w:vAlign w:val="center"/>
          </w:tcPr>
          <w:p>
            <w:pPr>
              <w:pStyle w:val="11"/>
            </w:pPr>
          </w:p>
        </w:tc>
        <w:tc>
          <w:tcPr>
            <w:tcW w:w="2551" w:type="dxa"/>
            <w:vAlign w:val="center"/>
          </w:tcPr>
          <w:p>
            <w:pPr>
              <w:pStyle w:val="11"/>
            </w:pPr>
            <w:r>
              <w:t>12100.00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2000.00</w:t>
            </w:r>
          </w:p>
        </w:tc>
        <w:tc>
          <w:tcPr>
            <w:tcW w:w="2551" w:type="dxa"/>
            <w:vAlign w:val="center"/>
          </w:tcPr>
          <w:p>
            <w:pPr>
              <w:pStyle w:val="11"/>
            </w:pPr>
          </w:p>
        </w:tc>
        <w:tc>
          <w:tcPr>
            <w:tcW w:w="2551"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40000.00</w:t>
            </w:r>
          </w:p>
        </w:tc>
        <w:tc>
          <w:tcPr>
            <w:tcW w:w="2551" w:type="dxa"/>
            <w:vAlign w:val="center"/>
          </w:tcPr>
          <w:p>
            <w:pPr>
              <w:pStyle w:val="11"/>
            </w:pPr>
          </w:p>
        </w:tc>
        <w:tc>
          <w:tcPr>
            <w:tcW w:w="2551" w:type="dxa"/>
            <w:vAlign w:val="center"/>
          </w:tcPr>
          <w:p>
            <w:pPr>
              <w:pStyle w:val="11"/>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60000.00</w:t>
            </w:r>
          </w:p>
        </w:tc>
        <w:tc>
          <w:tcPr>
            <w:tcW w:w="2551" w:type="dxa"/>
            <w:vAlign w:val="center"/>
          </w:tcPr>
          <w:p>
            <w:pPr>
              <w:pStyle w:val="11"/>
            </w:pPr>
          </w:p>
        </w:tc>
        <w:tc>
          <w:tcPr>
            <w:tcW w:w="2551" w:type="dxa"/>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105000.00</w:t>
            </w:r>
          </w:p>
        </w:tc>
        <w:tc>
          <w:tcPr>
            <w:tcW w:w="2551" w:type="dxa"/>
            <w:vAlign w:val="center"/>
          </w:tcPr>
          <w:p>
            <w:pPr>
              <w:pStyle w:val="11"/>
            </w:pPr>
            <w:r>
              <w:t>105000.00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10000.00</w:t>
            </w:r>
          </w:p>
        </w:tc>
        <w:tc>
          <w:tcPr>
            <w:tcW w:w="2551" w:type="dxa"/>
            <w:vAlign w:val="center"/>
          </w:tcPr>
          <w:p>
            <w:pPr>
              <w:pStyle w:val="11"/>
            </w:pPr>
            <w:r>
              <w:t>10000.00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95000.00</w:t>
            </w:r>
          </w:p>
        </w:tc>
        <w:tc>
          <w:tcPr>
            <w:tcW w:w="2551" w:type="dxa"/>
            <w:vAlign w:val="center"/>
          </w:tcPr>
          <w:p>
            <w:pPr>
              <w:pStyle w:val="11"/>
            </w:pPr>
            <w:r>
              <w:t>95000.00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319馆陶县审计局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319馆陶县审计局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319馆陶县审计局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馆陶县审计局2022年部门预算信息公开情况说明</w:t>
      </w:r>
    </w:p>
    <w:p>
      <w:pPr>
        <w:jc w:val="center"/>
      </w:pPr>
      <w:r>
        <w:rPr>
          <w:rFonts w:ascii="方正小标宋_GBK" w:hAnsi="方正小标宋_GBK" w:eastAsia="方正小标宋_GBK" w:cs="方正小标宋_GBK"/>
          <w:color w:val="000000"/>
          <w:sz w:val="44"/>
        </w:rPr>
        <w:t>馆陶县审计局2022年部门预算信息公开情况说明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预算法》、《地方预决算公开操作规程》和《关于进一步推进预算公开工作的实施意见》规定，现将馆陶县审计局2022年部门预算公开如下：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w:t>
      </w:r>
    </w:p>
    <w:p>
      <w:pPr>
        <w:pStyle w:val="17"/>
      </w:pPr>
      <w:r>
        <w:t>（二）贯彻执行审计法律、法规和方针、政策。制定审计规范性文件并监督执行；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17"/>
      </w:pPr>
      <w:r>
        <w:t>（三）向中共馆陶县委审计委员会、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7"/>
      </w:pPr>
      <w:r>
        <w:t>（四）直接审计下列事项，出具审计报告，在法定职权范围内作出审计决定，包括国家和省、市、县有关重大政策措施贯彻落实情况；县本级预算执行情况和其他财政收支，县直各部门（含所属单位）预算执行情况、决算草案和其他财政财务收支；各镇人民政府预算执行情况、决算草案和其他财政收支，县级财政转移支付资金；使用县级财政资金的事业单位和社会团体的财务收支；县本级政府投资和以县本级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审计厅、市审计局授权的国际组织和外国政府援助、贷款项目；法律法规规定的其他事项。</w:t>
      </w:r>
    </w:p>
    <w:p>
      <w:pPr>
        <w:pStyle w:val="17"/>
      </w:pPr>
      <w:r>
        <w:t>（五）按规定对县管党政主要领导干部及其他单位主要负责人实施经济责任审计和自然资源资产离任审计。</w:t>
      </w:r>
    </w:p>
    <w:p>
      <w:pPr>
        <w:pStyle w:val="17"/>
      </w:pPr>
      <w:r>
        <w:t>（六）组织实施对财经法律法规、规章、政策和宏观调控措施执行情况、财政预算管理及国有资产管理使用等与财政收支有关的特定事项进行专项审计调查。</w:t>
      </w:r>
    </w:p>
    <w:p>
      <w:pPr>
        <w:pStyle w:val="17"/>
      </w:pPr>
      <w:r>
        <w:t>（七）依法检查审计决定执行情况，督促整改审计查出的问题，依法办理被审计单位对审计决定提请行政复议、行政诉讼或县政府裁决中的有关事项，协助配合有关部门查处相关重大案件。</w:t>
      </w:r>
    </w:p>
    <w:p>
      <w:pPr>
        <w:pStyle w:val="17"/>
      </w:pPr>
      <w:r>
        <w:t>（八）指导和监督内部审计工作，核查社会审计机构对依法属于审计监督对象的单位出具的相关审计报告。</w:t>
      </w:r>
    </w:p>
    <w:p>
      <w:pPr>
        <w:pStyle w:val="17"/>
      </w:pPr>
      <w:r>
        <w:t>（九）组织开展审计领域的交流与合作，指导和推广信息技术在审计领域的应用。</w:t>
      </w:r>
    </w:p>
    <w:p>
      <w:pPr>
        <w:pStyle w:val="17"/>
      </w:pPr>
      <w:r>
        <w:t>（十）会同县委机构编制委员会办公室，做好党政机关及直属事业单位机构设置、编制使用以及有关规定的执行情况审计。</w:t>
      </w:r>
    </w:p>
    <w:p>
      <w:pPr>
        <w:pStyle w:val="17"/>
      </w:pPr>
      <w:r>
        <w:t>（十一）完成县委、县政府和上级审计机关交办的其他任务。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馆陶县审计局本级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馆陶县审计局（事业）</w:t>
            </w:r>
          </w:p>
        </w:tc>
        <w:tc>
          <w:tcPr>
            <w:tcW w:w="1843" w:type="dxa"/>
            <w:vAlign w:val="center"/>
          </w:tcPr>
          <w:p>
            <w:pPr>
              <w:pStyle w:val="13"/>
              <w:rPr>
                <w:lang w:eastAsia="zh-CN"/>
              </w:rPr>
            </w:pPr>
            <w:r>
              <w:rPr>
                <w:rFonts w:hint="eastAsia"/>
                <w:lang w:eastAsia="zh-CN"/>
              </w:rPr>
              <w:t>事业</w:t>
            </w:r>
          </w:p>
        </w:tc>
        <w:tc>
          <w:tcPr>
            <w:tcW w:w="2126" w:type="dxa"/>
            <w:vAlign w:val="center"/>
          </w:tcPr>
          <w:p>
            <w:pPr>
              <w:pStyle w:val="13"/>
            </w:pPr>
            <w:r>
              <w:t>股级</w:t>
            </w:r>
          </w:p>
        </w:tc>
        <w:tc>
          <w:tcPr>
            <w:tcW w:w="3827" w:type="dxa"/>
            <w:vAlign w:val="center"/>
          </w:tcPr>
          <w:p>
            <w:pPr>
              <w:pStyle w:val="13"/>
            </w:pP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按照预算管理有关规定，目前我省部门预算的编制实行综合预算管理，即全部收入和支出都反映在预算中。馆陶县审计局机关及所属事业单位的收支包含在部门预算中。</w:t>
      </w:r>
    </w:p>
    <w:p>
      <w:pPr>
        <w:pStyle w:val="18"/>
      </w:pPr>
      <w:r>
        <w:t>1、收入说明</w:t>
      </w:r>
    </w:p>
    <w:p>
      <w:pPr>
        <w:pStyle w:val="18"/>
      </w:pPr>
      <w:r>
        <w:t>反映本部门当年全部收入。2022年预算收</w:t>
      </w:r>
      <w:r>
        <w:rPr>
          <w:rFonts w:hint="eastAsia"/>
          <w:lang w:eastAsia="zh-CN"/>
        </w:rPr>
        <w:t>375.02</w:t>
      </w:r>
      <w:r>
        <w:t>万元，其中：一般公共预算收入</w:t>
      </w:r>
      <w:r>
        <w:rPr>
          <w:rFonts w:hint="eastAsia"/>
          <w:lang w:eastAsia="zh-CN"/>
        </w:rPr>
        <w:t>375.02</w:t>
      </w:r>
      <w:r>
        <w:t>万元，基金预算收入</w:t>
      </w:r>
      <w:r>
        <w:rPr>
          <w:rFonts w:hint="eastAsia"/>
          <w:lang w:eastAsia="zh-CN"/>
        </w:rPr>
        <w:t>0</w:t>
      </w:r>
      <w:r>
        <w:t>万元，国有资本经营预算收入</w:t>
      </w:r>
      <w:r>
        <w:rPr>
          <w:rFonts w:hint="eastAsia"/>
          <w:lang w:eastAsia="zh-CN"/>
        </w:rPr>
        <w:t>0</w:t>
      </w:r>
      <w:r>
        <w:t>万元，财政专户核拨收入</w:t>
      </w:r>
      <w:r>
        <w:rPr>
          <w:rFonts w:hint="eastAsia"/>
          <w:lang w:eastAsia="zh-CN"/>
        </w:rPr>
        <w:t>0</w:t>
      </w:r>
      <w:r>
        <w:t>万元，单位资金收入</w:t>
      </w:r>
      <w:r>
        <w:rPr>
          <w:rFonts w:hint="eastAsia"/>
          <w:lang w:eastAsia="zh-CN"/>
        </w:rPr>
        <w:t>0</w:t>
      </w:r>
      <w:r>
        <w:t>万元，上年结转结余</w:t>
      </w:r>
      <w:r>
        <w:rPr>
          <w:rFonts w:hint="eastAsia"/>
          <w:lang w:eastAsia="zh-CN"/>
        </w:rPr>
        <w:t>0</w:t>
      </w:r>
      <w:r>
        <w:t>万元。</w:t>
      </w:r>
    </w:p>
    <w:p>
      <w:pPr>
        <w:pStyle w:val="18"/>
      </w:pPr>
      <w:r>
        <w:t>2、支出说明</w:t>
      </w:r>
    </w:p>
    <w:p>
      <w:pPr>
        <w:pStyle w:val="18"/>
      </w:pPr>
      <w:r>
        <w:t>收支预算总表支出栏、基本支出表、项目支出表按经济分类和支出功能分类科目编制，反映</w:t>
      </w:r>
      <w:r>
        <w:rPr>
          <w:rFonts w:hint="eastAsia"/>
          <w:lang w:eastAsia="zh-CN"/>
        </w:rPr>
        <w:t>馆陶县审计局</w:t>
      </w:r>
      <w:r>
        <w:t>年度部门预算中支出预算的总体情况。2022年支出预算</w:t>
      </w:r>
      <w:r>
        <w:rPr>
          <w:rFonts w:hint="eastAsia"/>
          <w:lang w:eastAsia="zh-CN"/>
        </w:rPr>
        <w:t>375.02</w:t>
      </w:r>
      <w:r>
        <w:t>万元，其中基本支出</w:t>
      </w:r>
      <w:r>
        <w:rPr>
          <w:rFonts w:hint="eastAsia"/>
          <w:lang w:eastAsia="zh-CN"/>
        </w:rPr>
        <w:t>170.02</w:t>
      </w:r>
      <w:r>
        <w:t>万元，包括人员经费</w:t>
      </w:r>
      <w:r>
        <w:rPr>
          <w:rFonts w:hint="eastAsia"/>
          <w:lang w:eastAsia="zh-CN"/>
        </w:rPr>
        <w:t>157.81</w:t>
      </w:r>
      <w:r>
        <w:t>万元和日常公用经费</w:t>
      </w:r>
      <w:r>
        <w:rPr>
          <w:rFonts w:hint="eastAsia"/>
          <w:lang w:eastAsia="zh-CN"/>
        </w:rPr>
        <w:t>12.21</w:t>
      </w:r>
      <w:r>
        <w:t>万元；项目支出</w:t>
      </w:r>
      <w:r>
        <w:rPr>
          <w:rFonts w:hint="eastAsia"/>
          <w:lang w:eastAsia="zh-CN"/>
        </w:rPr>
        <w:t>205</w:t>
      </w:r>
      <w:r>
        <w:t>万元，主要为</w:t>
      </w:r>
      <w:r>
        <w:rPr>
          <w:rFonts w:hint="eastAsia"/>
          <w:lang w:eastAsia="zh-CN"/>
        </w:rPr>
        <w:t>政府投资建设项目审计经费</w:t>
      </w:r>
      <w:r>
        <w:t>等。</w:t>
      </w:r>
    </w:p>
    <w:p>
      <w:pPr>
        <w:pStyle w:val="18"/>
      </w:pPr>
      <w:r>
        <w:t>3、比上年增减情况</w:t>
      </w:r>
    </w:p>
    <w:p>
      <w:pPr>
        <w:pStyle w:val="18"/>
      </w:pPr>
      <w:r>
        <w:t>2022年预算收支安排</w:t>
      </w:r>
      <w:r>
        <w:rPr>
          <w:rFonts w:hint="eastAsia"/>
          <w:lang w:eastAsia="zh-CN"/>
        </w:rPr>
        <w:t>375.02</w:t>
      </w:r>
      <w:r>
        <w:t>万元，较2021年预算</w:t>
      </w:r>
      <w:r>
        <w:rPr>
          <w:rFonts w:hint="eastAsia"/>
          <w:lang w:eastAsia="zh-CN"/>
        </w:rPr>
        <w:t>减少2.85</w:t>
      </w:r>
      <w:r>
        <w:t>万元，其中：基本支出</w:t>
      </w:r>
      <w:r>
        <w:rPr>
          <w:rFonts w:hint="eastAsia"/>
          <w:lang w:eastAsia="zh-CN"/>
        </w:rPr>
        <w:t>减少2.85</w:t>
      </w:r>
      <w:r>
        <w:t>万元，主要为人员经费支出</w:t>
      </w:r>
      <w:r>
        <w:rPr>
          <w:rFonts w:hint="eastAsia"/>
          <w:lang w:eastAsia="zh-CN"/>
        </w:rPr>
        <w:t>的减少</w:t>
      </w:r>
      <w:r>
        <w:t>；项目支出增加</w:t>
      </w:r>
      <w:r>
        <w:rPr>
          <w:rFonts w:hint="eastAsia"/>
          <w:lang w:eastAsia="zh-CN"/>
        </w:rPr>
        <w:t>0</w:t>
      </w:r>
      <w:r>
        <w:t>万元。</w:t>
      </w:r>
    </w:p>
    <w:p>
      <w:pPr>
        <w:spacing w:line="500" w:lineRule="exact"/>
        <w:ind w:firstLine="560"/>
        <w:rPr>
          <w:rFonts w:eastAsia="方正仿宋_GBK"/>
          <w:color w:val="000000"/>
          <w:sz w:val="28"/>
        </w:rPr>
      </w:pPr>
    </w:p>
    <w:p>
      <w:pPr>
        <w:pStyle w:val="18"/>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2022年，我部门运行经费共计安排</w:t>
      </w:r>
      <w:r>
        <w:rPr>
          <w:rFonts w:hint="eastAsia"/>
          <w:lang w:eastAsia="zh-CN"/>
        </w:rPr>
        <w:t>12.21</w:t>
      </w:r>
      <w:r>
        <w:t>万元，主要用于</w:t>
      </w:r>
      <w:r>
        <w:rPr>
          <w:rFonts w:hint="eastAsia"/>
          <w:lang w:eastAsia="zh-CN"/>
        </w:rPr>
        <w:t>办公费、水电费</w:t>
      </w:r>
      <w:r>
        <w:t>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lang w:eastAsia="zh-CN"/>
        </w:rPr>
      </w:pPr>
      <w:r>
        <w:t>2022年，我部门财政拨款“三公”经费预算安排</w:t>
      </w:r>
      <w:r>
        <w:rPr>
          <w:rFonts w:hint="eastAsia"/>
          <w:lang w:eastAsia="zh-CN"/>
        </w:rPr>
        <w:t>0</w:t>
      </w:r>
      <w:r>
        <w:t>万元，其中因公出国（境）费</w:t>
      </w:r>
      <w:r>
        <w:rPr>
          <w:rFonts w:hint="eastAsia"/>
          <w:lang w:eastAsia="zh-CN"/>
        </w:rPr>
        <w:t>0</w:t>
      </w:r>
      <w:r>
        <w:t>万元；公务用车购置及运维费</w:t>
      </w:r>
      <w:r>
        <w:rPr>
          <w:rFonts w:hint="eastAsia"/>
          <w:lang w:eastAsia="zh-CN"/>
        </w:rPr>
        <w:t>0</w:t>
      </w:r>
      <w:r>
        <w:t>万元（其中：公务用车购置费为</w:t>
      </w:r>
      <w:r>
        <w:rPr>
          <w:rFonts w:hint="eastAsia"/>
          <w:lang w:eastAsia="zh-CN"/>
        </w:rPr>
        <w:t>0</w:t>
      </w:r>
      <w:r>
        <w:t>万元，公务用车运维费</w:t>
      </w:r>
      <w:r>
        <w:rPr>
          <w:rFonts w:hint="eastAsia"/>
          <w:lang w:eastAsia="zh-CN"/>
        </w:rPr>
        <w:t>0</w:t>
      </w:r>
      <w:r>
        <w:t>万元)；公务接待费</w:t>
      </w:r>
      <w:r>
        <w:rPr>
          <w:rFonts w:hint="eastAsia"/>
          <w:lang w:eastAsia="zh-CN"/>
        </w:rPr>
        <w:t>0</w:t>
      </w:r>
      <w:r>
        <w:t>万元。与2021年相比</w:t>
      </w:r>
      <w:r>
        <w:rPr>
          <w:rFonts w:hint="eastAsia"/>
          <w:lang w:eastAsia="zh-CN"/>
        </w:rPr>
        <w:t>持平。</w:t>
      </w:r>
    </w:p>
    <w:p>
      <w:pPr>
        <w:pStyle w:val="2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主管全县审计工作。对全县财政收支和依法属于审计监督范围的财务收支的真实、合法和效益进行审计监督，对公共资金、国有资产、国有资源和领导干部履行经济责任情况实行审计全覆盖，对领导干部实行自然资源资产离任审计，对国家、省委、省政府、市委、市政府和县委、县政府相关重大政策措施贯彻落实情况进行跟踪审计。对审计、专项审计调查和核查社会审计机构相关审计报告的结果承担责任，并负有督促被审计单位整改的责任。进行内部审计管理和审计法制管理。贯彻落实相关法律法规及大内部审计管理制度提高审计质量和审计机关法制管理水平。包括系统综合业务管理和机关综合事务管理。充分发挥参谋助手作用和综合协调作用，推进审计事业科学协调发展。审计政务管理。包括系统综合业务管理和机关综合事务管理。充分发挥参谋助手作用和综合协调作用，推进审计事业科学协调发展。</w:t>
      </w:r>
    </w:p>
    <w:p>
      <w:pPr>
        <w:spacing w:line="500" w:lineRule="exact"/>
        <w:ind w:firstLine="560"/>
      </w:pPr>
      <w:r>
        <w:rPr>
          <w:rFonts w:eastAsia="方正仿宋_GBK"/>
          <w:color w:val="000000"/>
          <w:sz w:val="28"/>
        </w:rPr>
        <w:t>（二）分项绩效目标</w:t>
      </w:r>
    </w:p>
    <w:p>
      <w:pPr>
        <w:pStyle w:val="22"/>
      </w:pPr>
      <w:r>
        <w:t>（一）审计业务。</w:t>
      </w:r>
    </w:p>
    <w:p>
      <w:pPr>
        <w:pStyle w:val="22"/>
      </w:pPr>
      <w:r>
        <w:t>绩效目标：主管全县审计工作，通过审计财政、财务收支真实、合法和效益，维护国家财政经济秩序、促进廉政建设、保障国民经济的健康发展。</w:t>
      </w:r>
    </w:p>
    <w:p>
      <w:pPr>
        <w:pStyle w:val="22"/>
      </w:pPr>
      <w:r>
        <w:t>绩效指标：审计决定落实率不低于90%；审计计划完成达到100%；专项审计工作完成率达到100%。</w:t>
      </w:r>
    </w:p>
    <w:p>
      <w:pPr>
        <w:pStyle w:val="22"/>
      </w:pPr>
      <w:r>
        <w:t>（二）审计管理。</w:t>
      </w:r>
    </w:p>
    <w:p>
      <w:pPr>
        <w:pStyle w:val="22"/>
      </w:pPr>
      <w:r>
        <w:t>绩效目标：进行内部审计管理和审计法制管理。</w:t>
      </w:r>
    </w:p>
    <w:p>
      <w:pPr>
        <w:pStyle w:val="22"/>
      </w:pPr>
      <w:r>
        <w:t>绩效指标：内审业务指导、监督检查率大于90%；审计项目报告合格率达到100%；审计项目审理覆盖率达到100%。</w:t>
      </w:r>
    </w:p>
    <w:p>
      <w:pPr>
        <w:pStyle w:val="22"/>
      </w:pPr>
      <w:r>
        <w:t>（三）审计政务管理。</w:t>
      </w:r>
    </w:p>
    <w:p>
      <w:pPr>
        <w:pStyle w:val="22"/>
      </w:pPr>
      <w:r>
        <w:t>绩效目标：提高人员业务水平，不断提高审计业务质量保障机关正常运转，推动审计事业发展。</w:t>
      </w:r>
    </w:p>
    <w:p>
      <w:pPr>
        <w:pStyle w:val="22"/>
      </w:pPr>
      <w:r>
        <w:t>绩效指标：综合业务管理工作完成率达到100%；综合事务管理工作完成率达到100%。</w:t>
      </w:r>
    </w:p>
    <w:p>
      <w:pPr>
        <w:spacing w:line="500" w:lineRule="exact"/>
        <w:ind w:firstLine="560"/>
      </w:pPr>
      <w:r>
        <w:rPr>
          <w:rFonts w:eastAsia="方正仿宋_GBK"/>
          <w:color w:val="000000"/>
          <w:sz w:val="28"/>
        </w:rPr>
        <w:t>（三）工作保障措施</w:t>
      </w:r>
    </w:p>
    <w:p>
      <w:pPr>
        <w:pStyle w:val="23"/>
      </w:pPr>
      <w:r>
        <w:t>（一）领导高度重视，成立专门的领导小组。成立了以局长为组长的领导小组，对任务目标进行分解，责任到人，规定详细的工作计划，确保按期完成，达到预期效果。</w:t>
      </w:r>
    </w:p>
    <w:p>
      <w:pPr>
        <w:pStyle w:val="23"/>
      </w:pPr>
      <w:r>
        <w:t>（二）加大审计全覆盖力度。一是推进审计全覆盖，对经济责任审计做到党政同责，应审尽审。健全完善审计对象分类管理制度，重点对权力集中、资金密集、财务独立二级机构的部门单位领导干部进行行审计。坚持全面覆盖、突出重点、任中审计和离任审计相结合。二是深化审计内容，做到监督权力，落实责任。密切关注被审计领导干部所在单位的资金、资产的运行过程，及贯彻执行县委、县政府的方针政策和决策部署，促进区域经济发展和以改善民生为重点的社会建设情况；重大经济决策的依法决策、科学决策、民主决策情况以及决策执行的经济效益、社会效益和环境效益情况。</w:t>
      </w:r>
    </w:p>
    <w:p>
      <w:pPr>
        <w:pStyle w:val="23"/>
      </w:pPr>
      <w:r>
        <w:t>（三）加大问题揭示力度。一是加强对审计发现问题的揭示力度，要揭示存在问题的深层次原因，找准存在问题根源，要一追到底，反映被审计单位在管理中存在的薄弱环节。二是加大审计发现问题的处理处罚力度，对于由于主观故意形成的问题要加大处理处罚的力度，绝不姑息，涉嫌违纪违法的要及时移交纪检监察、司法机关，形成震慑。</w:t>
      </w:r>
    </w:p>
    <w:p>
      <w:pPr>
        <w:pStyle w:val="23"/>
      </w:pPr>
      <w:r>
        <w:t>（四）加大审计整改力度。一是加强审计过程中的整改，对于发现的问题，能够在审计现场纠正的问题，令其被审计单位立即纠正，提高审计整改效率。二是加强对审计报告中存在问题的整改，审计组要按照整改的时限及时督促被审计单位报送整改报告并检查整改落实情况，使其真正整改到位。对于整改工作缓慢或整改不到位的问题，下达整改通知书，约谈主要负责人，加大督促整改力度。</w:t>
      </w:r>
    </w:p>
    <w:p>
      <w:pPr>
        <w:pStyle w:val="23"/>
      </w:pPr>
      <w:r>
        <w:t>（五）全面加强队伍建设和机关规范化建设。局党组切实履行好全面从严治党主体责任，加强党风廉政建设，严格执行“三重一大”议事制度。进一步学习宣传贯彻党的十九大精神，认真执行组织生活制度，落实好“三会一课”、民主评议党员、谈心谈话、党员学习教育培训等制度。组织开展专家学者大讲堂活动，邀请上级审计机关领导及业务骨干讲课，每月召开一次支部会议，每季度进行一次党课教育，每季度组织一次全体党员活动，每年召开一次组织生活会和民主评议党员活动，每年组织一至二次外出学习交流活动，以增强党组织的凝聚力。同时抓好党费收缴、党员发展等工作。进一步提高机关规范化建设水平，提高审计质量和工作效率，转变机关工作作风，按照《馆陶县审计局工作人员绩效考核办法（试行）》的要求，鼓励大家积极参与审计专业相关资格考试及优秀审计项目评选，提升自我能力和单位形象。按照《办法》的要求，进一步严肃工作纪律，严格考勤制度、值班带班制度，以保障各项工作正常运转。</w:t>
      </w:r>
    </w:p>
    <w:p>
      <w:pPr>
        <w:ind w:firstLine="64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1、经济责任审计经费绩效目标表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1.加强对领导干部行使权力的制约和监督，推进党风廉政建设和反腐败工作，推进国家治理体系和治理能力现代化。</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举办监督检查业务培训次数（次）</w:t>
            </w:r>
          </w:p>
        </w:tc>
        <w:tc>
          <w:tcPr>
            <w:tcW w:w="2835" w:type="dxa"/>
            <w:vAlign w:val="center"/>
          </w:tcPr>
          <w:p>
            <w:pPr>
              <w:pStyle w:val="12"/>
            </w:pPr>
            <w:r>
              <w:t>组织开展监督检查业务培训的次数</w:t>
            </w:r>
          </w:p>
        </w:tc>
        <w:tc>
          <w:tcPr>
            <w:tcW w:w="2551" w:type="dxa"/>
            <w:vAlign w:val="center"/>
          </w:tcPr>
          <w:p>
            <w:pPr>
              <w:pStyle w:val="12"/>
            </w:pPr>
            <w:r>
              <w:t>≥1次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监督检查覆盖率</w:t>
            </w:r>
          </w:p>
        </w:tc>
        <w:tc>
          <w:tcPr>
            <w:tcW w:w="2835" w:type="dxa"/>
            <w:vAlign w:val="center"/>
          </w:tcPr>
          <w:p>
            <w:pPr>
              <w:pStyle w:val="12"/>
            </w:pPr>
            <w:r>
              <w:t>实际开展监督检查的对象数量占应监管对象总数的比率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w:t>
            </w:r>
          </w:p>
        </w:tc>
        <w:tc>
          <w:tcPr>
            <w:tcW w:w="2835" w:type="dxa"/>
            <w:vAlign w:val="center"/>
          </w:tcPr>
          <w:p>
            <w:pPr>
              <w:pStyle w:val="12"/>
            </w:pPr>
            <w:r>
              <w:t>开展业务培训人均需要的费用</w:t>
            </w:r>
          </w:p>
        </w:tc>
        <w:tc>
          <w:tcPr>
            <w:tcW w:w="2551" w:type="dxa"/>
            <w:vAlign w:val="center"/>
          </w:tcPr>
          <w:p>
            <w:pPr>
              <w:pStyle w:val="12"/>
            </w:pPr>
            <w:r>
              <w:t>≤500元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未按时完成审计项目数量</w:t>
            </w:r>
          </w:p>
        </w:tc>
        <w:tc>
          <w:tcPr>
            <w:tcW w:w="2835" w:type="dxa"/>
            <w:vAlign w:val="center"/>
          </w:tcPr>
          <w:p>
            <w:pPr>
              <w:pStyle w:val="12"/>
            </w:pPr>
            <w:r>
              <w:t>未按时完成审计项目数量</w:t>
            </w:r>
          </w:p>
        </w:tc>
        <w:tc>
          <w:tcPr>
            <w:tcW w:w="2551" w:type="dxa"/>
            <w:vAlign w:val="center"/>
          </w:tcPr>
          <w:p>
            <w:pPr>
              <w:pStyle w:val="12"/>
            </w:pPr>
            <w:r>
              <w:t>≤1个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审计建议采纳率（%）</w:t>
            </w:r>
          </w:p>
        </w:tc>
        <w:tc>
          <w:tcPr>
            <w:tcW w:w="2835" w:type="dxa"/>
            <w:vAlign w:val="center"/>
          </w:tcPr>
          <w:p>
            <w:pPr>
              <w:pStyle w:val="12"/>
            </w:pPr>
            <w:r>
              <w:t>被采纳的审计建议占全部审计建议的比率</w:t>
            </w:r>
          </w:p>
        </w:tc>
        <w:tc>
          <w:tcPr>
            <w:tcW w:w="2551" w:type="dxa"/>
            <w:vAlign w:val="center"/>
          </w:tcPr>
          <w:p>
            <w:pPr>
              <w:pStyle w:val="12"/>
            </w:pPr>
            <w:r>
              <w:t>≥90%</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审计决定落实率</w:t>
            </w:r>
          </w:p>
        </w:tc>
        <w:tc>
          <w:tcPr>
            <w:tcW w:w="2835" w:type="dxa"/>
            <w:vAlign w:val="center"/>
          </w:tcPr>
          <w:p>
            <w:pPr>
              <w:pStyle w:val="12"/>
            </w:pPr>
            <w:r>
              <w:t>反应审计结果落实情况</w:t>
            </w:r>
          </w:p>
        </w:tc>
        <w:tc>
          <w:tcPr>
            <w:tcW w:w="2551" w:type="dxa"/>
            <w:vAlign w:val="center"/>
          </w:tcPr>
          <w:p>
            <w:pPr>
              <w:pStyle w:val="12"/>
            </w:pPr>
            <w:r>
              <w:t>≥85%</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审计违纪投诉率</w:t>
            </w:r>
          </w:p>
        </w:tc>
        <w:tc>
          <w:tcPr>
            <w:tcW w:w="2835" w:type="dxa"/>
            <w:vAlign w:val="center"/>
          </w:tcPr>
          <w:p>
            <w:pPr>
              <w:pStyle w:val="12"/>
            </w:pPr>
            <w:r>
              <w:t>在对审计人员依法审计、廉洁审计、文明审计方面投诉的审计项目数量占全部审计项目的比率</w:t>
            </w:r>
          </w:p>
        </w:tc>
        <w:tc>
          <w:tcPr>
            <w:tcW w:w="2551" w:type="dxa"/>
            <w:vAlign w:val="center"/>
          </w:tcPr>
          <w:p>
            <w:pPr>
              <w:pStyle w:val="12"/>
            </w:pPr>
            <w:r>
              <w:t>≤1%</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2、审计专项工作经费绩效目标表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1.通过专项资金审计，综合分析，向政府、部门、单位反映情况，揭露问题。</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举办监督检查业务培训次数（次）</w:t>
            </w:r>
          </w:p>
        </w:tc>
        <w:tc>
          <w:tcPr>
            <w:tcW w:w="2835" w:type="dxa"/>
            <w:vAlign w:val="center"/>
          </w:tcPr>
          <w:p>
            <w:pPr>
              <w:pStyle w:val="12"/>
            </w:pPr>
            <w:r>
              <w:t>组织开展监督检查业务培训的次数</w:t>
            </w:r>
          </w:p>
        </w:tc>
        <w:tc>
          <w:tcPr>
            <w:tcW w:w="2551" w:type="dxa"/>
            <w:vAlign w:val="center"/>
          </w:tcPr>
          <w:p>
            <w:pPr>
              <w:pStyle w:val="12"/>
            </w:pPr>
            <w:r>
              <w:t>≥1次</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监督检查覆盖率</w:t>
            </w:r>
          </w:p>
        </w:tc>
        <w:tc>
          <w:tcPr>
            <w:tcW w:w="2835" w:type="dxa"/>
            <w:vAlign w:val="center"/>
          </w:tcPr>
          <w:p>
            <w:pPr>
              <w:pStyle w:val="12"/>
            </w:pPr>
            <w:r>
              <w:t>实际开展监督检查的对象数量占应监管对象总数的比率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w:t>
            </w:r>
          </w:p>
        </w:tc>
        <w:tc>
          <w:tcPr>
            <w:tcW w:w="2835" w:type="dxa"/>
            <w:vAlign w:val="center"/>
          </w:tcPr>
          <w:p>
            <w:pPr>
              <w:pStyle w:val="12"/>
            </w:pPr>
            <w:r>
              <w:t>开展业务培训人均需要的费用</w:t>
            </w:r>
          </w:p>
        </w:tc>
        <w:tc>
          <w:tcPr>
            <w:tcW w:w="2551" w:type="dxa"/>
            <w:vAlign w:val="center"/>
          </w:tcPr>
          <w:p>
            <w:pPr>
              <w:pStyle w:val="12"/>
            </w:pPr>
            <w:r>
              <w:t>≤500元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未按时完成审计项目数量</w:t>
            </w:r>
          </w:p>
        </w:tc>
        <w:tc>
          <w:tcPr>
            <w:tcW w:w="2835" w:type="dxa"/>
            <w:vAlign w:val="center"/>
          </w:tcPr>
          <w:p>
            <w:pPr>
              <w:pStyle w:val="12"/>
            </w:pPr>
            <w:r>
              <w:t>未按时完成审计项目数量</w:t>
            </w:r>
          </w:p>
        </w:tc>
        <w:tc>
          <w:tcPr>
            <w:tcW w:w="2551" w:type="dxa"/>
            <w:vAlign w:val="center"/>
          </w:tcPr>
          <w:p>
            <w:pPr>
              <w:pStyle w:val="12"/>
            </w:pPr>
            <w:r>
              <w:t>≤1个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审计建议采纳率（%）</w:t>
            </w:r>
          </w:p>
        </w:tc>
        <w:tc>
          <w:tcPr>
            <w:tcW w:w="2835" w:type="dxa"/>
            <w:vAlign w:val="center"/>
          </w:tcPr>
          <w:p>
            <w:pPr>
              <w:pStyle w:val="12"/>
            </w:pPr>
            <w:r>
              <w:t>被采纳的审计建议占全部审计建议的比率</w:t>
            </w:r>
          </w:p>
        </w:tc>
        <w:tc>
          <w:tcPr>
            <w:tcW w:w="2551" w:type="dxa"/>
            <w:vAlign w:val="center"/>
          </w:tcPr>
          <w:p>
            <w:pPr>
              <w:pStyle w:val="12"/>
            </w:pPr>
            <w:r>
              <w:t>≥90%</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审计决定落实率</w:t>
            </w:r>
          </w:p>
        </w:tc>
        <w:tc>
          <w:tcPr>
            <w:tcW w:w="2835" w:type="dxa"/>
            <w:vAlign w:val="center"/>
          </w:tcPr>
          <w:p>
            <w:pPr>
              <w:pStyle w:val="12"/>
            </w:pPr>
            <w:r>
              <w:t>反应审计结果落实情况</w:t>
            </w:r>
          </w:p>
        </w:tc>
        <w:tc>
          <w:tcPr>
            <w:tcW w:w="2551" w:type="dxa"/>
            <w:vAlign w:val="center"/>
          </w:tcPr>
          <w:p>
            <w:pPr>
              <w:pStyle w:val="12"/>
            </w:pPr>
            <w:r>
              <w:t>≥85%</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审计违纪投诉率</w:t>
            </w:r>
          </w:p>
        </w:tc>
        <w:tc>
          <w:tcPr>
            <w:tcW w:w="2835" w:type="dxa"/>
            <w:vAlign w:val="center"/>
          </w:tcPr>
          <w:p>
            <w:pPr>
              <w:pStyle w:val="12"/>
            </w:pPr>
            <w:r>
              <w:t>在对审计人员依法审计、廉洁审计、文明审计方面投诉的审计项目数量占全部审计项目的比率</w:t>
            </w:r>
          </w:p>
        </w:tc>
        <w:tc>
          <w:tcPr>
            <w:tcW w:w="2551" w:type="dxa"/>
            <w:vAlign w:val="center"/>
          </w:tcPr>
          <w:p>
            <w:pPr>
              <w:pStyle w:val="12"/>
            </w:pPr>
            <w:r>
              <w:t>≤1%</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3、政府投资建设项目审计经费绩效目标表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1.通过对政府投资、其他国有资产投资以及政府投资和其他国有资产图纸为主的建设项目的审计，对项目预算执行情况和决算进行审计监督，对实施政府投资项目立项，招投标等进行审计。</w:t>
            </w:r>
            <w:r>
              <w:tab/>
            </w:r>
            <w:r>
              <w:tab/>
            </w:r>
            <w:r>
              <w:tab/>
            </w:r>
            <w:r>
              <w:tab/>
            </w:r>
            <w:r>
              <w:tab/>
            </w:r>
            <w:r>
              <w:tab/>
            </w:r>
            <w:r>
              <w:tab/>
            </w:r>
            <w:r>
              <w:t>"</w:t>
            </w:r>
            <w:r>
              <w:tab/>
            </w:r>
            <w:r>
              <w:tab/>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审计建议采纳数量</w:t>
            </w:r>
          </w:p>
        </w:tc>
        <w:tc>
          <w:tcPr>
            <w:tcW w:w="2835" w:type="dxa"/>
            <w:vAlign w:val="center"/>
          </w:tcPr>
          <w:p>
            <w:pPr>
              <w:pStyle w:val="12"/>
            </w:pPr>
            <w:r>
              <w:t>对被审计单位的审计意见和建议采纳的数量</w:t>
            </w:r>
          </w:p>
        </w:tc>
        <w:tc>
          <w:tcPr>
            <w:tcW w:w="2551" w:type="dxa"/>
            <w:vAlign w:val="center"/>
          </w:tcPr>
          <w:p>
            <w:pPr>
              <w:pStyle w:val="12"/>
            </w:pPr>
            <w:r>
              <w:t>≥3个</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监督检查覆盖率</w:t>
            </w:r>
          </w:p>
        </w:tc>
        <w:tc>
          <w:tcPr>
            <w:tcW w:w="2835" w:type="dxa"/>
            <w:vAlign w:val="center"/>
          </w:tcPr>
          <w:p>
            <w:pPr>
              <w:pStyle w:val="12"/>
            </w:pPr>
            <w:r>
              <w:t>实际开展监督检查的对象数量占应监管对象总数的比率</w:t>
            </w:r>
          </w:p>
        </w:tc>
        <w:tc>
          <w:tcPr>
            <w:tcW w:w="2551" w:type="dxa"/>
            <w:vAlign w:val="center"/>
          </w:tcPr>
          <w:p>
            <w:pPr>
              <w:pStyle w:val="12"/>
            </w:pPr>
            <w:r>
              <w:t>≥90%</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w:t>
            </w:r>
          </w:p>
        </w:tc>
        <w:tc>
          <w:tcPr>
            <w:tcW w:w="2835" w:type="dxa"/>
            <w:vAlign w:val="center"/>
          </w:tcPr>
          <w:p>
            <w:pPr>
              <w:pStyle w:val="12"/>
            </w:pPr>
            <w:r>
              <w:t>开展业务培训人均需要的费用</w:t>
            </w:r>
          </w:p>
        </w:tc>
        <w:tc>
          <w:tcPr>
            <w:tcW w:w="2551" w:type="dxa"/>
            <w:vAlign w:val="center"/>
          </w:tcPr>
          <w:p>
            <w:pPr>
              <w:pStyle w:val="12"/>
            </w:pPr>
            <w:r>
              <w:t>≤500元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未按时完成审计项目数量</w:t>
            </w:r>
          </w:p>
        </w:tc>
        <w:tc>
          <w:tcPr>
            <w:tcW w:w="2835" w:type="dxa"/>
            <w:vAlign w:val="center"/>
          </w:tcPr>
          <w:p>
            <w:pPr>
              <w:pStyle w:val="12"/>
            </w:pPr>
            <w:r>
              <w:t>未按时完成审计项目数量</w:t>
            </w:r>
          </w:p>
        </w:tc>
        <w:tc>
          <w:tcPr>
            <w:tcW w:w="2551" w:type="dxa"/>
            <w:vAlign w:val="center"/>
          </w:tcPr>
          <w:p>
            <w:pPr>
              <w:pStyle w:val="12"/>
            </w:pPr>
            <w:r>
              <w:t>≤1个</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审计建议采纳率（%）</w:t>
            </w:r>
          </w:p>
        </w:tc>
        <w:tc>
          <w:tcPr>
            <w:tcW w:w="2835" w:type="dxa"/>
            <w:vAlign w:val="center"/>
          </w:tcPr>
          <w:p>
            <w:pPr>
              <w:pStyle w:val="12"/>
            </w:pPr>
            <w:r>
              <w:t>被采纳的审计建议占全部审计建议的比率</w:t>
            </w:r>
          </w:p>
        </w:tc>
        <w:tc>
          <w:tcPr>
            <w:tcW w:w="2551" w:type="dxa"/>
            <w:vAlign w:val="center"/>
          </w:tcPr>
          <w:p>
            <w:pPr>
              <w:pStyle w:val="12"/>
            </w:pPr>
            <w:r>
              <w:t>≥90%</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审计决定落实率</w:t>
            </w:r>
          </w:p>
        </w:tc>
        <w:tc>
          <w:tcPr>
            <w:tcW w:w="2835" w:type="dxa"/>
            <w:vAlign w:val="center"/>
          </w:tcPr>
          <w:p>
            <w:pPr>
              <w:pStyle w:val="12"/>
            </w:pPr>
            <w:r>
              <w:t>反应审计结果落实情况</w:t>
            </w:r>
          </w:p>
        </w:tc>
        <w:tc>
          <w:tcPr>
            <w:tcW w:w="2551" w:type="dxa"/>
            <w:vAlign w:val="center"/>
          </w:tcPr>
          <w:p>
            <w:pPr>
              <w:pStyle w:val="12"/>
            </w:pPr>
            <w:r>
              <w:t>≥85%</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审计违纪投诉率</w:t>
            </w:r>
          </w:p>
        </w:tc>
        <w:tc>
          <w:tcPr>
            <w:tcW w:w="2835" w:type="dxa"/>
            <w:vAlign w:val="center"/>
          </w:tcPr>
          <w:p>
            <w:pPr>
              <w:pStyle w:val="12"/>
            </w:pPr>
            <w:r>
              <w:t>在对审计人员依法审计、廉洁审计、文明审计方面投诉的审计项目数量占全部审计项目的比率</w:t>
            </w:r>
          </w:p>
        </w:tc>
        <w:tc>
          <w:tcPr>
            <w:tcW w:w="2551" w:type="dxa"/>
            <w:vAlign w:val="center"/>
          </w:tcPr>
          <w:p>
            <w:pPr>
              <w:pStyle w:val="12"/>
            </w:pPr>
            <w:r>
              <w:t>≤1%</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4、冀财行[2021]98号  关于提前下达2022年中央审计专项补助经费的通知绩效目标表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1.合理利用河北省财政厅关于提前下达2022年中央审计专项补助经费，按照文件规定用途使用资金.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资金执行率</w:t>
            </w:r>
          </w:p>
        </w:tc>
        <w:tc>
          <w:tcPr>
            <w:tcW w:w="2835" w:type="dxa"/>
            <w:vAlign w:val="center"/>
          </w:tcPr>
          <w:p>
            <w:pPr>
              <w:pStyle w:val="12"/>
            </w:pPr>
            <w:r>
              <w:t>反映专项资金的使用情况</w:t>
            </w:r>
          </w:p>
        </w:tc>
        <w:tc>
          <w:tcPr>
            <w:tcW w:w="2551" w:type="dxa"/>
            <w:vAlign w:val="center"/>
          </w:tcPr>
          <w:p>
            <w:pPr>
              <w:pStyle w:val="12"/>
            </w:pPr>
            <w:r>
              <w:t>≥90%</w:t>
            </w:r>
          </w:p>
        </w:tc>
        <w:tc>
          <w:tcPr>
            <w:tcW w:w="2268" w:type="dxa"/>
            <w:vAlign w:val="center"/>
          </w:tcPr>
          <w:p>
            <w:pPr>
              <w:pStyle w:val="12"/>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审计计划完成率</w:t>
            </w:r>
          </w:p>
        </w:tc>
        <w:tc>
          <w:tcPr>
            <w:tcW w:w="2835" w:type="dxa"/>
            <w:vAlign w:val="center"/>
          </w:tcPr>
          <w:p>
            <w:pPr>
              <w:pStyle w:val="12"/>
            </w:pPr>
            <w:r>
              <w:t>审计计划完成的比例</w:t>
            </w:r>
          </w:p>
        </w:tc>
        <w:tc>
          <w:tcPr>
            <w:tcW w:w="2551" w:type="dxa"/>
            <w:vAlign w:val="center"/>
          </w:tcPr>
          <w:p>
            <w:pPr>
              <w:pStyle w:val="12"/>
            </w:pPr>
            <w:r>
              <w:t>100%</w:t>
            </w:r>
          </w:p>
        </w:tc>
        <w:tc>
          <w:tcPr>
            <w:tcW w:w="2268" w:type="dxa"/>
            <w:vAlign w:val="center"/>
          </w:tcPr>
          <w:p>
            <w:pPr>
              <w:pStyle w:val="12"/>
            </w:pPr>
            <w:r>
              <w:t>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人均培训费</w:t>
            </w:r>
          </w:p>
        </w:tc>
        <w:tc>
          <w:tcPr>
            <w:tcW w:w="2835" w:type="dxa"/>
            <w:vAlign w:val="center"/>
          </w:tcPr>
          <w:p>
            <w:pPr>
              <w:pStyle w:val="12"/>
            </w:pPr>
            <w:r>
              <w:t>开展业务培训人均需要的费用</w:t>
            </w:r>
          </w:p>
        </w:tc>
        <w:tc>
          <w:tcPr>
            <w:tcW w:w="2551" w:type="dxa"/>
            <w:vAlign w:val="center"/>
          </w:tcPr>
          <w:p>
            <w:pPr>
              <w:pStyle w:val="12"/>
            </w:pPr>
            <w:r>
              <w:t>≤500元</w:t>
            </w:r>
          </w:p>
        </w:tc>
        <w:tc>
          <w:tcPr>
            <w:tcW w:w="2268"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审计项目按时完成率</w:t>
            </w:r>
          </w:p>
        </w:tc>
        <w:tc>
          <w:tcPr>
            <w:tcW w:w="2835" w:type="dxa"/>
            <w:vAlign w:val="center"/>
          </w:tcPr>
          <w:p>
            <w:pPr>
              <w:pStyle w:val="12"/>
            </w:pPr>
            <w:r>
              <w:t>审计项目是否按时完成</w:t>
            </w:r>
          </w:p>
        </w:tc>
        <w:tc>
          <w:tcPr>
            <w:tcW w:w="2551" w:type="dxa"/>
            <w:vAlign w:val="center"/>
          </w:tcPr>
          <w:p>
            <w:pPr>
              <w:pStyle w:val="12"/>
            </w:pPr>
            <w:r>
              <w:t>100%</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保障审计机关正常开展审计工作</w:t>
            </w:r>
          </w:p>
        </w:tc>
        <w:tc>
          <w:tcPr>
            <w:tcW w:w="2835" w:type="dxa"/>
            <w:vAlign w:val="center"/>
          </w:tcPr>
          <w:p>
            <w:pPr>
              <w:pStyle w:val="12"/>
            </w:pPr>
            <w:r>
              <w:t>审计机关能否正常开展审计工作</w:t>
            </w:r>
          </w:p>
        </w:tc>
        <w:tc>
          <w:tcPr>
            <w:tcW w:w="2551" w:type="dxa"/>
            <w:vAlign w:val="center"/>
          </w:tcPr>
          <w:p>
            <w:pPr>
              <w:pStyle w:val="12"/>
            </w:pPr>
            <w:r>
              <w:t>能保障困难审计机关开展审计工作</w:t>
            </w:r>
          </w:p>
        </w:tc>
        <w:tc>
          <w:tcPr>
            <w:tcW w:w="2268" w:type="dxa"/>
            <w:vAlign w:val="center"/>
          </w:tcPr>
          <w:p>
            <w:pPr>
              <w:pStyle w:val="12"/>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问题整改落实率</w:t>
            </w:r>
          </w:p>
        </w:tc>
        <w:tc>
          <w:tcPr>
            <w:tcW w:w="2835" w:type="dxa"/>
            <w:vAlign w:val="center"/>
          </w:tcPr>
          <w:p>
            <w:pPr>
              <w:pStyle w:val="12"/>
            </w:pPr>
            <w:r>
              <w:t>问题整改落实率</w:t>
            </w:r>
          </w:p>
        </w:tc>
        <w:tc>
          <w:tcPr>
            <w:tcW w:w="2551" w:type="dxa"/>
            <w:vAlign w:val="center"/>
          </w:tcPr>
          <w:p>
            <w:pPr>
              <w:pStyle w:val="12"/>
            </w:pPr>
            <w:r>
              <w:t>≥90%</w:t>
            </w:r>
          </w:p>
        </w:tc>
        <w:tc>
          <w:tcPr>
            <w:tcW w:w="2268" w:type="dxa"/>
            <w:vAlign w:val="center"/>
          </w:tcPr>
          <w:p>
            <w:pPr>
              <w:pStyle w:val="12"/>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审计违纪投诉率</w:t>
            </w:r>
          </w:p>
        </w:tc>
        <w:tc>
          <w:tcPr>
            <w:tcW w:w="2835" w:type="dxa"/>
            <w:vAlign w:val="center"/>
          </w:tcPr>
          <w:p>
            <w:pPr>
              <w:pStyle w:val="12"/>
            </w:pPr>
            <w:r>
              <w:t>在对审计人员依法审计、廉洁审计、文明审计方面投诉的审计项目数量占全部审计项目的比率</w:t>
            </w:r>
          </w:p>
        </w:tc>
        <w:tc>
          <w:tcPr>
            <w:tcW w:w="2551" w:type="dxa"/>
            <w:vAlign w:val="center"/>
          </w:tcPr>
          <w:p>
            <w:pPr>
              <w:pStyle w:val="12"/>
            </w:pPr>
            <w:r>
              <w:t>≤1%</w:t>
            </w:r>
          </w:p>
        </w:tc>
        <w:tc>
          <w:tcPr>
            <w:tcW w:w="2268"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2022年，馆陶县审计局安排政府采购预算</w:t>
      </w:r>
      <w:r>
        <w:rPr>
          <w:rFonts w:hint="eastAsia" w:eastAsia="方正仿宋_GBK"/>
          <w:color w:val="000000"/>
          <w:sz w:val="28"/>
          <w:lang w:eastAsia="zh-CN"/>
        </w:rPr>
        <w:t>3.0335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319馆陶县审计局</w:t>
            </w:r>
          </w:p>
        </w:tc>
        <w:tc>
          <w:tcPr>
            <w:tcW w:w="8676"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合计</w:t>
            </w:r>
          </w:p>
        </w:tc>
        <w:tc>
          <w:tcPr>
            <w:tcW w:w="964" w:type="dxa"/>
            <w:vAlign w:val="center"/>
          </w:tcPr>
          <w:p>
            <w:pPr>
              <w:pStyle w:val="11"/>
              <w:rPr>
                <w:lang w:eastAsia="zh-CN"/>
              </w:rPr>
            </w:pPr>
          </w:p>
        </w:tc>
        <w:tc>
          <w:tcPr>
            <w:tcW w:w="1134" w:type="dxa"/>
            <w:vAlign w:val="center"/>
          </w:tcPr>
          <w:p>
            <w:pPr>
              <w:pStyle w:val="12"/>
              <w:rPr>
                <w:lang w:eastAsia="zh-CN"/>
              </w:rPr>
            </w:pPr>
          </w:p>
        </w:tc>
        <w:tc>
          <w:tcPr>
            <w:tcW w:w="1134" w:type="dxa"/>
            <w:vAlign w:val="center"/>
          </w:tcPr>
          <w:p>
            <w:pPr>
              <w:pStyle w:val="12"/>
            </w:pPr>
          </w:p>
        </w:tc>
        <w:tc>
          <w:tcPr>
            <w:tcW w:w="709" w:type="dxa"/>
            <w:vAlign w:val="center"/>
          </w:tcPr>
          <w:p>
            <w:pPr>
              <w:pStyle w:val="13"/>
              <w:rPr>
                <w:lang w:eastAsia="zh-CN"/>
              </w:rPr>
            </w:pPr>
          </w:p>
        </w:tc>
        <w:tc>
          <w:tcPr>
            <w:tcW w:w="850" w:type="dxa"/>
            <w:vAlign w:val="center"/>
          </w:tcPr>
          <w:p>
            <w:pPr>
              <w:pStyle w:val="11"/>
              <w:rPr>
                <w:lang w:eastAsia="zh-CN"/>
              </w:rPr>
            </w:pPr>
          </w:p>
        </w:tc>
        <w:tc>
          <w:tcPr>
            <w:tcW w:w="850" w:type="dxa"/>
            <w:vAlign w:val="center"/>
          </w:tcPr>
          <w:p>
            <w:pPr>
              <w:pStyle w:val="11"/>
              <w:rPr>
                <w:lang w:eastAsia="zh-CN"/>
              </w:rPr>
            </w:pPr>
          </w:p>
        </w:tc>
        <w:tc>
          <w:tcPr>
            <w:tcW w:w="964" w:type="dxa"/>
            <w:vAlign w:val="center"/>
          </w:tcPr>
          <w:p>
            <w:pPr>
              <w:pStyle w:val="11"/>
              <w:rPr>
                <w:lang w:eastAsia="zh-CN"/>
              </w:rPr>
            </w:pPr>
            <w:r>
              <w:rPr>
                <w:rFonts w:hint="eastAsia"/>
                <w:lang w:eastAsia="zh-CN"/>
              </w:rPr>
              <w:t>30335</w:t>
            </w:r>
          </w:p>
        </w:tc>
        <w:tc>
          <w:tcPr>
            <w:tcW w:w="964" w:type="dxa"/>
            <w:vAlign w:val="center"/>
          </w:tcPr>
          <w:p>
            <w:pPr>
              <w:pStyle w:val="11"/>
              <w:rPr>
                <w:lang w:eastAsia="zh-CN"/>
              </w:rPr>
            </w:pPr>
            <w:r>
              <w:rPr>
                <w:rFonts w:hint="eastAsia"/>
                <w:lang w:eastAsia="zh-CN"/>
              </w:rPr>
              <w:t>30335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30335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馆陶县审计局本级</w:t>
            </w:r>
          </w:p>
        </w:tc>
        <w:tc>
          <w:tcPr>
            <w:tcW w:w="964" w:type="dxa"/>
            <w:vAlign w:val="center"/>
          </w:tcPr>
          <w:p>
            <w:pPr>
              <w:pStyle w:val="11"/>
              <w:rPr>
                <w:lang w:eastAsia="zh-CN"/>
              </w:rPr>
            </w:pPr>
          </w:p>
        </w:tc>
        <w:tc>
          <w:tcPr>
            <w:tcW w:w="1134" w:type="dxa"/>
            <w:vAlign w:val="center"/>
          </w:tcPr>
          <w:p>
            <w:pPr>
              <w:pStyle w:val="12"/>
              <w:rPr>
                <w:lang w:eastAsia="zh-CN"/>
              </w:rPr>
            </w:pPr>
          </w:p>
        </w:tc>
        <w:tc>
          <w:tcPr>
            <w:tcW w:w="1134" w:type="dxa"/>
            <w:vAlign w:val="center"/>
          </w:tcPr>
          <w:p>
            <w:pPr>
              <w:pStyle w:val="12"/>
            </w:pPr>
          </w:p>
        </w:tc>
        <w:tc>
          <w:tcPr>
            <w:tcW w:w="709" w:type="dxa"/>
            <w:vAlign w:val="center"/>
          </w:tcPr>
          <w:p>
            <w:pPr>
              <w:pStyle w:val="13"/>
              <w:rPr>
                <w:lang w:eastAsia="zh-CN"/>
              </w:rPr>
            </w:pPr>
          </w:p>
        </w:tc>
        <w:tc>
          <w:tcPr>
            <w:tcW w:w="850" w:type="dxa"/>
            <w:vAlign w:val="center"/>
          </w:tcPr>
          <w:p>
            <w:pPr>
              <w:pStyle w:val="11"/>
              <w:rPr>
                <w:lang w:eastAsia="zh-CN"/>
              </w:rPr>
            </w:pPr>
          </w:p>
        </w:tc>
        <w:tc>
          <w:tcPr>
            <w:tcW w:w="850" w:type="dxa"/>
            <w:vAlign w:val="center"/>
          </w:tcPr>
          <w:p>
            <w:pPr>
              <w:pStyle w:val="11"/>
              <w:rPr>
                <w:lang w:eastAsia="zh-CN"/>
              </w:rPr>
            </w:pPr>
          </w:p>
        </w:tc>
        <w:tc>
          <w:tcPr>
            <w:tcW w:w="964" w:type="dxa"/>
            <w:vAlign w:val="center"/>
          </w:tcPr>
          <w:p>
            <w:pPr>
              <w:pStyle w:val="11"/>
              <w:rPr>
                <w:lang w:eastAsia="zh-CN"/>
              </w:rPr>
            </w:pPr>
            <w:r>
              <w:rPr>
                <w:rFonts w:hint="eastAsia"/>
                <w:lang w:eastAsia="zh-CN"/>
              </w:rPr>
              <w:t>30335</w:t>
            </w:r>
          </w:p>
        </w:tc>
        <w:tc>
          <w:tcPr>
            <w:tcW w:w="964" w:type="dxa"/>
            <w:vAlign w:val="center"/>
          </w:tcPr>
          <w:p>
            <w:pPr>
              <w:pStyle w:val="11"/>
              <w:rPr>
                <w:lang w:eastAsia="zh-CN"/>
              </w:rPr>
            </w:pPr>
            <w:r>
              <w:rPr>
                <w:rFonts w:hint="eastAsia"/>
                <w:lang w:eastAsia="zh-CN"/>
              </w:rPr>
              <w:t>30335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30335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lang w:eastAsia="zh-CN"/>
              </w:rPr>
            </w:pPr>
            <w:r>
              <w:rPr>
                <w:rFonts w:hint="eastAsia"/>
                <w:lang w:eastAsia="zh-CN"/>
              </w:rPr>
              <w:t>审计工作经费</w:t>
            </w:r>
          </w:p>
        </w:tc>
        <w:tc>
          <w:tcPr>
            <w:tcW w:w="964" w:type="dxa"/>
            <w:vAlign w:val="center"/>
          </w:tcPr>
          <w:p>
            <w:pPr>
              <w:pStyle w:val="11"/>
              <w:rPr>
                <w:lang w:eastAsia="zh-CN"/>
              </w:rPr>
            </w:pPr>
            <w:r>
              <w:rPr>
                <w:rFonts w:hint="eastAsia"/>
                <w:lang w:eastAsia="zh-CN"/>
              </w:rPr>
              <w:t>20000</w:t>
            </w:r>
          </w:p>
        </w:tc>
        <w:tc>
          <w:tcPr>
            <w:tcW w:w="1134" w:type="dxa"/>
            <w:vAlign w:val="center"/>
          </w:tcPr>
          <w:p>
            <w:pPr>
              <w:pStyle w:val="12"/>
              <w:rPr>
                <w:lang w:eastAsia="zh-CN"/>
              </w:rPr>
            </w:pPr>
            <w:r>
              <w:rPr>
                <w:rFonts w:hint="eastAsia"/>
                <w:lang w:eastAsia="zh-CN"/>
              </w:rPr>
              <w:t>台式电脑</w:t>
            </w:r>
          </w:p>
        </w:tc>
        <w:tc>
          <w:tcPr>
            <w:tcW w:w="1134" w:type="dxa"/>
            <w:vAlign w:val="center"/>
          </w:tcPr>
          <w:p>
            <w:pPr>
              <w:pStyle w:val="12"/>
            </w:pP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3</w:t>
            </w:r>
          </w:p>
        </w:tc>
        <w:tc>
          <w:tcPr>
            <w:tcW w:w="850" w:type="dxa"/>
            <w:vAlign w:val="center"/>
          </w:tcPr>
          <w:p>
            <w:pPr>
              <w:pStyle w:val="11"/>
              <w:rPr>
                <w:lang w:eastAsia="zh-CN"/>
              </w:rPr>
            </w:pPr>
            <w:r>
              <w:rPr>
                <w:rFonts w:hint="eastAsia"/>
                <w:lang w:eastAsia="zh-CN"/>
              </w:rPr>
              <w:t>5940</w:t>
            </w:r>
          </w:p>
        </w:tc>
        <w:tc>
          <w:tcPr>
            <w:tcW w:w="964" w:type="dxa"/>
            <w:vAlign w:val="center"/>
          </w:tcPr>
          <w:p>
            <w:pPr>
              <w:pStyle w:val="11"/>
              <w:rPr>
                <w:lang w:eastAsia="zh-CN"/>
              </w:rPr>
            </w:pPr>
            <w:r>
              <w:rPr>
                <w:rFonts w:hint="eastAsia"/>
                <w:lang w:eastAsia="zh-CN"/>
              </w:rPr>
              <w:t>17820</w:t>
            </w:r>
          </w:p>
        </w:tc>
        <w:tc>
          <w:tcPr>
            <w:tcW w:w="964" w:type="dxa"/>
            <w:vAlign w:val="center"/>
          </w:tcPr>
          <w:p>
            <w:pPr>
              <w:pStyle w:val="11"/>
              <w:rPr>
                <w:lang w:eastAsia="zh-CN"/>
              </w:rPr>
            </w:pPr>
            <w:r>
              <w:rPr>
                <w:rFonts w:hint="eastAsia"/>
                <w:lang w:eastAsia="zh-CN"/>
              </w:rPr>
              <w:t>17820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17820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lang w:eastAsia="zh-CN"/>
              </w:rPr>
              <w:t>审计工作经费</w:t>
            </w:r>
          </w:p>
        </w:tc>
        <w:tc>
          <w:tcPr>
            <w:tcW w:w="964" w:type="dxa"/>
            <w:vAlign w:val="center"/>
          </w:tcPr>
          <w:p>
            <w:pPr>
              <w:pStyle w:val="11"/>
              <w:rPr>
                <w:lang w:eastAsia="zh-CN"/>
              </w:rPr>
            </w:pPr>
            <w:r>
              <w:rPr>
                <w:rFonts w:hint="eastAsia"/>
                <w:lang w:eastAsia="zh-CN"/>
              </w:rPr>
              <w:t>6000</w:t>
            </w:r>
          </w:p>
        </w:tc>
        <w:tc>
          <w:tcPr>
            <w:tcW w:w="1134" w:type="dxa"/>
            <w:vAlign w:val="center"/>
          </w:tcPr>
          <w:p>
            <w:pPr>
              <w:pStyle w:val="12"/>
              <w:rPr>
                <w:lang w:eastAsia="zh-CN"/>
              </w:rPr>
            </w:pPr>
            <w:r>
              <w:rPr>
                <w:rFonts w:hint="eastAsia"/>
                <w:lang w:eastAsia="zh-CN"/>
              </w:rPr>
              <w:t>打印机</w:t>
            </w:r>
          </w:p>
        </w:tc>
        <w:tc>
          <w:tcPr>
            <w:tcW w:w="1134" w:type="dxa"/>
            <w:vAlign w:val="center"/>
          </w:tcPr>
          <w:p>
            <w:pPr>
              <w:pStyle w:val="12"/>
            </w:pPr>
          </w:p>
        </w:tc>
        <w:tc>
          <w:tcPr>
            <w:tcW w:w="709" w:type="dxa"/>
            <w:vAlign w:val="center"/>
          </w:tcPr>
          <w:p>
            <w:pPr>
              <w:pStyle w:val="13"/>
            </w:pPr>
            <w:r>
              <w:rPr>
                <w:rFonts w:hint="eastAsia"/>
                <w:lang w:eastAsia="zh-CN"/>
              </w:rPr>
              <w:t>台</w:t>
            </w:r>
          </w:p>
        </w:tc>
        <w:tc>
          <w:tcPr>
            <w:tcW w:w="850" w:type="dxa"/>
            <w:vAlign w:val="center"/>
          </w:tcPr>
          <w:p>
            <w:pPr>
              <w:pStyle w:val="11"/>
              <w:rPr>
                <w:lang w:eastAsia="zh-CN"/>
              </w:rPr>
            </w:pPr>
            <w:r>
              <w:rPr>
                <w:rFonts w:hint="eastAsia"/>
                <w:lang w:eastAsia="zh-CN"/>
              </w:rPr>
              <w:t>2</w:t>
            </w:r>
          </w:p>
        </w:tc>
        <w:tc>
          <w:tcPr>
            <w:tcW w:w="850" w:type="dxa"/>
            <w:vAlign w:val="center"/>
          </w:tcPr>
          <w:p>
            <w:pPr>
              <w:pStyle w:val="11"/>
              <w:rPr>
                <w:lang w:eastAsia="zh-CN"/>
              </w:rPr>
            </w:pPr>
            <w:r>
              <w:rPr>
                <w:rFonts w:hint="eastAsia"/>
                <w:lang w:eastAsia="zh-CN"/>
              </w:rPr>
              <w:t>1937.5</w:t>
            </w:r>
          </w:p>
        </w:tc>
        <w:tc>
          <w:tcPr>
            <w:tcW w:w="964" w:type="dxa"/>
            <w:vAlign w:val="center"/>
          </w:tcPr>
          <w:p>
            <w:pPr>
              <w:pStyle w:val="11"/>
              <w:rPr>
                <w:lang w:eastAsia="zh-CN"/>
              </w:rPr>
            </w:pPr>
            <w:r>
              <w:rPr>
                <w:rFonts w:hint="eastAsia"/>
                <w:lang w:eastAsia="zh-CN"/>
              </w:rPr>
              <w:t>3875</w:t>
            </w:r>
          </w:p>
        </w:tc>
        <w:tc>
          <w:tcPr>
            <w:tcW w:w="964" w:type="dxa"/>
            <w:vAlign w:val="center"/>
          </w:tcPr>
          <w:p>
            <w:pPr>
              <w:pStyle w:val="11"/>
              <w:rPr>
                <w:lang w:eastAsia="zh-CN"/>
              </w:rPr>
            </w:pPr>
            <w:r>
              <w:rPr>
                <w:rFonts w:hint="eastAsia"/>
                <w:lang w:eastAsia="zh-CN"/>
              </w:rPr>
              <w:t>3875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lang w:eastAsia="zh-CN"/>
              </w:rPr>
              <w:t>审计工作经费</w:t>
            </w:r>
          </w:p>
        </w:tc>
        <w:tc>
          <w:tcPr>
            <w:tcW w:w="964" w:type="dxa"/>
            <w:vAlign w:val="center"/>
          </w:tcPr>
          <w:p>
            <w:pPr>
              <w:pStyle w:val="11"/>
              <w:rPr>
                <w:lang w:eastAsia="zh-CN"/>
              </w:rPr>
            </w:pPr>
            <w:r>
              <w:rPr>
                <w:rFonts w:hint="eastAsia"/>
                <w:lang w:eastAsia="zh-CN"/>
              </w:rPr>
              <w:t>5000</w:t>
            </w:r>
          </w:p>
        </w:tc>
        <w:tc>
          <w:tcPr>
            <w:tcW w:w="1134" w:type="dxa"/>
            <w:vAlign w:val="center"/>
          </w:tcPr>
          <w:p>
            <w:pPr>
              <w:pStyle w:val="12"/>
              <w:rPr>
                <w:lang w:eastAsia="zh-CN"/>
              </w:rPr>
            </w:pPr>
            <w:r>
              <w:rPr>
                <w:rFonts w:hint="eastAsia"/>
                <w:lang w:eastAsia="zh-CN"/>
              </w:rPr>
              <w:t>空调</w:t>
            </w:r>
          </w:p>
        </w:tc>
        <w:tc>
          <w:tcPr>
            <w:tcW w:w="1134" w:type="dxa"/>
            <w:vAlign w:val="center"/>
          </w:tcPr>
          <w:p>
            <w:pPr>
              <w:pStyle w:val="12"/>
            </w:pPr>
          </w:p>
        </w:tc>
        <w:tc>
          <w:tcPr>
            <w:tcW w:w="709" w:type="dxa"/>
            <w:vAlign w:val="center"/>
          </w:tcPr>
          <w:p>
            <w:pPr>
              <w:pStyle w:val="13"/>
            </w:pPr>
            <w:r>
              <w:rPr>
                <w:rFonts w:hint="eastAsia"/>
                <w:lang w:eastAsia="zh-CN"/>
              </w:rPr>
              <w:t>台</w:t>
            </w:r>
          </w:p>
        </w:tc>
        <w:tc>
          <w:tcPr>
            <w:tcW w:w="850" w:type="dxa"/>
            <w:vAlign w:val="center"/>
          </w:tcPr>
          <w:p>
            <w:pPr>
              <w:pStyle w:val="11"/>
              <w:rPr>
                <w:lang w:eastAsia="zh-CN"/>
              </w:rPr>
            </w:pPr>
            <w:r>
              <w:rPr>
                <w:rFonts w:hint="eastAsia"/>
                <w:lang w:eastAsia="zh-CN"/>
              </w:rPr>
              <w:t>1</w:t>
            </w:r>
          </w:p>
        </w:tc>
        <w:tc>
          <w:tcPr>
            <w:tcW w:w="850" w:type="dxa"/>
            <w:vAlign w:val="center"/>
          </w:tcPr>
          <w:p>
            <w:pPr>
              <w:pStyle w:val="11"/>
              <w:rPr>
                <w:lang w:eastAsia="zh-CN"/>
              </w:rPr>
            </w:pPr>
            <w:r>
              <w:rPr>
                <w:rFonts w:hint="eastAsia"/>
                <w:lang w:eastAsia="zh-CN"/>
              </w:rPr>
              <w:t>3500</w:t>
            </w:r>
          </w:p>
        </w:tc>
        <w:tc>
          <w:tcPr>
            <w:tcW w:w="964" w:type="dxa"/>
            <w:vAlign w:val="center"/>
          </w:tcPr>
          <w:p>
            <w:pPr>
              <w:pStyle w:val="11"/>
              <w:rPr>
                <w:lang w:eastAsia="zh-CN"/>
              </w:rPr>
            </w:pPr>
            <w:r>
              <w:rPr>
                <w:rFonts w:hint="eastAsia"/>
                <w:lang w:eastAsia="zh-CN"/>
              </w:rPr>
              <w:t>3500</w:t>
            </w:r>
          </w:p>
        </w:tc>
        <w:tc>
          <w:tcPr>
            <w:tcW w:w="964" w:type="dxa"/>
            <w:vAlign w:val="center"/>
          </w:tcPr>
          <w:p>
            <w:pPr>
              <w:pStyle w:val="11"/>
              <w:rPr>
                <w:lang w:eastAsia="zh-CN"/>
              </w:rPr>
            </w:pPr>
            <w:r>
              <w:rPr>
                <w:rFonts w:hint="eastAsia"/>
                <w:lang w:eastAsia="zh-CN"/>
              </w:rP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lang w:eastAsia="zh-CN"/>
              </w:rPr>
              <w:t>审计工作经费</w:t>
            </w:r>
          </w:p>
        </w:tc>
        <w:tc>
          <w:tcPr>
            <w:tcW w:w="964" w:type="dxa"/>
            <w:vAlign w:val="center"/>
          </w:tcPr>
          <w:p>
            <w:pPr>
              <w:pStyle w:val="11"/>
              <w:rPr>
                <w:lang w:eastAsia="zh-CN"/>
              </w:rPr>
            </w:pPr>
            <w:r>
              <w:rPr>
                <w:rFonts w:hint="eastAsia"/>
                <w:lang w:eastAsia="zh-CN"/>
              </w:rPr>
              <w:t>6000</w:t>
            </w:r>
          </w:p>
        </w:tc>
        <w:tc>
          <w:tcPr>
            <w:tcW w:w="1134" w:type="dxa"/>
            <w:vAlign w:val="center"/>
          </w:tcPr>
          <w:p>
            <w:pPr>
              <w:pStyle w:val="12"/>
              <w:rPr>
                <w:lang w:eastAsia="zh-CN"/>
              </w:rPr>
            </w:pPr>
            <w:r>
              <w:rPr>
                <w:rFonts w:hint="eastAsia"/>
                <w:lang w:eastAsia="zh-CN"/>
              </w:rPr>
              <w:t>笔记本</w:t>
            </w:r>
          </w:p>
        </w:tc>
        <w:tc>
          <w:tcPr>
            <w:tcW w:w="1134" w:type="dxa"/>
            <w:vAlign w:val="center"/>
          </w:tcPr>
          <w:p>
            <w:pPr>
              <w:pStyle w:val="12"/>
            </w:pPr>
          </w:p>
        </w:tc>
        <w:tc>
          <w:tcPr>
            <w:tcW w:w="709" w:type="dxa"/>
            <w:vAlign w:val="center"/>
          </w:tcPr>
          <w:p>
            <w:pPr>
              <w:pStyle w:val="13"/>
              <w:rPr>
                <w:lang w:eastAsia="zh-CN"/>
              </w:rPr>
            </w:pPr>
            <w:r>
              <w:rPr>
                <w:rFonts w:hint="eastAsia"/>
                <w:lang w:eastAsia="zh-CN"/>
              </w:rPr>
              <w:t>台</w:t>
            </w:r>
          </w:p>
        </w:tc>
        <w:tc>
          <w:tcPr>
            <w:tcW w:w="850" w:type="dxa"/>
            <w:vAlign w:val="center"/>
          </w:tcPr>
          <w:p>
            <w:pPr>
              <w:pStyle w:val="11"/>
              <w:rPr>
                <w:lang w:eastAsia="zh-CN"/>
              </w:rPr>
            </w:pPr>
            <w:r>
              <w:rPr>
                <w:rFonts w:hint="eastAsia"/>
                <w:lang w:eastAsia="zh-CN"/>
              </w:rPr>
              <w:t>1</w:t>
            </w:r>
          </w:p>
        </w:tc>
        <w:tc>
          <w:tcPr>
            <w:tcW w:w="850" w:type="dxa"/>
            <w:vAlign w:val="center"/>
          </w:tcPr>
          <w:p>
            <w:pPr>
              <w:pStyle w:val="11"/>
              <w:rPr>
                <w:lang w:eastAsia="zh-CN"/>
              </w:rPr>
            </w:pPr>
            <w:r>
              <w:rPr>
                <w:rFonts w:hint="eastAsia"/>
                <w:lang w:eastAsia="zh-CN"/>
              </w:rPr>
              <w:t>5140</w:t>
            </w:r>
          </w:p>
        </w:tc>
        <w:tc>
          <w:tcPr>
            <w:tcW w:w="964" w:type="dxa"/>
            <w:vAlign w:val="center"/>
          </w:tcPr>
          <w:p>
            <w:pPr>
              <w:pStyle w:val="11"/>
              <w:rPr>
                <w:lang w:eastAsia="zh-CN"/>
              </w:rPr>
            </w:pPr>
            <w:r>
              <w:rPr>
                <w:rFonts w:hint="eastAsia"/>
                <w:lang w:eastAsia="zh-CN"/>
              </w:rPr>
              <w:t>5140</w:t>
            </w:r>
          </w:p>
        </w:tc>
        <w:tc>
          <w:tcPr>
            <w:tcW w:w="964" w:type="dxa"/>
            <w:vAlign w:val="center"/>
          </w:tcPr>
          <w:p>
            <w:pPr>
              <w:pStyle w:val="11"/>
              <w:rPr>
                <w:lang w:eastAsia="zh-CN"/>
              </w:rPr>
            </w:pPr>
            <w:r>
              <w:rPr>
                <w:rFonts w:hint="eastAsia"/>
                <w:lang w:eastAsia="zh-CN"/>
              </w:rPr>
              <w:t>5140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rPr>
                <w:lang w:eastAsia="zh-CN"/>
              </w:rPr>
            </w:pPr>
            <w:r>
              <w:rPr>
                <w:rFonts w:hint="eastAsia"/>
                <w:lang w:eastAsia="zh-CN"/>
              </w:rPr>
              <w:t>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rPr>
                <w:lang w:eastAsia="zh-CN"/>
              </w:rPr>
            </w:pPr>
          </w:p>
        </w:tc>
        <w:tc>
          <w:tcPr>
            <w:tcW w:w="1134" w:type="dxa"/>
            <w:vAlign w:val="center"/>
          </w:tcPr>
          <w:p>
            <w:pPr>
              <w:pStyle w:val="12"/>
              <w:rPr>
                <w:lang w:eastAsia="zh-CN"/>
              </w:rPr>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馆陶县审计局（含所属单位）上年末固定资产金额为</w:t>
      </w:r>
      <w:r>
        <w:rPr>
          <w:rFonts w:hint="eastAsia" w:eastAsia="方正仿宋_GBK"/>
          <w:color w:val="000000"/>
          <w:sz w:val="28"/>
          <w:lang w:val="en-US" w:eastAsia="zh-CN"/>
        </w:rPr>
        <w:t>42</w:t>
      </w:r>
      <w:r>
        <w:rPr>
          <w:rFonts w:hint="eastAsia" w:eastAsia="方正仿宋_GBK"/>
          <w:color w:val="000000"/>
          <w:sz w:val="28"/>
          <w:lang w:eastAsia="zh-CN"/>
        </w:rPr>
        <w:t>.</w:t>
      </w:r>
      <w:r>
        <w:rPr>
          <w:rFonts w:hint="eastAsia" w:eastAsia="方正仿宋_GBK"/>
          <w:color w:val="000000"/>
          <w:sz w:val="28"/>
          <w:lang w:val="en-US" w:eastAsia="zh-CN"/>
        </w:rPr>
        <w:t>26</w:t>
      </w:r>
      <w:r>
        <w:rPr>
          <w:rFonts w:eastAsia="方正仿宋_GBK"/>
          <w:color w:val="000000"/>
          <w:sz w:val="28"/>
        </w:rPr>
        <w:t>万元（详见下表）。本年度拟购置固定资产总额为</w:t>
      </w:r>
      <w:r>
        <w:rPr>
          <w:rFonts w:hint="eastAsia" w:eastAsia="方正仿宋_GBK"/>
          <w:color w:val="000000"/>
          <w:sz w:val="28"/>
          <w:lang w:eastAsia="zh-CN"/>
        </w:rPr>
        <w:t>3.0335</w:t>
      </w:r>
      <w:r>
        <w:rPr>
          <w:rFonts w:eastAsia="方正仿宋_GBK"/>
          <w:color w:val="000000"/>
          <w:sz w:val="28"/>
        </w:rPr>
        <w:t>万元，已按要求列入政府采购预算，详见政府采购预算表。</w:t>
      </w:r>
    </w:p>
    <w:p>
      <w:pPr>
        <w:jc w:val="center"/>
        <w:rPr>
          <w:rFonts w:hAnsi="宋体"/>
          <w:sz w:val="36"/>
        </w:rPr>
      </w:pPr>
      <w:r>
        <w:rPr>
          <w:rFonts w:hint="eastAsia" w:ascii="方正小标宋_GBK" w:eastAsia="方正小标宋_GBK"/>
          <w:sz w:val="36"/>
          <w:lang w:eastAsia="zh-CN"/>
        </w:rPr>
        <w:t>部门</w:t>
      </w:r>
      <w:r>
        <w:rPr>
          <w:rFonts w:hint="eastAsia" w:ascii="方正小标宋_GBK" w:eastAsia="方正小标宋_GBK"/>
          <w:sz w:val="36"/>
        </w:rPr>
        <w:t>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319001</w:t>
            </w:r>
            <w:r>
              <w:rPr>
                <w:rFonts w:hint="eastAsia" w:ascii="方正小标宋_GBK" w:eastAsia="方正小标宋_GBK"/>
              </w:rPr>
              <w:t>馆陶县审计局本级</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both"/>
              <w:rPr>
                <w:rFonts w:ascii="方正书宋_GBK" w:eastAsia="方正书宋_GBK"/>
                <w:b/>
              </w:rPr>
            </w:pPr>
            <w:r>
              <w:rPr>
                <w:rFonts w:hint="eastAsia" w:ascii="方正书宋_GBK" w:eastAsia="方正书宋_GBK"/>
                <w:b/>
                <w:sz w:val="21"/>
                <w:szCs w:val="21"/>
              </w:rPr>
              <w:t>价值（金额单位：</w:t>
            </w:r>
            <w:r>
              <w:rPr>
                <w:rFonts w:hint="eastAsia" w:ascii="方正书宋_GBK" w:eastAsia="方正书宋_GBK"/>
                <w:b/>
                <w:sz w:val="21"/>
                <w:szCs w:val="21"/>
                <w:lang w:eastAsia="zh-CN"/>
              </w:rPr>
              <w:t>万</w:t>
            </w:r>
            <w:r>
              <w:rPr>
                <w:rFonts w:hint="eastAsia" w:ascii="方正书宋_GBK" w:eastAsia="方正书宋_GBK"/>
                <w:b/>
                <w:sz w:val="21"/>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jc w:val="center"/>
              <w:rPr>
                <w:rFonts w:hint="default" w:ascii="方正书宋_GBK" w:eastAsia="方正书宋_GBK"/>
                <w:lang w:val="en-US"/>
              </w:rPr>
            </w:pPr>
            <w:r>
              <w:rPr>
                <w:rFonts w:hint="eastAsia" w:eastAsia="仿宋"/>
                <w:sz w:val="22"/>
                <w:lang w:val="en-US" w:eastAsia="zh-CN"/>
              </w:rPr>
              <w:t>42</w:t>
            </w:r>
            <w:r>
              <w:rPr>
                <w:rFonts w:hint="eastAsia" w:eastAsia="仿宋"/>
                <w:sz w:val="22"/>
                <w:lang w:eastAsia="zh-CN"/>
              </w:rPr>
              <w:t>.</w:t>
            </w:r>
            <w:r>
              <w:rPr>
                <w:rFonts w:hint="eastAsia" w:eastAsia="仿宋"/>
                <w:sz w:val="22"/>
                <w:lang w:val="en-US" w:eastAsia="zh-CN"/>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1200</w:t>
            </w:r>
          </w:p>
        </w:tc>
        <w:tc>
          <w:tcPr>
            <w:tcW w:w="2835" w:type="dxa"/>
            <w:vAlign w:val="center"/>
          </w:tcPr>
          <w:p>
            <w:pPr>
              <w:jc w:val="center"/>
              <w:textAlignment w:val="center"/>
              <w:rPr>
                <w:rFonts w:ascii="方正书宋_GBK" w:eastAsia="方正书宋_GBK"/>
              </w:rPr>
            </w:pPr>
            <w:r>
              <w:rPr>
                <w:rFonts w:hint="eastAsia" w:ascii="宋体" w:hAnsi="宋体" w:eastAsia="宋体" w:cs="宋体"/>
                <w:color w:val="000000"/>
                <w:sz w:val="20"/>
                <w:szCs w:val="20"/>
                <w:lang w:eastAsia="zh-CN" w:bidi="ar"/>
              </w:rPr>
              <w:t>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816</w:t>
            </w:r>
          </w:p>
        </w:tc>
        <w:tc>
          <w:tcPr>
            <w:tcW w:w="2835" w:type="dxa"/>
            <w:vAlign w:val="center"/>
          </w:tcPr>
          <w:p>
            <w:pPr>
              <w:jc w:val="center"/>
              <w:textAlignment w:val="center"/>
              <w:rPr>
                <w:rFonts w:ascii="方正书宋_GBK" w:eastAsia="方正书宋_GBK"/>
              </w:rPr>
            </w:pPr>
            <w:r>
              <w:rPr>
                <w:rFonts w:hint="eastAsia" w:ascii="宋体" w:hAnsi="宋体" w:eastAsia="宋体" w:cs="宋体"/>
                <w:color w:val="000000"/>
                <w:sz w:val="20"/>
                <w:szCs w:val="20"/>
                <w:lang w:eastAsia="zh-CN" w:bidi="ar"/>
              </w:rPr>
              <w:t>15.92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21.98</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86"/>
    <w:family w:val="roman"/>
    <w:pitch w:val="default"/>
    <w:sig w:usb0="00000000" w:usb1="00000000" w:usb2="00000000" w:usb3="00000000" w:csb0="00000000" w:csb1="00000000"/>
  </w:font>
  <w:font w:name="方正书宋_GBK">
    <w:altName w:val="微软雅黑"/>
    <w:panose1 w:val="02000000000000000000"/>
    <w:charset w:val="86"/>
    <w:family w:val="roman"/>
    <w:pitch w:val="default"/>
    <w:sig w:usb0="00000000" w:usb1="00000000" w:usb2="00000000" w:usb3="00000000" w:csb0="00160000" w:csb1="00000000"/>
  </w:font>
  <w:font w:name="方正仿宋_GBK">
    <w:altName w:val="微软雅黑"/>
    <w:panose1 w:val="02000000000000000000"/>
    <w:charset w:val="86"/>
    <w:family w:val="roman"/>
    <w:pitch w:val="default"/>
    <w:sig w:usb0="00000000" w:usb1="00000000" w:usb2="00000000" w:usb3="00000000" w:csb0="00160000" w:csb1="00000000"/>
  </w:font>
  <w:font w:name="方正楷体_GBK">
    <w:altName w:val="微软雅黑"/>
    <w:panose1 w:val="020B0604020202020204"/>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747823"/>
    <w:rsid w:val="002650B6"/>
    <w:rsid w:val="003A50E2"/>
    <w:rsid w:val="00507D51"/>
    <w:rsid w:val="00747823"/>
    <w:rsid w:val="008F7BA0"/>
    <w:rsid w:val="00DB2AB1"/>
    <w:rsid w:val="07E6312F"/>
    <w:rsid w:val="0C386FD2"/>
    <w:rsid w:val="13FA7F80"/>
    <w:rsid w:val="14CC1583"/>
    <w:rsid w:val="155E2E9F"/>
    <w:rsid w:val="16DF5C8F"/>
    <w:rsid w:val="196044A0"/>
    <w:rsid w:val="1BCA6B98"/>
    <w:rsid w:val="1DB26C50"/>
    <w:rsid w:val="27AA30CA"/>
    <w:rsid w:val="301D78AF"/>
    <w:rsid w:val="3C356139"/>
    <w:rsid w:val="3CD857FF"/>
    <w:rsid w:val="3F165127"/>
    <w:rsid w:val="41292F94"/>
    <w:rsid w:val="488B3ECD"/>
    <w:rsid w:val="48A405ED"/>
    <w:rsid w:val="48C77FDD"/>
    <w:rsid w:val="48CE7BD0"/>
    <w:rsid w:val="4D0E3CBF"/>
    <w:rsid w:val="5AE40F7E"/>
    <w:rsid w:val="5D5E493C"/>
    <w:rsid w:val="60A12143"/>
    <w:rsid w:val="65C06C26"/>
    <w:rsid w:val="6D0E14D9"/>
    <w:rsid w:val="6DEE183F"/>
    <w:rsid w:val="6E5D5787"/>
    <w:rsid w:val="71916FDE"/>
    <w:rsid w:val="72750BA9"/>
    <w:rsid w:val="72A74A7C"/>
    <w:rsid w:val="7C6164C5"/>
    <w:rsid w:val="7D0B02AD"/>
    <w:rsid w:val="7D77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1"/>
    <w:basedOn w:val="1"/>
    <w:qFormat/>
    <w:uiPriority w:val="0"/>
    <w:pPr>
      <w:ind w:left="240"/>
    </w:pPr>
  </w:style>
  <w:style w:type="paragraph" w:customStyle="1" w:styleId="30">
    <w:name w:val="TOC 31"/>
    <w:basedOn w:val="1"/>
    <w:qFormat/>
    <w:uiPriority w:val="0"/>
    <w:pPr>
      <w:ind w:left="480"/>
    </w:pPr>
  </w:style>
  <w:style w:type="paragraph" w:customStyle="1" w:styleId="31">
    <w:name w:val="TOC 41"/>
    <w:basedOn w:val="1"/>
    <w:qFormat/>
    <w:uiPriority w:val="0"/>
    <w:pPr>
      <w:ind w:left="720"/>
    </w:pPr>
  </w:style>
  <w:style w:type="paragraph" w:customStyle="1" w:styleId="32">
    <w:name w:val="TOC 11"/>
    <w:basedOn w:val="1"/>
    <w:qFormat/>
    <w:uiPriority w:val="0"/>
    <w:pPr>
      <w:spacing w:before="120"/>
      <w:ind w:firstLine="560"/>
    </w:pPr>
    <w:rPr>
      <w:rFonts w:eastAsia="方正仿宋_GBK"/>
      <w:color w:val="000000"/>
      <w:sz w:val="28"/>
    </w:rPr>
  </w:style>
  <w:style w:type="character" w:customStyle="1" w:styleId="33">
    <w:name w:val="页眉 字符"/>
    <w:basedOn w:val="6"/>
    <w:link w:val="3"/>
    <w:semiHidden/>
    <w:qFormat/>
    <w:uiPriority w:val="99"/>
    <w:rPr>
      <w:rFonts w:eastAsia="Times New Roman"/>
      <w:sz w:val="18"/>
      <w:szCs w:val="18"/>
      <w:lang w:eastAsia="uk-UA"/>
    </w:rPr>
  </w:style>
  <w:style w:type="character" w:customStyle="1" w:styleId="34">
    <w:name w:val="页脚 字符"/>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9201</Words>
  <Characters>11547</Characters>
  <Lines>107</Lines>
  <Paragraphs>30</Paragraphs>
  <TotalTime>1</TotalTime>
  <ScaleCrop>false</ScaleCrop>
  <LinksUpToDate>false</LinksUpToDate>
  <CharactersWithSpaces>11718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2022-03-19T15:21:00Z</dcterms:created>
  <dc:creator>Lenovo</dc:creator>
  <cp:lastModifiedBy>Sally</cp:lastModifiedBy>
  <dcterms:modified xsi:type="dcterms:W3CDTF">2024-06-03T08:26:26Z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91E16FE024DB4AED8D0724F80490B382_13</vt:lpwstr>
  </property>
</Properties>
</file>