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r>
        <w:rPr>
          <w:rFonts w:hint="eastAsia" w:ascii="宋体" w:hAnsi="宋体"/>
          <w:b/>
          <w:sz w:val="44"/>
          <w:szCs w:val="44"/>
        </w:rPr>
        <w:t>馆陶县</w:t>
      </w:r>
      <w:r>
        <w:rPr>
          <w:rFonts w:hint="eastAsia" w:ascii="宋体" w:hAnsi="宋体"/>
          <w:b/>
          <w:sz w:val="44"/>
          <w:szCs w:val="44"/>
          <w:lang w:eastAsia="zh-CN"/>
        </w:rPr>
        <w:t>审计局2019</w:t>
      </w:r>
      <w:r>
        <w:rPr>
          <w:rFonts w:hint="eastAsia" w:ascii="宋体" w:hAnsi="宋体"/>
          <w:b/>
          <w:sz w:val="44"/>
          <w:szCs w:val="44"/>
        </w:rPr>
        <w:t>年部门预算信息公开</w:t>
      </w:r>
    </w:p>
    <w:p>
      <w:pPr>
        <w:ind w:firstLine="640" w:firstLineChars="200"/>
        <w:rPr>
          <w:rFonts w:ascii="仿宋_GB2312" w:hAnsi="Times New Roman" w:eastAsia="仿宋_GB2312"/>
          <w:sz w:val="32"/>
          <w:szCs w:val="32"/>
        </w:rPr>
      </w:pPr>
    </w:p>
    <w:p>
      <w:pPr>
        <w:autoSpaceDE w:val="0"/>
        <w:autoSpaceDN w:val="0"/>
        <w:adjustRightInd w:val="0"/>
        <w:ind w:firstLine="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w:t>
      </w:r>
      <w:bookmarkStart w:id="3" w:name="_GoBack"/>
      <w:bookmarkEnd w:id="3"/>
      <w:r>
        <w:rPr>
          <w:rFonts w:hint="eastAsia" w:ascii="仿宋_GB2312" w:hAnsi="仿宋_GB2312" w:eastAsia="仿宋_GB2312" w:cs="仿宋_GB2312"/>
          <w:sz w:val="32"/>
          <w:szCs w:val="32"/>
        </w:rPr>
        <w:t>预算法》、《地方预决算公开操作规程》和《河北省省级预算公开办法》规定，现将馆陶县审计局</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年部门预算公开如下：</w:t>
      </w:r>
    </w:p>
    <w:p>
      <w:pPr>
        <w:autoSpaceDE w:val="0"/>
        <w:autoSpaceDN w:val="0"/>
        <w:adjustRightInd w:val="0"/>
        <w:ind w:firstLine="600"/>
        <w:jc w:val="left"/>
        <w:rPr>
          <w:rFonts w:ascii="黑体" w:hAnsi="黑体" w:eastAsia="黑体" w:cs="黑体"/>
          <w:b/>
          <w:bCs/>
          <w:sz w:val="32"/>
          <w:szCs w:val="32"/>
        </w:rPr>
      </w:pPr>
      <w:r>
        <w:rPr>
          <w:rFonts w:hint="eastAsia" w:ascii="黑体" w:hAnsi="黑体" w:eastAsia="黑体" w:cs="黑体"/>
          <w:b/>
          <w:bCs/>
          <w:sz w:val="32"/>
          <w:szCs w:val="32"/>
        </w:rPr>
        <w:t>一、部门职责及机构设置情况</w:t>
      </w:r>
    </w:p>
    <w:p>
      <w:pPr>
        <w:autoSpaceDE w:val="0"/>
        <w:autoSpaceDN w:val="0"/>
        <w:adjustRightInd w:val="0"/>
        <w:ind w:firstLine="600"/>
        <w:jc w:val="left"/>
        <w:rPr>
          <w:rFonts w:hint="eastAsia" w:ascii="黑体" w:hAnsi="黑体" w:eastAsia="黑体" w:cs="黑体"/>
          <w:b/>
          <w:bCs/>
          <w:sz w:val="32"/>
          <w:szCs w:val="32"/>
          <w:lang w:val="zh-CN"/>
        </w:rPr>
      </w:pPr>
      <w:r>
        <w:rPr>
          <w:rFonts w:hint="eastAsia" w:ascii="黑体" w:hAnsi="黑体" w:eastAsia="黑体" w:cs="黑体"/>
          <w:b/>
          <w:bCs/>
          <w:sz w:val="32"/>
          <w:szCs w:val="32"/>
          <w:lang w:val="zh-CN"/>
        </w:rPr>
        <w:t>部门职责：</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、组织领导全县审计工作，编制全县审计工作长远规划、年度计划，确定年度工作重点；参与拟定馆陶县审计、财经方面的有关政策；制定审计规章制度并监督执行情况。</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、向县政府报告和向县政府有关部门通报审计情况，提出制定和完善有关政策法规、工作措施的建议。</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、依据《中华人民共和国审计法》和《中华人民共和国审计法实施条例》规定，直接进行下列审计：</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）县本级财政预算执行情况和其他财政收支。</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）县直各部门、事业单位及下属单位财务收支。</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）乡（镇）人民政府预算执行情况和决算。</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）县政府各部门和各乡（镇）人民政府预算外财政收支。</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）县属地方金融、保险机构和非银行金融机构及分支机构的资产、负债、损益情况；上级审计机关安排的国有金融机构、非银行金融机构资产、负债和损益状况。</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）县政府管理的和受县政府委托由社会团体管理的社会保障基金、环境保护资金、社会捐赠资金及其他有关基金、资金的财务收支。</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）市审计局授权的国际组织和外国政府援助、贷款项目财务收支。</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）县属境外企业、合资合作企业的资产、负债和损益状况。</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）县属国有企业、国有控股企业的资产、负债和损益状况。</w:t>
      </w:r>
    </w:p>
    <w:p>
      <w:pPr>
        <w:autoSpaceDE w:val="0"/>
        <w:autoSpaceDN w:val="0"/>
        <w:adjustRightInd w:val="0"/>
        <w:ind w:firstLine="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）国家投资建设项目的预算或概算执行情况和决算。</w:t>
      </w:r>
    </w:p>
    <w:p>
      <w:pPr>
        <w:autoSpaceDE w:val="0"/>
        <w:autoSpaceDN w:val="0"/>
        <w:adjustRightInd w:val="0"/>
        <w:ind w:firstLine="6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）其他法律法规规定的审计事项。</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、向县长提交县本级预算执行情况的审计结果报告；受县政府委托向县人大常委会提出预算执行情况和其他财政收支审计工作报告。</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、组织实施对贯彻执行国家财经方针政策和宏观调控措施情况的行业审计、专项审计和审计调查；负责对全县科级以下党政领导干部进行任期经济责任审计和国有企业厂长（经理）的离任审计。</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、组织实施对内部审计的指导与监督；组织审计专业培训；监督社会审计组织的审计业务质量。</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、持续组织对国家重大政策措施和宏观调控部署落实情况的跟踪审计，着力监督检查各地区、各部门落实稳增长、促改革、调结构、惠民生、防风险等政策措施的具体部署、执行进度、实际效果等情况。</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加强对“三农”、社会保障、教育、文化、医疗、扶贫、救灾、保障性安居工程等重点民生资金和项目的审计，加强对土地、矿产等自然资源，以及大气、水、固体废物等污染治理和环境保护情况的审计，探索实行自然资源资产离任审计，深入分析财政投入与项目进展、事业发展等情况，推动惠民和资源、环保政策落实到位。</w:t>
      </w:r>
    </w:p>
    <w:p>
      <w:pPr>
        <w:widowControl/>
        <w:ind w:firstLine="640" w:firstLineChars="200"/>
        <w:jc w:val="left"/>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、承办县委、县政府和市审计局交办的其他事项，承办县人大、县政协建议、提案事宜。</w:t>
      </w:r>
    </w:p>
    <w:p>
      <w:pPr>
        <w:autoSpaceDE w:val="0"/>
        <w:autoSpaceDN w:val="0"/>
        <w:adjustRightInd w:val="0"/>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4"/>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imes New Roman" w:hAnsi="Times New Roman"/>
                <w:sz w:val="32"/>
                <w:szCs w:val="32"/>
              </w:rPr>
            </w:pPr>
          </w:p>
        </w:tc>
        <w:tc>
          <w:tcPr>
            <w:tcW w:w="1588" w:type="dxa"/>
            <w:vMerge w:val="continue"/>
            <w:vAlign w:val="center"/>
          </w:tcPr>
          <w:p>
            <w:pPr>
              <w:spacing w:line="300" w:lineRule="exact"/>
              <w:jc w:val="left"/>
              <w:outlineLvl w:val="0"/>
              <w:rPr>
                <w:rFonts w:ascii="Times New Roman" w:hAnsi="Times New Roman"/>
                <w:sz w:val="32"/>
                <w:szCs w:val="32"/>
              </w:rPr>
            </w:pPr>
          </w:p>
        </w:tc>
        <w:tc>
          <w:tcPr>
            <w:tcW w:w="1787" w:type="dxa"/>
            <w:vMerge w:val="continue"/>
            <w:vAlign w:val="center"/>
          </w:tcPr>
          <w:p>
            <w:pPr>
              <w:spacing w:line="300" w:lineRule="exact"/>
              <w:jc w:val="left"/>
              <w:outlineLvl w:val="0"/>
              <w:rPr>
                <w:rFonts w:ascii="Times New Roman" w:hAnsi="Times New Roman"/>
                <w:sz w:val="32"/>
                <w:szCs w:val="32"/>
              </w:rPr>
            </w:pPr>
          </w:p>
        </w:tc>
        <w:tc>
          <w:tcPr>
            <w:tcW w:w="4063" w:type="dxa"/>
            <w:vMerge w:val="continue"/>
            <w:vAlign w:val="center"/>
          </w:tcPr>
          <w:p>
            <w:pPr>
              <w:spacing w:line="300" w:lineRule="exact"/>
              <w:jc w:val="lef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ascii="方正书宋_GBK" w:eastAsia="方正书宋_GBK"/>
                <w:b/>
                <w:sz w:val="32"/>
                <w:szCs w:val="32"/>
              </w:rPr>
            </w:pPr>
            <w:r>
              <w:rPr>
                <w:rFonts w:hint="eastAsia" w:ascii="方正书宋_GBK" w:eastAsia="方正书宋_GBK"/>
                <w:b/>
                <w:sz w:val="32"/>
                <w:szCs w:val="32"/>
              </w:rPr>
              <w:t>合</w:t>
            </w:r>
            <w:r>
              <w:rPr>
                <w:rFonts w:ascii="方正书宋_GBK" w:eastAsia="方正书宋_GBK"/>
                <w:b/>
                <w:sz w:val="32"/>
                <w:szCs w:val="32"/>
              </w:rPr>
              <w:t xml:space="preserve">    </w:t>
            </w:r>
            <w:r>
              <w:rPr>
                <w:rFonts w:hint="eastAsia" w:ascii="方正书宋_GBK" w:eastAsia="方正书宋_GBK"/>
                <w:b/>
                <w:sz w:val="32"/>
                <w:szCs w:val="32"/>
              </w:rPr>
              <w:t>计</w:t>
            </w:r>
          </w:p>
        </w:tc>
        <w:tc>
          <w:tcPr>
            <w:tcW w:w="1588" w:type="dxa"/>
            <w:vAlign w:val="center"/>
          </w:tcPr>
          <w:p>
            <w:pPr>
              <w:spacing w:line="300" w:lineRule="exact"/>
              <w:jc w:val="center"/>
              <w:rPr>
                <w:rFonts w:ascii="方正书宋_GBK" w:eastAsia="方正书宋_GBK"/>
                <w:b/>
                <w:sz w:val="32"/>
                <w:szCs w:val="32"/>
              </w:rPr>
            </w:pPr>
          </w:p>
        </w:tc>
        <w:tc>
          <w:tcPr>
            <w:tcW w:w="1787" w:type="dxa"/>
            <w:vAlign w:val="center"/>
          </w:tcPr>
          <w:p>
            <w:pPr>
              <w:spacing w:line="300" w:lineRule="exact"/>
              <w:jc w:val="center"/>
              <w:rPr>
                <w:rFonts w:ascii="方正书宋_GBK" w:eastAsia="方正书宋_GBK"/>
                <w:b/>
                <w:sz w:val="32"/>
                <w:szCs w:val="32"/>
              </w:rPr>
            </w:pPr>
          </w:p>
        </w:tc>
        <w:tc>
          <w:tcPr>
            <w:tcW w:w="4063" w:type="dxa"/>
            <w:vAlign w:val="center"/>
          </w:tcPr>
          <w:p>
            <w:pPr>
              <w:spacing w:line="300" w:lineRule="exact"/>
              <w:jc w:val="center"/>
              <w:rPr>
                <w:rFonts w:ascii="方正书宋_GBK" w:eastAsia="方正书宋_GBK"/>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hint="eastAsia" w:ascii="仿宋_GB2312" w:eastAsia="仿宋_GB2312"/>
                <w:sz w:val="32"/>
                <w:szCs w:val="32"/>
                <w:lang w:eastAsia="zh-CN"/>
              </w:rPr>
            </w:pPr>
            <w:r>
              <w:rPr>
                <w:rFonts w:hint="eastAsia" w:ascii="仿宋_GB2312" w:eastAsia="仿宋_GB2312"/>
                <w:sz w:val="32"/>
                <w:szCs w:val="32"/>
                <w:lang w:eastAsia="zh-CN"/>
              </w:rPr>
              <w:t>馆陶县审计局机关</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hint="eastAsia" w:ascii="仿宋_GB2312" w:eastAsia="仿宋_GB2312"/>
                <w:sz w:val="32"/>
                <w:szCs w:val="32"/>
                <w:lang w:eastAsia="zh-CN"/>
              </w:rPr>
            </w:pPr>
            <w:r>
              <w:rPr>
                <w:rFonts w:hint="eastAsia" w:ascii="仿宋_GB2312" w:eastAsia="仿宋_GB2312"/>
                <w:sz w:val="32"/>
                <w:szCs w:val="32"/>
                <w:lang w:eastAsia="zh-CN"/>
              </w:rPr>
              <w:t>馆陶县审计局（事业）</w:t>
            </w:r>
          </w:p>
        </w:tc>
        <w:tc>
          <w:tcPr>
            <w:tcW w:w="1588" w:type="dxa"/>
            <w:vAlign w:val="center"/>
          </w:tcPr>
          <w:p>
            <w:pPr>
              <w:spacing w:line="3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事业</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w:t>
            </w:r>
            <w:r>
              <w:rPr>
                <w:rFonts w:hint="eastAsia" w:ascii="仿宋_GB2312" w:eastAsia="仿宋_GB2312"/>
                <w:sz w:val="32"/>
                <w:szCs w:val="32"/>
                <w:lang w:eastAsia="zh-CN"/>
              </w:rPr>
              <w:t>股级</w:t>
            </w:r>
          </w:p>
        </w:tc>
        <w:tc>
          <w:tcPr>
            <w:tcW w:w="4063" w:type="dxa"/>
            <w:vAlign w:val="center"/>
          </w:tcPr>
          <w:p>
            <w:pPr>
              <w:spacing w:line="300" w:lineRule="exact"/>
              <w:jc w:val="center"/>
              <w:rPr>
                <w:rFonts w:ascii="仿宋_GB2312" w:eastAsia="仿宋_GB2312"/>
                <w:sz w:val="32"/>
                <w:szCs w:val="32"/>
              </w:rPr>
            </w:pPr>
          </w:p>
        </w:tc>
      </w:tr>
    </w:tbl>
    <w:p>
      <w:pPr>
        <w:widowControl/>
        <w:jc w:val="left"/>
        <w:rPr>
          <w:rFonts w:hint="eastAsia" w:ascii="黑体" w:hAnsi="黑体" w:eastAsia="黑体" w:cs="黑体"/>
          <w:color w:val="000000"/>
          <w:kern w:val="0"/>
          <w:sz w:val="32"/>
          <w:szCs w:val="32"/>
        </w:rPr>
      </w:pPr>
    </w:p>
    <w:p>
      <w:pPr>
        <w:widowControl/>
        <w:jc w:val="left"/>
        <w:rPr>
          <w:rFonts w:ascii="黑体" w:hAnsi="黑体" w:eastAsia="黑体" w:cs="黑体"/>
          <w:sz w:val="32"/>
          <w:szCs w:val="32"/>
        </w:rPr>
      </w:pPr>
      <w:r>
        <w:rPr>
          <w:rFonts w:hint="eastAsia" w:ascii="黑体" w:hAnsi="黑体" w:eastAsia="黑体" w:cs="黑体"/>
          <w:color w:val="000000"/>
          <w:kern w:val="0"/>
          <w:sz w:val="32"/>
          <w:szCs w:val="32"/>
        </w:rPr>
        <w:t>二、部门预算安排总体情况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按照预算管理有关规定，目前我县部门预算的编制实行综合预算制度，即全部收入和支出都反映在预算中。馆陶县</w:t>
      </w:r>
      <w:r>
        <w:rPr>
          <w:rFonts w:hint="eastAsia" w:ascii="仿宋_GB2312" w:hAnsi="Times New Roman" w:eastAsia="仿宋_GB2312"/>
          <w:sz w:val="32"/>
          <w:szCs w:val="32"/>
          <w:lang w:eastAsia="zh-CN"/>
        </w:rPr>
        <w:t>审计局机关</w:t>
      </w:r>
      <w:r>
        <w:rPr>
          <w:rFonts w:hint="eastAsia" w:ascii="仿宋_GB2312" w:hAnsi="Times New Roman" w:eastAsia="仿宋_GB2312"/>
          <w:sz w:val="32"/>
          <w:szCs w:val="32"/>
        </w:rPr>
        <w:t>及所属事业单位的收支包含在部门预算中。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hint="eastAsia" w:ascii="仿宋_GB2312" w:hAnsi="Times New Roman" w:eastAsia="仿宋_GB2312"/>
          <w:sz w:val="32"/>
          <w:szCs w:val="32"/>
          <w:lang w:eastAsia="zh-CN"/>
        </w:rPr>
        <w:t>2019</w:t>
      </w:r>
      <w:r>
        <w:rPr>
          <w:rFonts w:hint="eastAsia" w:ascii="仿宋_GB2312" w:hAnsi="Times New Roman" w:eastAsia="仿宋_GB2312"/>
          <w:sz w:val="32"/>
          <w:szCs w:val="32"/>
        </w:rPr>
        <w:t>年预算收入</w:t>
      </w:r>
      <w:r>
        <w:rPr>
          <w:rFonts w:hint="eastAsia" w:ascii="仿宋_GB2312" w:hAnsi="Times New Roman" w:eastAsia="仿宋_GB2312"/>
          <w:sz w:val="32"/>
          <w:szCs w:val="32"/>
          <w:lang w:val="en-US" w:eastAsia="zh-CN"/>
        </w:rPr>
        <w:t>399.49</w:t>
      </w:r>
      <w:r>
        <w:rPr>
          <w:rFonts w:hint="eastAsia" w:ascii="仿宋_GB2312" w:hAnsi="Times New Roman" w:eastAsia="仿宋_GB2312"/>
          <w:sz w:val="32"/>
          <w:szCs w:val="32"/>
        </w:rPr>
        <w:t>万元，其中：一般公共预算收入</w:t>
      </w:r>
      <w:r>
        <w:rPr>
          <w:rFonts w:hint="eastAsia" w:ascii="仿宋_GB2312" w:hAnsi="Times New Roman" w:eastAsia="仿宋_GB2312"/>
          <w:sz w:val="32"/>
          <w:szCs w:val="32"/>
          <w:lang w:val="en-US" w:eastAsia="zh-CN"/>
        </w:rPr>
        <w:t>399.49</w:t>
      </w:r>
      <w:r>
        <w:rPr>
          <w:rFonts w:hint="eastAsia" w:ascii="仿宋_GB2312" w:hAnsi="Times New Roman" w:eastAsia="仿宋_GB2312"/>
          <w:sz w:val="32"/>
          <w:szCs w:val="32"/>
        </w:rPr>
        <w:t>万元，基金预算收入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收支预算总表支出栏、基本支出表、项目支出表按经济分类和支出功能分类科目编制，反映省财馆陶县</w:t>
      </w:r>
      <w:r>
        <w:rPr>
          <w:rFonts w:hint="eastAsia" w:ascii="仿宋_GB2312" w:hAnsi="Times New Roman" w:eastAsia="仿宋_GB2312"/>
          <w:sz w:val="32"/>
          <w:szCs w:val="32"/>
          <w:lang w:eastAsia="zh-CN"/>
        </w:rPr>
        <w:t>审计局</w:t>
      </w:r>
      <w:r>
        <w:rPr>
          <w:rFonts w:hint="eastAsia" w:ascii="仿宋_GB2312" w:hAnsi="Times New Roman" w:eastAsia="仿宋_GB2312"/>
          <w:sz w:val="32"/>
          <w:szCs w:val="32"/>
        </w:rPr>
        <w:t>部门预算中支出预算的总体情况。</w:t>
      </w:r>
      <w:r>
        <w:rPr>
          <w:rFonts w:hint="eastAsia" w:ascii="仿宋_GB2312" w:hAnsi="Times New Roman" w:eastAsia="仿宋_GB2312"/>
          <w:sz w:val="32"/>
          <w:szCs w:val="32"/>
          <w:lang w:eastAsia="zh-CN"/>
        </w:rPr>
        <w:t>2019</w:t>
      </w:r>
      <w:r>
        <w:rPr>
          <w:rFonts w:hint="eastAsia" w:ascii="仿宋_GB2312" w:hAnsi="Times New Roman" w:eastAsia="仿宋_GB2312"/>
          <w:sz w:val="32"/>
          <w:szCs w:val="32"/>
        </w:rPr>
        <w:t>年支出预算</w:t>
      </w:r>
      <w:r>
        <w:rPr>
          <w:rFonts w:hint="eastAsia" w:ascii="仿宋_GB2312" w:hAnsi="Times New Roman" w:eastAsia="仿宋_GB2312"/>
          <w:sz w:val="32"/>
          <w:szCs w:val="32"/>
          <w:lang w:val="en-US" w:eastAsia="zh-CN"/>
        </w:rPr>
        <w:t>399.49</w:t>
      </w:r>
      <w:r>
        <w:rPr>
          <w:rFonts w:hint="eastAsia" w:ascii="仿宋_GB2312" w:hAnsi="Times New Roman" w:eastAsia="仿宋_GB2312"/>
          <w:sz w:val="32"/>
          <w:szCs w:val="32"/>
        </w:rPr>
        <w:t>万元，其中基本支出</w:t>
      </w:r>
      <w:r>
        <w:rPr>
          <w:rFonts w:hint="eastAsia" w:ascii="仿宋_GB2312" w:hAnsi="Times New Roman" w:eastAsia="仿宋_GB2312"/>
          <w:sz w:val="32"/>
          <w:szCs w:val="32"/>
          <w:lang w:val="en-US" w:eastAsia="zh-CN"/>
        </w:rPr>
        <w:t>194.49</w:t>
      </w:r>
      <w:r>
        <w:rPr>
          <w:rFonts w:hint="eastAsia" w:ascii="仿宋_GB2312" w:hAnsi="Times New Roman" w:eastAsia="仿宋_GB2312"/>
          <w:sz w:val="32"/>
          <w:szCs w:val="32"/>
        </w:rPr>
        <w:t>万元，包括人员经费</w:t>
      </w:r>
      <w:r>
        <w:rPr>
          <w:rFonts w:hint="eastAsia" w:ascii="仿宋_GB2312" w:hAnsi="Times New Roman" w:eastAsia="仿宋_GB2312"/>
          <w:sz w:val="32"/>
          <w:szCs w:val="32"/>
          <w:lang w:val="en-US" w:eastAsia="zh-CN"/>
        </w:rPr>
        <w:t>185.49</w:t>
      </w:r>
      <w:r>
        <w:rPr>
          <w:rFonts w:hint="eastAsia" w:ascii="仿宋_GB2312" w:hAnsi="Times New Roman" w:eastAsia="仿宋_GB2312"/>
          <w:sz w:val="32"/>
          <w:szCs w:val="32"/>
        </w:rPr>
        <w:t>万元和日常公用经费</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万元；项目支出</w:t>
      </w:r>
      <w:r>
        <w:rPr>
          <w:rFonts w:hint="eastAsia" w:ascii="仿宋_GB2312" w:hAnsi="Times New Roman" w:eastAsia="仿宋_GB2312"/>
          <w:sz w:val="32"/>
          <w:szCs w:val="32"/>
          <w:lang w:val="en-US" w:eastAsia="zh-CN"/>
        </w:rPr>
        <w:t>205</w:t>
      </w:r>
      <w:r>
        <w:rPr>
          <w:rFonts w:hint="eastAsia" w:ascii="仿宋_GB2312" w:hAnsi="Times New Roman" w:eastAsia="仿宋_GB2312"/>
          <w:sz w:val="32"/>
          <w:szCs w:val="32"/>
        </w:rPr>
        <w:t>万元，主要为</w:t>
      </w:r>
      <w:r>
        <w:rPr>
          <w:rFonts w:hint="eastAsia" w:ascii="仿宋_GB2312" w:hAnsi="Times New Roman" w:eastAsia="仿宋_GB2312"/>
          <w:sz w:val="32"/>
          <w:szCs w:val="32"/>
          <w:lang w:eastAsia="zh-CN"/>
        </w:rPr>
        <w:t>政府投资建设项目审计经费、专项审计项目经费等</w:t>
      </w:r>
      <w:r>
        <w:rPr>
          <w:rFonts w:hint="eastAsia" w:ascii="仿宋_GB2312" w:hAnsi="Times New Roman" w:eastAsia="仿宋_GB2312"/>
          <w:sz w:val="32"/>
          <w:szCs w:val="32"/>
        </w:rPr>
        <w:t>。</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widowControl/>
        <w:ind w:firstLine="640" w:firstLineChars="200"/>
        <w:jc w:val="left"/>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2019</w:t>
      </w:r>
      <w:r>
        <w:rPr>
          <w:rFonts w:hint="eastAsia" w:ascii="仿宋_GB2312" w:hAnsi="Times New Roman" w:eastAsia="仿宋_GB2312"/>
          <w:sz w:val="32"/>
          <w:szCs w:val="32"/>
        </w:rPr>
        <w:t>年预算收支安排</w:t>
      </w:r>
      <w:r>
        <w:rPr>
          <w:rFonts w:hint="eastAsia" w:ascii="仿宋_GB2312" w:hAnsi="Times New Roman" w:eastAsia="仿宋_GB2312"/>
          <w:sz w:val="32"/>
          <w:szCs w:val="32"/>
          <w:lang w:val="en-US" w:eastAsia="zh-CN"/>
        </w:rPr>
        <w:t>399.49</w:t>
      </w:r>
      <w:r>
        <w:rPr>
          <w:rFonts w:hint="eastAsia" w:ascii="仿宋_GB2312" w:hAnsi="Times New Roman" w:eastAsia="仿宋_GB2312"/>
          <w:sz w:val="32"/>
          <w:szCs w:val="32"/>
        </w:rPr>
        <w:t>万元，较</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年预算</w:t>
      </w:r>
      <w:r>
        <w:rPr>
          <w:rFonts w:hint="eastAsia" w:ascii="仿宋_GB2312" w:hAnsi="Times New Roman" w:eastAsia="仿宋_GB2312"/>
          <w:sz w:val="32"/>
          <w:szCs w:val="32"/>
          <w:lang w:eastAsia="zh-CN"/>
        </w:rPr>
        <w:t>增加</w:t>
      </w:r>
      <w:r>
        <w:rPr>
          <w:rFonts w:hint="eastAsia" w:ascii="仿宋_GB2312" w:hAnsi="Times New Roman" w:eastAsia="仿宋_GB2312"/>
          <w:sz w:val="32"/>
          <w:szCs w:val="32"/>
          <w:lang w:val="en-US" w:eastAsia="zh-CN"/>
        </w:rPr>
        <w:t>36.46万元</w:t>
      </w:r>
      <w:r>
        <w:rPr>
          <w:rFonts w:hint="eastAsia" w:ascii="仿宋_GB2312" w:hAnsi="Times New Roman" w:eastAsia="仿宋_GB2312"/>
          <w:sz w:val="32"/>
          <w:szCs w:val="32"/>
          <w:lang w:eastAsia="zh-CN"/>
        </w:rPr>
        <w:t>，主要原因是人员工资标准调整和审计工作的需要。</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lang w:eastAsia="zh-CN"/>
        </w:rPr>
        <w:t>2019</w:t>
      </w:r>
      <w:r>
        <w:rPr>
          <w:rFonts w:hint="eastAsia" w:ascii="仿宋_GB2312" w:hAnsi="Times New Roman" w:eastAsia="仿宋_GB2312"/>
          <w:sz w:val="32"/>
          <w:szCs w:val="32"/>
        </w:rPr>
        <w:t>年，馆陶县</w:t>
      </w:r>
      <w:r>
        <w:rPr>
          <w:rFonts w:hint="eastAsia" w:ascii="仿宋_GB2312" w:hAnsi="Times New Roman" w:eastAsia="仿宋_GB2312"/>
          <w:sz w:val="32"/>
          <w:szCs w:val="32"/>
          <w:lang w:eastAsia="zh-CN"/>
        </w:rPr>
        <w:t>审计局</w:t>
      </w:r>
      <w:r>
        <w:rPr>
          <w:rFonts w:hint="eastAsia" w:ascii="仿宋_GB2312" w:hAnsi="Times New Roman" w:eastAsia="仿宋_GB2312"/>
          <w:sz w:val="32"/>
          <w:szCs w:val="32"/>
        </w:rPr>
        <w:t>机关运行经费共计安排</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万元，主要用于办公费、印刷费、邮电费等日常运行支出。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hint="eastAsia" w:ascii="仿宋_GB2312" w:hAnsi="Times New Roman" w:eastAsia="仿宋_GB2312"/>
          <w:sz w:val="32"/>
          <w:szCs w:val="32"/>
          <w:lang w:eastAsia="zh-CN"/>
        </w:rPr>
        <w:t>2019</w:t>
      </w:r>
      <w:r>
        <w:rPr>
          <w:rFonts w:hint="eastAsia" w:ascii="仿宋_GB2312" w:hAnsi="Times New Roman" w:eastAsia="仿宋_GB2312"/>
          <w:sz w:val="32"/>
          <w:szCs w:val="32"/>
        </w:rPr>
        <w:t>年，馆陶县</w:t>
      </w:r>
      <w:r>
        <w:rPr>
          <w:rFonts w:hint="eastAsia" w:ascii="仿宋_GB2312" w:hAnsi="Times New Roman" w:eastAsia="仿宋_GB2312"/>
          <w:sz w:val="32"/>
          <w:szCs w:val="32"/>
          <w:lang w:eastAsia="zh-CN"/>
        </w:rPr>
        <w:t>审计局</w:t>
      </w:r>
      <w:r>
        <w:rPr>
          <w:rFonts w:hint="eastAsia" w:ascii="仿宋_GB2312" w:hAnsi="Times New Roman" w:eastAsia="仿宋_GB2312"/>
          <w:sz w:val="32"/>
          <w:szCs w:val="32"/>
        </w:rPr>
        <w:t>财政拨款“三公”经费预算安排</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较</w:t>
      </w:r>
      <w:r>
        <w:rPr>
          <w:rFonts w:ascii="仿宋_GB2312" w:hAnsi="Times New Roman" w:eastAsia="仿宋_GB2312"/>
          <w:sz w:val="32"/>
          <w:szCs w:val="32"/>
        </w:rPr>
        <w:t>201</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年“三公”经费支出预算</w:t>
      </w:r>
      <w:r>
        <w:rPr>
          <w:rFonts w:hint="eastAsia" w:ascii="仿宋_GB2312" w:hAnsi="Times New Roman" w:eastAsia="仿宋_GB2312"/>
          <w:sz w:val="32"/>
          <w:szCs w:val="32"/>
          <w:lang w:eastAsia="zh-CN"/>
        </w:rPr>
        <w:t>减少</w:t>
      </w:r>
      <w:r>
        <w:rPr>
          <w:rFonts w:hint="eastAsia" w:ascii="仿宋_GB2312" w:hAnsi="Times New Roman" w:eastAsia="仿宋_GB2312"/>
          <w:sz w:val="32"/>
          <w:szCs w:val="32"/>
          <w:lang w:val="en-US" w:eastAsia="zh-CN"/>
        </w:rPr>
        <w:t>0.1万元。</w:t>
      </w:r>
      <w:r>
        <w:rPr>
          <w:rFonts w:hint="eastAsia" w:ascii="Times New Roman" w:hAnsi="Times New Roman" w:eastAsia="仿宋" w:cs="Times New Roman"/>
          <w:sz w:val="32"/>
          <w:szCs w:val="32"/>
        </w:rPr>
        <w:t>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万元（其中：公务用车购置费0万元，公务用车运行维护费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，较上年减少</w:t>
      </w:r>
      <w:r>
        <w:rPr>
          <w:rFonts w:hint="eastAsia" w:ascii="Times New Roman" w:hAnsi="Times New Roman" w:eastAsia="仿宋" w:cs="Times New Roman"/>
          <w:sz w:val="32"/>
          <w:szCs w:val="32"/>
          <w:lang w:val="en-US" w:eastAsia="zh-CN"/>
        </w:rPr>
        <w:t>0.1万元</w:t>
      </w:r>
      <w:r>
        <w:rPr>
          <w:rFonts w:hint="eastAsia" w:ascii="仿宋_GB2312" w:hAnsi="Times New Roman" w:eastAsia="仿宋_GB2312"/>
          <w:sz w:val="32"/>
          <w:szCs w:val="32"/>
        </w:rPr>
        <w:t>，主要原因是我单位</w:t>
      </w:r>
      <w:r>
        <w:rPr>
          <w:rFonts w:hint="eastAsia" w:ascii="仿宋_GB2312" w:hAnsi="Times New Roman" w:eastAsia="仿宋_GB2312"/>
          <w:sz w:val="32"/>
          <w:szCs w:val="32"/>
          <w:lang w:val="zh-CN"/>
        </w:rPr>
        <w:t>厉行节约，无</w:t>
      </w:r>
      <w:r>
        <w:rPr>
          <w:rFonts w:hint="eastAsia" w:ascii="仿宋_GB2312" w:hAnsi="Times New Roman" w:eastAsia="仿宋_GB2312"/>
          <w:sz w:val="32"/>
          <w:szCs w:val="32"/>
        </w:rPr>
        <w:t>“三公”经费</w:t>
      </w:r>
      <w:r>
        <w:rPr>
          <w:rFonts w:hint="eastAsia" w:ascii="仿宋_GB2312" w:hAnsi="Times New Roman" w:eastAsia="仿宋_GB2312"/>
          <w:sz w:val="32"/>
          <w:szCs w:val="32"/>
          <w:lang w:val="zh-CN"/>
        </w:rPr>
        <w:t>支出</w:t>
      </w:r>
      <w:r>
        <w:rPr>
          <w:rFonts w:hint="eastAsia" w:ascii="仿宋_GB2312" w:hAnsi="Times New Roman" w:eastAsia="仿宋_GB2312"/>
          <w:sz w:val="32"/>
          <w:szCs w:val="32"/>
        </w:rPr>
        <w:t>。</w:t>
      </w:r>
    </w:p>
    <w:p>
      <w:pPr>
        <w:numPr>
          <w:ilvl w:val="0"/>
          <w:numId w:val="1"/>
        </w:numPr>
        <w:ind w:firstLine="640"/>
        <w:rPr>
          <w:rFonts w:hint="eastAsia" w:ascii="黑体" w:hAnsi="黑体" w:eastAsia="黑体"/>
          <w:b/>
          <w:sz w:val="32"/>
          <w:szCs w:val="32"/>
        </w:rPr>
      </w:pPr>
      <w:r>
        <w:rPr>
          <w:rFonts w:hint="eastAsia" w:ascii="黑体" w:hAnsi="黑体" w:eastAsia="黑体"/>
          <w:b/>
          <w:sz w:val="32"/>
          <w:szCs w:val="32"/>
        </w:rPr>
        <w:t>绩效预算信息</w:t>
      </w:r>
    </w:p>
    <w:p>
      <w:pPr>
        <w:spacing w:line="640" w:lineRule="exact"/>
        <w:ind w:firstLine="643" w:firstLineChars="200"/>
        <w:rPr>
          <w:rFonts w:ascii="黑体" w:hAnsi="黑体" w:eastAsia="黑体" w:cs="黑体"/>
          <w:sz w:val="32"/>
          <w:szCs w:val="32"/>
        </w:rPr>
      </w:pPr>
      <w:r>
        <w:rPr>
          <w:rFonts w:hint="eastAsia" w:ascii="黑体" w:hAnsi="黑体" w:eastAsia="黑体"/>
          <w:b/>
          <w:sz w:val="32"/>
          <w:szCs w:val="32"/>
          <w:lang w:val="en-US" w:eastAsia="zh-CN"/>
        </w:rPr>
        <w:t xml:space="preserve">    </w:t>
      </w:r>
      <w:r>
        <w:rPr>
          <w:rFonts w:hint="eastAsia" w:ascii="黑体" w:hAnsi="Times New Roman" w:eastAsia="黑体" w:cs="Times New Roman"/>
          <w:b/>
          <w:sz w:val="32"/>
          <w:szCs w:val="32"/>
        </w:rPr>
        <w:t>总体绩效目标</w:t>
      </w:r>
      <w:r>
        <w:rPr>
          <w:rFonts w:hint="eastAsia" w:ascii="Times New Roman" w:hAnsi="Times New Roman" w:eastAsia="方正仿宋_GBK" w:cs="Times New Roman"/>
          <w:b/>
          <w:sz w:val="32"/>
          <w:szCs w:val="32"/>
        </w:rPr>
        <w:t>：</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年，审计工作要按照县委、县政府市和审计局的安排部署，加强党的建设，加大审计监督力度，探索创新审计监督组织形式，不断提高审计质量，为我县经济社会发展做出应有的贡献。</w:t>
      </w:r>
    </w:p>
    <w:p>
      <w:pPr>
        <w:ind w:firstLine="643" w:firstLineChars="200"/>
        <w:rPr>
          <w:rFonts w:ascii="仿宋_GB2312" w:hAnsi="仿宋_GB2312" w:eastAsia="仿宋_GB2312" w:cs="仿宋_GB2312"/>
          <w:sz w:val="32"/>
          <w:szCs w:val="32"/>
        </w:rPr>
      </w:pPr>
      <w:r>
        <w:rPr>
          <w:rFonts w:hint="eastAsia" w:ascii="黑体" w:hAnsi="黑体" w:eastAsia="黑体"/>
          <w:b/>
          <w:sz w:val="32"/>
          <w:szCs w:val="32"/>
          <w:lang w:val="en-US" w:eastAsia="zh-CN"/>
        </w:rPr>
        <w:t xml:space="preserve">   </w:t>
      </w:r>
      <w:r>
        <w:rPr>
          <w:rFonts w:hint="eastAsia" w:ascii="楷体_GB2312" w:hAnsi="楷体_GB2312" w:eastAsia="楷体_GB2312" w:cs="楷体_GB2312"/>
          <w:b/>
          <w:bCs/>
          <w:sz w:val="32"/>
          <w:szCs w:val="32"/>
        </w:rPr>
        <w:t>（一）全面加强党建工作。</w:t>
      </w:r>
      <w:r>
        <w:rPr>
          <w:rFonts w:hint="eastAsia" w:ascii="仿宋_GB2312" w:hAnsi="仿宋_GB2312" w:eastAsia="仿宋_GB2312" w:cs="仿宋_GB2312"/>
          <w:sz w:val="32"/>
          <w:szCs w:val="32"/>
        </w:rPr>
        <w:t>局党组切实履行好全面从严治党主体责任，加强党风廉政建设，严格执行“三重一大”议事制度。进一步学习宣传贯彻党的十九大精神，认真执行组织生活制度，落实好“三会一课”、民主评议党员、谈心谈话、党员学习教育培训等制度。组织开展专家学者大讲堂活动，邀请上级审计机关领导及业务骨干讲课，每月召开一次支部会议，每季度进行一次党课教育，每季度组织一次全体党员活动，每年召开一次组织生活会和民主评议党员活动，每年组织一至二次外出学习交流活动，以增强党组织的凝聚力。同时抓好党费收缴、党员发展等工作。</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（二）加大审计全覆盖力度。</w:t>
      </w:r>
      <w:r>
        <w:rPr>
          <w:rFonts w:hint="eastAsia" w:ascii="仿宋_GB2312" w:hAnsi="仿宋_GB2312" w:eastAsia="仿宋_GB2312" w:cs="仿宋_GB2312"/>
          <w:sz w:val="32"/>
          <w:szCs w:val="32"/>
        </w:rPr>
        <w:t>一是全力配合市局扶贫资金审计组做好审计服务工作。二是推进审计全覆盖，对经济责任审计做到党政同责，应审尽审。健全完善审计对象分类管理制度，重点对权力集中、资金密集、财务独立二级机构的部门单位领导干部进行行审计。坚持全面覆盖、突出重点、任中审计和离任审计相结合。三是深化审计内容，做到监督权力，落实责任。密切关注被审计领导干部所在单位的资金、资产的运行过程，及贯彻执行县委、县政府的方针政策和决策部署，促进区域经济发展和以改善民生为重点的社会建设情况；重大经济决策的依法决策、科学决策、民主决策情况以及决策执行的经济效益、社会效益和环境效益情况。</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（三）加大问题揭示力度。</w:t>
      </w:r>
      <w:r>
        <w:rPr>
          <w:rFonts w:hint="eastAsia" w:ascii="仿宋_GB2312" w:hAnsi="仿宋_GB2312" w:eastAsia="仿宋_GB2312" w:cs="仿宋_GB2312"/>
          <w:sz w:val="32"/>
          <w:szCs w:val="32"/>
        </w:rPr>
        <w:t>一是加强对审计发现问题的揭示力度，要揭示存在问题的深层次原因，找准存在问题根源，要一追到底，反映被审计单位在管理中存在的薄弱环节。二是加大审计发现问题的处理处罚力度，对于由于主观故意形成的问题要加大处理处罚的力度，绝不姑息，涉嫌违纪违法的要及时移交纪检监察、司法机关，形成震慑。</w:t>
      </w:r>
    </w:p>
    <w:p>
      <w:pPr>
        <w:spacing w:line="64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（四）加大审计整改力度。</w:t>
      </w:r>
      <w:r>
        <w:rPr>
          <w:rFonts w:hint="eastAsia" w:ascii="仿宋_GB2312" w:hAnsi="仿宋_GB2312" w:eastAsia="仿宋_GB2312" w:cs="仿宋_GB2312"/>
          <w:sz w:val="32"/>
          <w:szCs w:val="32"/>
        </w:rPr>
        <w:t>一是加强审计过程中的整改，对于发现的问题，能够在审计现场纠正的问题，令其被审计单位立即纠正，提高审计整改效率。二是加强对审计报告中存在问题的整改，审计组要按照整改的时限及时督促被审计单位报送整改报告并检查整改落实情况，使其真正整改到位。对于整改工作缓慢或整改不到位的问题，下达整改通知书，约谈主要负责人，加大督促整改力度。</w:t>
      </w:r>
    </w:p>
    <w:p>
      <w:pPr>
        <w:spacing w:line="64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（五）提高机关规范化建设。</w:t>
      </w:r>
      <w:r>
        <w:rPr>
          <w:rFonts w:hint="eastAsia" w:ascii="仿宋_GB2312" w:eastAsia="仿宋_GB2312"/>
          <w:sz w:val="32"/>
          <w:szCs w:val="32"/>
        </w:rPr>
        <w:t>进一步提高机关规范化</w:t>
      </w:r>
      <w:r>
        <w:rPr>
          <w:rFonts w:hint="eastAsia" w:ascii="仿宋_GB2312" w:hAnsi="仿宋_GB2312" w:eastAsia="仿宋_GB2312" w:cs="仿宋_GB2312"/>
          <w:sz w:val="32"/>
          <w:szCs w:val="32"/>
        </w:rPr>
        <w:t>建设水平，提高审计质量和工作效率，转变机关工作作风，按照《馆陶县审计局工作人员绩效考核办法（试行）》的要求，鼓励大家积极参与审计专业相关资格考试及优秀审计项目评选，提升自我能力和单位形象。按照《办法》的要求，进一步严肃工作纪律，严格考勤制度、值班带班制度，以保障各项工作正常运转。</w:t>
      </w:r>
    </w:p>
    <w:p>
      <w:pPr>
        <w:spacing w:line="640" w:lineRule="exact"/>
        <w:ind w:firstLine="643" w:firstLineChars="200"/>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分项绩效目标：</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大力推进审计全覆盖，加大审计监督力度。</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改进审计模式和组织方式，创新审计理念，充分利用大数据的收集、整理、分析，实现审计全覆盖，消除监督盲区。加大审计监督力度，充分发挥审计监督作用，维护国家财政经济秩序，提高资金使用效益，促进廉政建设，保障全省经济和社会健康发展。</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绩效指标：审计计划完成率达到90%以上，重大政策落实跟踪审计部署完成率达到100%，保障审计程序合法合规，审计通知书按时送达，审计底稿取证合规，审计报告全部征求意见，审计档案及时归档。</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大力推进审计工作统筹，提升审计效能。</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绩效目标：强化上级审计机关对下级审计机关的领导，加快形成审计工作一盘棋；加强审计项目审计组织方式 “两统筹”，保障审计项目的质量；优化资源配置，建立健全全省内部审计机构建设，监督内部审计职责履行情况，检查内部审计业务质量；通过向社会购买服务的方式，合理运用内部审计和社会审计力量，形成审计监督合力。</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绩效指标：审计项目数量达到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内部审计业务指导率达到95%。</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大力推进审计成果应用，彰显审计价值。</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政府决策提供依据。</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绩效指标：政策建议采纳率达到</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%以上，审计问题整改率达到</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p>
    <w:p>
      <w:pPr>
        <w:spacing w:line="640" w:lineRule="exact"/>
        <w:ind w:firstLine="640" w:firstLineChars="200"/>
        <w:rPr>
          <w:rFonts w:hint="eastAsia" w:ascii="仿宋_GB2312" w:hAnsi="仿宋_GB2312" w:eastAsia="仿宋_GB2312" w:cs="仿宋_GB2312"/>
          <w:sz w:val="32"/>
          <w:szCs w:val="32"/>
        </w:rPr>
      </w:pPr>
    </w:p>
    <w:p>
      <w:pPr>
        <w:outlineLvl w:val="0"/>
        <w:rPr>
          <w:rFonts w:ascii="黑体" w:hAnsi="黑体" w:eastAsia="黑体"/>
          <w:b/>
          <w:sz w:val="32"/>
          <w:szCs w:val="32"/>
        </w:rPr>
      </w:pPr>
      <w:r>
        <w:rPr>
          <w:rFonts w:hint="eastAsia" w:ascii="黑体" w:hAnsi="黑体" w:eastAsia="黑体"/>
          <w:b/>
          <w:sz w:val="32"/>
          <w:szCs w:val="32"/>
        </w:rPr>
        <w:t>部门职责及工作活动绩效目标指标：</w:t>
      </w:r>
    </w:p>
    <w:p>
      <w:pPr>
        <w:jc w:val="center"/>
        <w:outlineLvl w:val="0"/>
        <w:rPr>
          <w:rFonts w:hint="eastAsia" w:ascii="方正小标宋_GBK" w:eastAsia="方正小标宋_GBK"/>
          <w:sz w:val="32"/>
        </w:rPr>
      </w:pPr>
      <w:bookmarkStart w:id="0" w:name="_Toc510598240"/>
      <w:r>
        <w:rPr>
          <w:rFonts w:hint="eastAsia" w:ascii="方正小标宋_GBK" w:eastAsia="方正小标宋_GBK"/>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319</w:t>
            </w:r>
            <w:r>
              <w:rPr>
                <w:rFonts w:hint="eastAsia" w:ascii="方正小标宋_GBK" w:eastAsia="方正小标宋_GBK"/>
                <w:sz w:val="24"/>
              </w:rPr>
              <w:t>馆陶县审计局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一、审计业务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2080000.00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主管全县审计工作。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主管全县审计工作。通过财政财务收支审计真实、合法和效益情况，维护国家财政经济秩序，促进廉政建设，保障国民经济的健康运行。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、审计业务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2080000.00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审计本级财政部门组织本级预算执行情况，审计下级人民政府的预算执行和决算情况，审计其他财政收支情况，审计其他取得财政资金的单位和项目接受、运用财政资金的真实、合法和效益情况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hint="eastAsia" w:ascii="方正书宋_GBK" w:eastAsia="方正书宋_GBK"/>
              </w:rPr>
              <w:t>实施领导干部经济责任审计等审计。</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通过审计财政、财务收支真实、合法和效益，维护国家财政经济秩序、促进廉政建设、保障国民经济的健康发展。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审计决定落实率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审计计划完成率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、专项审计调查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对经济领域中带有全局性、普遍性、倾向性的特定事项进行系统调查了解并向县政府报告情况和结果。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通过专项审计调查，综合分析，向有关部门反映情况，揭露问题、提出解决问题的建议，为政府决策提供依据。</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政策建议采纳率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专项审计工作完成率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二、审计管理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进行内部审计管理和审计法制管理。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进行内部审计管理和审计法制管理。贯彻落实相关法律法规及大内部审计管理制度提高审计质量和审计机关法制管理水平。</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、内部审计管理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制定内部审计措施并组织落实；制定内部审计业务规章、制度、管理办法等并开展监督检查；开展内部审计业务，受理内部审计业务咨询；提供内部审计成果；协调内部审计和国家审计间工作等。</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受理内审业务咨询，提高内部审计质量；协调内部审计和国家审计间工作，保障内部审计工作的顺利进行；控制费用标准严格。</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内审业务指导、监督检查率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内审业务办结率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、审计法制管理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对审计项目、规范性文件进行审核，依法核查社会审计机构相关审计报告，做好审计机关的质量检查等。</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通过审计项目审理来保障审计质量，提高县级审计法制管理水平。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审计项目审理覆盖率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三、审计政务管理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包括系统综合业务管理和机关综合事务管理。</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包括系统综合业务管理和机关综合事务管理。充分发挥参谋助手作用和综合协调作用，推进审计事业科学协调发展。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组织开展信息化建设、教育培训、审计理论研究，抓好新闻宣传和文化建设、政务信息公开，开展审计服务和业务咨询。</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信息保障安全有效，信息化建设稳步推进；加强宣传引导；提高人员业务水平，推动审计事业发展。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抓好干部队伍建设、基础设施建设及其它综合事务。</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提高人员业务水平，不断提高审计业务质量；保障机关正常运转。</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bl>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outlineLvl w:val="0"/>
        <w:rPr>
          <w:rFonts w:ascii="仿宋_GB2312" w:hAnsi="Times New Roman" w:eastAsia="仿宋_GB2312"/>
          <w:sz w:val="32"/>
          <w:szCs w:val="24"/>
        </w:rPr>
      </w:pPr>
      <w:bookmarkStart w:id="1" w:name="_Toc471398468"/>
      <w:r>
        <w:rPr>
          <w:rFonts w:ascii="方正小标宋_GBK" w:hAnsi="Times New Roman" w:eastAsia="方正小标宋_GBK"/>
          <w:sz w:val="32"/>
          <w:szCs w:val="24"/>
        </w:rPr>
        <w:t xml:space="preserve"> </w:t>
      </w:r>
      <w:r>
        <w:rPr>
          <w:rFonts w:ascii="Times New Roman" w:hAnsi="Times New Roman" w:eastAsia="方正仿宋_GBK"/>
          <w:sz w:val="32"/>
          <w:szCs w:val="24"/>
        </w:rPr>
        <w:t xml:space="preserve">   </w:t>
      </w:r>
      <w:r>
        <w:rPr>
          <w:rFonts w:hint="eastAsia" w:ascii="仿宋_GB2312" w:hAnsi="Times New Roman" w:eastAsia="仿宋_GB2312"/>
          <w:sz w:val="32"/>
          <w:szCs w:val="24"/>
          <w:lang w:eastAsia="zh-CN"/>
        </w:rPr>
        <w:t>2019</w:t>
      </w:r>
      <w:r>
        <w:rPr>
          <w:rFonts w:hint="eastAsia" w:ascii="仿宋_GB2312" w:hAnsi="Times New Roman" w:eastAsia="仿宋_GB2312"/>
          <w:sz w:val="32"/>
          <w:szCs w:val="24"/>
        </w:rPr>
        <w:t>年，我单位安排政府采购预算</w:t>
      </w:r>
      <w:r>
        <w:rPr>
          <w:rFonts w:hint="eastAsia" w:ascii="仿宋_GB2312" w:hAnsi="Times New Roman" w:eastAsia="仿宋_GB2312"/>
          <w:color w:val="auto"/>
          <w:sz w:val="32"/>
          <w:szCs w:val="24"/>
          <w:lang w:val="en-US" w:eastAsia="zh-CN"/>
        </w:rPr>
        <w:t>2.9</w:t>
      </w:r>
      <w:r>
        <w:rPr>
          <w:rFonts w:hint="eastAsia" w:ascii="仿宋_GB2312" w:hAnsi="Times New Roman" w:eastAsia="仿宋_GB2312"/>
          <w:sz w:val="32"/>
          <w:szCs w:val="24"/>
        </w:rPr>
        <w:t>万元。具体内容见下表。</w:t>
      </w:r>
    </w:p>
    <w:bookmarkEnd w:id="1"/>
    <w:p>
      <w:pPr>
        <w:jc w:val="center"/>
        <w:outlineLvl w:val="0"/>
        <w:rPr>
          <w:rFonts w:ascii="方正小标宋_GBK" w:eastAsia="方正小标宋_GBK"/>
          <w:sz w:val="32"/>
        </w:rPr>
      </w:pPr>
      <w:bookmarkStart w:id="2" w:name="_Toc504489153"/>
      <w:r>
        <w:rPr>
          <w:rFonts w:hint="eastAsia" w:ascii="方正小标宋_GBK" w:eastAsia="方正小标宋_GBK"/>
          <w:sz w:val="32"/>
        </w:rPr>
        <w:t>部门政府采购预算</w:t>
      </w:r>
      <w:bookmarkEnd w:id="2"/>
    </w:p>
    <w:tbl>
      <w:tblPr>
        <w:tblStyle w:val="4"/>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060"/>
        <w:gridCol w:w="1100"/>
        <w:gridCol w:w="1233"/>
        <w:gridCol w:w="722"/>
        <w:gridCol w:w="722"/>
        <w:gridCol w:w="893"/>
        <w:gridCol w:w="923"/>
        <w:gridCol w:w="923"/>
        <w:gridCol w:w="923"/>
        <w:gridCol w:w="923"/>
        <w:gridCol w:w="926"/>
        <w:gridCol w:w="927"/>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p>
        </w:tc>
        <w:tc>
          <w:tcPr>
            <w:tcW w:w="642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9"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100"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33"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2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2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9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2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60"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100" w:type="dxa"/>
            <w:vMerge w:val="continue"/>
            <w:vAlign w:val="center"/>
          </w:tcPr>
          <w:p>
            <w:pPr>
              <w:spacing w:line="300" w:lineRule="exact"/>
              <w:jc w:val="left"/>
              <w:outlineLvl w:val="0"/>
            </w:pPr>
          </w:p>
        </w:tc>
        <w:tc>
          <w:tcPr>
            <w:tcW w:w="1233"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893" w:type="dxa"/>
            <w:vMerge w:val="continue"/>
            <w:vAlign w:val="center"/>
          </w:tcPr>
          <w:p>
            <w:pPr>
              <w:spacing w:line="300" w:lineRule="exact"/>
              <w:jc w:val="left"/>
              <w:outlineLvl w:val="0"/>
            </w:pPr>
          </w:p>
        </w:tc>
        <w:tc>
          <w:tcPr>
            <w:tcW w:w="92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22"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4"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continue"/>
            <w:vAlign w:val="center"/>
          </w:tcPr>
          <w:p>
            <w:pPr>
              <w:spacing w:line="300" w:lineRule="exact"/>
              <w:jc w:val="left"/>
              <w:outlineLvl w:val="0"/>
            </w:pPr>
          </w:p>
        </w:tc>
        <w:tc>
          <w:tcPr>
            <w:tcW w:w="1060" w:type="dxa"/>
            <w:vMerge w:val="continue"/>
            <w:vAlign w:val="center"/>
          </w:tcPr>
          <w:p>
            <w:pPr>
              <w:spacing w:line="300" w:lineRule="exact"/>
              <w:jc w:val="left"/>
              <w:outlineLvl w:val="0"/>
            </w:pPr>
          </w:p>
        </w:tc>
        <w:tc>
          <w:tcPr>
            <w:tcW w:w="1100" w:type="dxa"/>
            <w:vMerge w:val="continue"/>
            <w:vAlign w:val="center"/>
          </w:tcPr>
          <w:p>
            <w:pPr>
              <w:spacing w:line="300" w:lineRule="exact"/>
              <w:jc w:val="left"/>
              <w:outlineLvl w:val="0"/>
            </w:pPr>
          </w:p>
        </w:tc>
        <w:tc>
          <w:tcPr>
            <w:tcW w:w="1233"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893" w:type="dxa"/>
            <w:vMerge w:val="continue"/>
            <w:vAlign w:val="center"/>
          </w:tcPr>
          <w:p>
            <w:pPr>
              <w:spacing w:line="300" w:lineRule="exact"/>
              <w:jc w:val="left"/>
              <w:outlineLvl w:val="0"/>
            </w:pPr>
          </w:p>
        </w:tc>
        <w:tc>
          <w:tcPr>
            <w:tcW w:w="923" w:type="dxa"/>
            <w:vMerge w:val="continue"/>
            <w:vAlign w:val="center"/>
          </w:tcPr>
          <w:p>
            <w:pPr>
              <w:spacing w:line="300" w:lineRule="exact"/>
              <w:jc w:val="left"/>
              <w:outlineLvl w:val="0"/>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2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27"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84"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60"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2.9</w:t>
            </w:r>
          </w:p>
        </w:tc>
        <w:tc>
          <w:tcPr>
            <w:tcW w:w="1100" w:type="dxa"/>
            <w:vAlign w:val="center"/>
          </w:tcPr>
          <w:p>
            <w:pPr>
              <w:spacing w:line="300" w:lineRule="exact"/>
              <w:jc w:val="left"/>
              <w:rPr>
                <w:rFonts w:ascii="方正书宋_GBK" w:eastAsia="方正书宋_GBK"/>
                <w:b/>
              </w:rPr>
            </w:pPr>
          </w:p>
        </w:tc>
        <w:tc>
          <w:tcPr>
            <w:tcW w:w="1233" w:type="dxa"/>
            <w:vAlign w:val="center"/>
          </w:tcPr>
          <w:p>
            <w:pPr>
              <w:spacing w:line="300" w:lineRule="exact"/>
              <w:jc w:val="left"/>
              <w:rPr>
                <w:rFonts w:ascii="方正书宋_GBK" w:eastAsia="方正书宋_GBK"/>
                <w:b/>
              </w:rPr>
            </w:pPr>
          </w:p>
        </w:tc>
        <w:tc>
          <w:tcPr>
            <w:tcW w:w="722" w:type="dxa"/>
            <w:vAlign w:val="center"/>
          </w:tcPr>
          <w:p>
            <w:pPr>
              <w:spacing w:line="300" w:lineRule="exact"/>
              <w:jc w:val="left"/>
              <w:rPr>
                <w:rFonts w:ascii="方正书宋_GBK" w:eastAsia="方正书宋_GBK"/>
                <w:b/>
              </w:rPr>
            </w:pPr>
          </w:p>
        </w:tc>
        <w:tc>
          <w:tcPr>
            <w:tcW w:w="722"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lang w:val="en-US" w:eastAsia="zh-CN"/>
              </w:rPr>
              <w:t>2.9</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lang w:val="en-US" w:eastAsia="zh-CN"/>
              </w:rPr>
              <w:t>2.9</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lang w:val="en-US" w:eastAsia="zh-CN"/>
              </w:rPr>
              <w:t>2.9</w:t>
            </w:r>
          </w:p>
        </w:tc>
        <w:tc>
          <w:tcPr>
            <w:tcW w:w="923" w:type="dxa"/>
            <w:vAlign w:val="center"/>
          </w:tcPr>
          <w:p>
            <w:pPr>
              <w:spacing w:line="300" w:lineRule="exact"/>
              <w:rPr>
                <w:rFonts w:ascii="方正书宋_GBK" w:eastAsia="方正书宋_GBK"/>
                <w:b/>
              </w:rPr>
            </w:pPr>
          </w:p>
        </w:tc>
        <w:tc>
          <w:tcPr>
            <w:tcW w:w="926" w:type="dxa"/>
            <w:vAlign w:val="center"/>
          </w:tcPr>
          <w:p>
            <w:pPr>
              <w:spacing w:line="300" w:lineRule="exact"/>
              <w:rPr>
                <w:rFonts w:ascii="方正书宋_GBK" w:eastAsia="方正书宋_GBK"/>
                <w:b/>
              </w:rPr>
            </w:pPr>
          </w:p>
        </w:tc>
        <w:tc>
          <w:tcPr>
            <w:tcW w:w="927" w:type="dxa"/>
            <w:vAlign w:val="center"/>
          </w:tcPr>
          <w:p>
            <w:pPr>
              <w:spacing w:line="300" w:lineRule="exact"/>
              <w:jc w:val="center"/>
              <w:rPr>
                <w:rFonts w:ascii="方正书宋_GBK" w:eastAsia="方正书宋_GBK"/>
                <w:b/>
              </w:rPr>
            </w:pPr>
          </w:p>
        </w:tc>
        <w:tc>
          <w:tcPr>
            <w:tcW w:w="88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审计项目专项工作经费</w:t>
            </w:r>
          </w:p>
        </w:tc>
        <w:tc>
          <w:tcPr>
            <w:tcW w:w="1060" w:type="dxa"/>
            <w:vAlign w:val="center"/>
          </w:tcPr>
          <w:p>
            <w:pPr>
              <w:spacing w:line="300" w:lineRule="exact"/>
              <w:jc w:val="center"/>
              <w:rPr>
                <w:rFonts w:hint="eastAsia" w:ascii="方正书宋_GBK" w:eastAsia="方正书宋_GBK"/>
                <w:b/>
                <w:lang w:eastAsia="zh-CN"/>
              </w:rPr>
            </w:pPr>
            <w:r>
              <w:rPr>
                <w:rFonts w:hint="eastAsia" w:ascii="方正书宋_GBK" w:eastAsia="方正书宋_GBK"/>
                <w:b/>
                <w:lang w:val="en-US" w:eastAsia="zh-CN"/>
              </w:rPr>
              <w:t>0.5</w:t>
            </w:r>
          </w:p>
        </w:tc>
        <w:tc>
          <w:tcPr>
            <w:tcW w:w="1100" w:type="dxa"/>
            <w:vAlign w:val="center"/>
          </w:tcPr>
          <w:p>
            <w:pPr>
              <w:spacing w:line="300" w:lineRule="exact"/>
              <w:jc w:val="left"/>
              <w:rPr>
                <w:rFonts w:ascii="方正书宋_GBK" w:eastAsia="方正书宋_GBK"/>
                <w:b/>
              </w:rPr>
            </w:pPr>
            <w:r>
              <w:rPr>
                <w:rFonts w:hint="eastAsia" w:ascii="方正书宋_GBK" w:eastAsia="方正书宋_GBK"/>
                <w:b/>
              </w:rPr>
              <w:t>计算机设备及软件</w:t>
            </w:r>
          </w:p>
        </w:tc>
        <w:tc>
          <w:tcPr>
            <w:tcW w:w="1233" w:type="dxa"/>
            <w:vAlign w:val="center"/>
          </w:tcPr>
          <w:p>
            <w:pPr>
              <w:spacing w:line="300" w:lineRule="exact"/>
              <w:jc w:val="center"/>
              <w:rPr>
                <w:rFonts w:ascii="方正书宋_GBK" w:eastAsia="方正书宋_GBK"/>
                <w:b/>
              </w:rPr>
            </w:pPr>
            <w:r>
              <w:rPr>
                <w:rFonts w:ascii="方正书宋_GBK" w:eastAsia="方正书宋_GBK"/>
                <w:b/>
              </w:rPr>
              <w:t>A0201</w:t>
            </w:r>
          </w:p>
        </w:tc>
        <w:tc>
          <w:tcPr>
            <w:tcW w:w="722" w:type="dxa"/>
            <w:vAlign w:val="center"/>
          </w:tcPr>
          <w:p>
            <w:pPr>
              <w:spacing w:line="300" w:lineRule="exact"/>
              <w:jc w:val="left"/>
              <w:rPr>
                <w:rFonts w:ascii="方正书宋_GBK" w:eastAsia="方正书宋_GBK"/>
                <w:b/>
              </w:rPr>
            </w:pPr>
          </w:p>
        </w:tc>
        <w:tc>
          <w:tcPr>
            <w:tcW w:w="722" w:type="dxa"/>
            <w:vAlign w:val="center"/>
          </w:tcPr>
          <w:p>
            <w:pPr>
              <w:spacing w:line="300" w:lineRule="exact"/>
              <w:jc w:val="left"/>
              <w:rPr>
                <w:rFonts w:ascii="方正书宋_GBK" w:eastAsia="方正书宋_GBK"/>
                <w:b/>
              </w:rPr>
            </w:pPr>
          </w:p>
        </w:tc>
        <w:tc>
          <w:tcPr>
            <w:tcW w:w="893" w:type="dxa"/>
            <w:vAlign w:val="center"/>
          </w:tcPr>
          <w:p>
            <w:pPr>
              <w:spacing w:line="300" w:lineRule="exact"/>
              <w:jc w:val="left"/>
              <w:rPr>
                <w:rFonts w:ascii="方正书宋_GBK" w:eastAsia="方正书宋_GBK"/>
                <w:b/>
              </w:rPr>
            </w:pPr>
          </w:p>
        </w:tc>
        <w:tc>
          <w:tcPr>
            <w:tcW w:w="923"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lang w:val="en-US" w:eastAsia="zh-CN"/>
              </w:rPr>
              <w:t>0.5</w:t>
            </w:r>
          </w:p>
        </w:tc>
        <w:tc>
          <w:tcPr>
            <w:tcW w:w="923" w:type="dxa"/>
            <w:vAlign w:val="center"/>
          </w:tcPr>
          <w:p>
            <w:pPr>
              <w:spacing w:line="300" w:lineRule="exact"/>
              <w:jc w:val="center"/>
              <w:rPr>
                <w:rFonts w:hint="eastAsia" w:ascii="方正书宋_GBK" w:eastAsia="方正书宋_GBK"/>
                <w:b/>
                <w:lang w:eastAsia="zh-CN"/>
              </w:rPr>
            </w:pPr>
            <w:r>
              <w:rPr>
                <w:rFonts w:hint="eastAsia" w:ascii="方正书宋_GBK" w:eastAsia="方正书宋_GBK"/>
                <w:b/>
                <w:lang w:val="en-US" w:eastAsia="zh-CN"/>
              </w:rPr>
              <w:t>0.5</w:t>
            </w:r>
          </w:p>
        </w:tc>
        <w:tc>
          <w:tcPr>
            <w:tcW w:w="923" w:type="dxa"/>
            <w:vAlign w:val="center"/>
          </w:tcPr>
          <w:p>
            <w:pPr>
              <w:spacing w:line="300" w:lineRule="exact"/>
              <w:jc w:val="center"/>
              <w:rPr>
                <w:rFonts w:hint="eastAsia" w:ascii="方正书宋_GBK" w:eastAsia="方正书宋_GBK"/>
                <w:b/>
                <w:lang w:eastAsia="zh-CN"/>
              </w:rPr>
            </w:pPr>
            <w:r>
              <w:rPr>
                <w:rFonts w:hint="eastAsia" w:ascii="方正书宋_GBK" w:eastAsia="方正书宋_GBK"/>
                <w:b/>
                <w:lang w:val="en-US" w:eastAsia="zh-CN"/>
              </w:rPr>
              <w:t>0.5</w:t>
            </w:r>
          </w:p>
        </w:tc>
        <w:tc>
          <w:tcPr>
            <w:tcW w:w="923" w:type="dxa"/>
            <w:vAlign w:val="center"/>
          </w:tcPr>
          <w:p>
            <w:pPr>
              <w:spacing w:line="300" w:lineRule="exact"/>
              <w:jc w:val="left"/>
              <w:rPr>
                <w:rFonts w:ascii="方正书宋_GBK" w:eastAsia="方正书宋_GBK"/>
                <w:b/>
              </w:rPr>
            </w:pPr>
          </w:p>
        </w:tc>
        <w:tc>
          <w:tcPr>
            <w:tcW w:w="926" w:type="dxa"/>
            <w:vAlign w:val="center"/>
          </w:tcPr>
          <w:p>
            <w:pPr>
              <w:spacing w:line="300" w:lineRule="exact"/>
              <w:jc w:val="right"/>
              <w:rPr>
                <w:rFonts w:ascii="方正书宋_GBK" w:eastAsia="方正书宋_GBK"/>
              </w:rPr>
            </w:pPr>
          </w:p>
        </w:tc>
        <w:tc>
          <w:tcPr>
            <w:tcW w:w="927"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2409" w:type="dxa"/>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审计项目专项工作经费</w:t>
            </w:r>
          </w:p>
        </w:tc>
        <w:tc>
          <w:tcPr>
            <w:tcW w:w="1060"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2.4</w:t>
            </w:r>
          </w:p>
        </w:tc>
        <w:tc>
          <w:tcPr>
            <w:tcW w:w="1100" w:type="dxa"/>
            <w:vAlign w:val="center"/>
          </w:tcPr>
          <w:p>
            <w:pPr>
              <w:spacing w:line="300" w:lineRule="exact"/>
              <w:jc w:val="left"/>
              <w:rPr>
                <w:rFonts w:hint="eastAsia" w:ascii="方正书宋_GBK" w:eastAsia="方正书宋_GBK"/>
                <w:b/>
                <w:lang w:val="en-US" w:eastAsia="zh-CN"/>
              </w:rPr>
            </w:pPr>
            <w:r>
              <w:rPr>
                <w:rFonts w:hint="eastAsia" w:ascii="方正书宋_GBK" w:eastAsia="方正书宋_GBK"/>
                <w:b/>
              </w:rPr>
              <w:t>计算机设备及软件</w:t>
            </w:r>
          </w:p>
        </w:tc>
        <w:tc>
          <w:tcPr>
            <w:tcW w:w="1233" w:type="dxa"/>
            <w:vAlign w:val="center"/>
          </w:tcPr>
          <w:p>
            <w:pPr>
              <w:spacing w:line="300" w:lineRule="exact"/>
              <w:jc w:val="center"/>
              <w:rPr>
                <w:rFonts w:ascii="方正书宋_GBK" w:eastAsia="方正书宋_GBK"/>
                <w:b/>
              </w:rPr>
            </w:pPr>
            <w:r>
              <w:rPr>
                <w:rFonts w:ascii="方正书宋_GBK" w:eastAsia="方正书宋_GBK"/>
                <w:b/>
              </w:rPr>
              <w:t>A0201</w:t>
            </w:r>
          </w:p>
        </w:tc>
        <w:tc>
          <w:tcPr>
            <w:tcW w:w="722" w:type="dxa"/>
            <w:vAlign w:val="center"/>
          </w:tcPr>
          <w:p>
            <w:pPr>
              <w:spacing w:line="300" w:lineRule="exact"/>
              <w:jc w:val="left"/>
              <w:rPr>
                <w:rFonts w:ascii="方正书宋_GBK" w:eastAsia="方正书宋_GBK"/>
                <w:b/>
              </w:rPr>
            </w:pPr>
          </w:p>
        </w:tc>
        <w:tc>
          <w:tcPr>
            <w:tcW w:w="722" w:type="dxa"/>
            <w:vAlign w:val="center"/>
          </w:tcPr>
          <w:p>
            <w:pPr>
              <w:spacing w:line="300" w:lineRule="exact"/>
              <w:jc w:val="left"/>
              <w:rPr>
                <w:rFonts w:ascii="方正书宋_GBK" w:eastAsia="方正书宋_GBK"/>
                <w:b/>
              </w:rPr>
            </w:pPr>
          </w:p>
        </w:tc>
        <w:tc>
          <w:tcPr>
            <w:tcW w:w="893" w:type="dxa"/>
            <w:vAlign w:val="center"/>
          </w:tcPr>
          <w:p>
            <w:pPr>
              <w:spacing w:line="300" w:lineRule="exact"/>
              <w:jc w:val="left"/>
              <w:rPr>
                <w:rFonts w:ascii="方正书宋_GBK" w:eastAsia="方正书宋_GBK"/>
                <w:b/>
              </w:rPr>
            </w:pPr>
          </w:p>
        </w:tc>
        <w:tc>
          <w:tcPr>
            <w:tcW w:w="923" w:type="dxa"/>
            <w:vAlign w:val="center"/>
          </w:tcPr>
          <w:p>
            <w:pPr>
              <w:spacing w:line="300" w:lineRule="exact"/>
              <w:jc w:val="center"/>
              <w:rPr>
                <w:rFonts w:hint="default" w:ascii="方正书宋_GBK" w:eastAsia="方正书宋_GBK"/>
                <w:b/>
                <w:lang w:val="en-US" w:eastAsia="zh-CN"/>
              </w:rPr>
            </w:pPr>
            <w:r>
              <w:rPr>
                <w:rFonts w:hint="eastAsia" w:ascii="方正书宋_GBK" w:eastAsia="方正书宋_GBK"/>
                <w:b/>
                <w:lang w:val="en-US" w:eastAsia="zh-CN"/>
              </w:rPr>
              <w:t>2.4</w:t>
            </w:r>
          </w:p>
        </w:tc>
        <w:tc>
          <w:tcPr>
            <w:tcW w:w="923"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lang w:val="en-US" w:eastAsia="zh-CN"/>
              </w:rPr>
              <w:t>2.4</w:t>
            </w:r>
          </w:p>
        </w:tc>
        <w:tc>
          <w:tcPr>
            <w:tcW w:w="923" w:type="dxa"/>
            <w:vAlign w:val="center"/>
          </w:tcPr>
          <w:p>
            <w:pPr>
              <w:spacing w:line="300" w:lineRule="exact"/>
              <w:jc w:val="center"/>
              <w:rPr>
                <w:rFonts w:hint="eastAsia" w:ascii="方正书宋_GBK" w:eastAsia="方正书宋_GBK"/>
                <w:b/>
                <w:lang w:val="en-US" w:eastAsia="zh-CN"/>
              </w:rPr>
            </w:pPr>
            <w:r>
              <w:rPr>
                <w:rFonts w:hint="eastAsia" w:ascii="方正书宋_GBK" w:eastAsia="方正书宋_GBK"/>
                <w:b/>
                <w:lang w:val="en-US" w:eastAsia="zh-CN"/>
              </w:rPr>
              <w:t>2.4</w:t>
            </w:r>
          </w:p>
        </w:tc>
        <w:tc>
          <w:tcPr>
            <w:tcW w:w="923" w:type="dxa"/>
            <w:vAlign w:val="center"/>
          </w:tcPr>
          <w:p>
            <w:pPr>
              <w:spacing w:line="300" w:lineRule="exact"/>
              <w:jc w:val="left"/>
              <w:rPr>
                <w:rFonts w:ascii="方正书宋_GBK" w:eastAsia="方正书宋_GBK"/>
                <w:b/>
              </w:rPr>
            </w:pPr>
          </w:p>
        </w:tc>
        <w:tc>
          <w:tcPr>
            <w:tcW w:w="926" w:type="dxa"/>
            <w:vAlign w:val="center"/>
          </w:tcPr>
          <w:p>
            <w:pPr>
              <w:spacing w:line="300" w:lineRule="exact"/>
              <w:jc w:val="right"/>
              <w:rPr>
                <w:rFonts w:ascii="方正书宋_GBK" w:eastAsia="方正书宋_GBK"/>
              </w:rPr>
            </w:pPr>
          </w:p>
        </w:tc>
        <w:tc>
          <w:tcPr>
            <w:tcW w:w="927"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r>
    </w:tbl>
    <w:p>
      <w:pPr>
        <w:spacing w:line="300" w:lineRule="exact"/>
        <w:jc w:val="left"/>
        <w:outlineLvl w:val="0"/>
      </w:pPr>
    </w:p>
    <w:p>
      <w:pPr>
        <w:spacing w:line="300" w:lineRule="exact"/>
        <w:jc w:val="left"/>
        <w:outlineLvl w:val="0"/>
      </w:pPr>
    </w:p>
    <w:p>
      <w:pPr>
        <w:spacing w:line="300" w:lineRule="exact"/>
        <w:jc w:val="left"/>
        <w:outlineLvl w:val="0"/>
      </w:pPr>
    </w:p>
    <w:p>
      <w:pPr>
        <w:spacing w:line="300" w:lineRule="exact"/>
        <w:jc w:val="left"/>
        <w:outlineLvl w:val="0"/>
      </w:pPr>
    </w:p>
    <w:p>
      <w:pPr>
        <w:spacing w:line="300" w:lineRule="exact"/>
        <w:jc w:val="left"/>
        <w:outlineLvl w:val="0"/>
      </w:pPr>
    </w:p>
    <w:p>
      <w:pPr>
        <w:spacing w:line="300" w:lineRule="exact"/>
        <w:jc w:val="left"/>
        <w:outlineLvl w:val="0"/>
      </w:pPr>
    </w:p>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pPr>
        <w:ind w:firstLine="640"/>
        <w:rPr>
          <w:rFonts w:ascii="仿宋_GB2312" w:hAnsi="黑体" w:eastAsia="仿宋_GB2312"/>
          <w:color w:val="auto"/>
          <w:sz w:val="32"/>
          <w:szCs w:val="32"/>
        </w:rPr>
      </w:pPr>
      <w:r>
        <w:rPr>
          <w:rFonts w:hint="eastAsia" w:ascii="仿宋_GB2312" w:hAnsi="黑体" w:eastAsia="仿宋_GB2312"/>
          <w:sz w:val="32"/>
          <w:szCs w:val="32"/>
          <w:lang w:eastAsia="zh-CN"/>
        </w:rPr>
        <w:t>馆陶县审计局</w:t>
      </w:r>
      <w:r>
        <w:rPr>
          <w:rFonts w:hint="eastAsia" w:ascii="仿宋_GB2312" w:hAnsi="黑体" w:eastAsia="仿宋_GB2312"/>
          <w:sz w:val="32"/>
          <w:szCs w:val="32"/>
          <w:lang w:val="en-US" w:eastAsia="zh-CN"/>
        </w:rPr>
        <w:t>2018</w:t>
      </w:r>
      <w:r>
        <w:rPr>
          <w:rFonts w:hint="eastAsia" w:ascii="仿宋_GB2312" w:hAnsi="黑体" w:eastAsia="仿宋_GB2312"/>
          <w:sz w:val="32"/>
          <w:szCs w:val="32"/>
        </w:rPr>
        <w:t>年末固定资产金额</w:t>
      </w:r>
      <w:r>
        <w:rPr>
          <w:rFonts w:hint="eastAsia" w:ascii="仿宋_GB2312" w:hAnsi="黑体" w:eastAsia="仿宋_GB2312"/>
          <w:color w:val="auto"/>
          <w:sz w:val="32"/>
          <w:szCs w:val="32"/>
        </w:rPr>
        <w:t>为</w:t>
      </w:r>
      <w:r>
        <w:rPr>
          <w:rFonts w:hint="eastAsia" w:ascii="仿宋_GB2312" w:hAnsi="黑体" w:eastAsia="仿宋_GB2312"/>
          <w:color w:val="auto"/>
          <w:sz w:val="32"/>
          <w:szCs w:val="32"/>
          <w:lang w:val="en-US" w:eastAsia="zh-CN"/>
        </w:rPr>
        <w:t>156.81</w:t>
      </w:r>
      <w:r>
        <w:rPr>
          <w:rFonts w:hint="eastAsia" w:ascii="仿宋_GB2312" w:hAnsi="黑体" w:eastAsia="仿宋_GB2312"/>
          <w:color w:val="auto"/>
          <w:sz w:val="32"/>
          <w:szCs w:val="32"/>
        </w:rPr>
        <w:t>万元（</w:t>
      </w:r>
      <w:r>
        <w:rPr>
          <w:rFonts w:hint="eastAsia" w:ascii="仿宋_GB2312" w:hAnsi="Times New Roman" w:eastAsia="仿宋_GB2312"/>
          <w:color w:val="auto"/>
          <w:sz w:val="32"/>
          <w:szCs w:val="32"/>
        </w:rPr>
        <w:t>详见下表），</w:t>
      </w:r>
      <w:r>
        <w:rPr>
          <w:rFonts w:hint="eastAsia" w:ascii="仿宋_GB2312" w:hAnsi="黑体" w:eastAsia="仿宋_GB2312"/>
          <w:color w:val="auto"/>
          <w:sz w:val="32"/>
          <w:szCs w:val="32"/>
        </w:rPr>
        <w:t>本年度我单位拟购置固定资产</w:t>
      </w:r>
      <w:r>
        <w:rPr>
          <w:rFonts w:hint="eastAsia" w:ascii="仿宋_GB2312" w:hAnsi="Times New Roman" w:eastAsia="仿宋_GB2312"/>
          <w:color w:val="auto"/>
          <w:sz w:val="32"/>
          <w:szCs w:val="32"/>
        </w:rPr>
        <w:t>总额为</w:t>
      </w:r>
      <w:r>
        <w:rPr>
          <w:rFonts w:hint="eastAsia" w:ascii="仿宋_GB2312" w:hAnsi="Times New Roman" w:eastAsia="仿宋_GB2312"/>
          <w:b w:val="0"/>
          <w:bCs w:val="0"/>
          <w:color w:val="auto"/>
          <w:sz w:val="32"/>
          <w:szCs w:val="32"/>
          <w:lang w:val="en-US" w:eastAsia="zh-CN"/>
        </w:rPr>
        <w:t>2.9</w:t>
      </w:r>
      <w:r>
        <w:rPr>
          <w:rFonts w:hint="eastAsia" w:ascii="仿宋_GB2312" w:hAnsi="Times New Roman" w:eastAsia="仿宋_GB2312"/>
          <w:b w:val="0"/>
          <w:bCs w:val="0"/>
          <w:color w:val="auto"/>
          <w:sz w:val="32"/>
          <w:szCs w:val="32"/>
        </w:rPr>
        <w:t>万元</w:t>
      </w:r>
      <w:r>
        <w:rPr>
          <w:rFonts w:hint="eastAsia" w:ascii="仿宋_GB2312" w:hAnsi="Times New Roman" w:eastAsia="仿宋_GB2312"/>
          <w:color w:val="auto"/>
          <w:sz w:val="32"/>
          <w:szCs w:val="32"/>
        </w:rPr>
        <w:t>，</w:t>
      </w:r>
      <w:r>
        <w:rPr>
          <w:rFonts w:hint="eastAsia" w:ascii="仿宋_GB2312" w:hAnsi="黑体" w:eastAsia="仿宋_GB2312"/>
          <w:color w:val="auto"/>
          <w:sz w:val="32"/>
          <w:szCs w:val="32"/>
        </w:rPr>
        <w:t>主要为</w:t>
      </w:r>
      <w:r>
        <w:rPr>
          <w:rFonts w:hint="eastAsia" w:ascii="仿宋_GB2312" w:hAnsi="黑体" w:eastAsia="仿宋_GB2312"/>
          <w:color w:val="auto"/>
          <w:sz w:val="32"/>
          <w:szCs w:val="32"/>
          <w:lang w:eastAsia="zh-CN"/>
        </w:rPr>
        <w:t>计算机设备及软件</w:t>
      </w:r>
      <w:r>
        <w:rPr>
          <w:rFonts w:hint="eastAsia" w:ascii="仿宋_GB2312" w:hAnsi="黑体" w:eastAsia="仿宋_GB2312"/>
          <w:color w:val="auto"/>
          <w:sz w:val="32"/>
          <w:szCs w:val="32"/>
          <w:lang w:val="en-US" w:eastAsia="zh-CN"/>
        </w:rPr>
        <w:t>等专用</w:t>
      </w:r>
      <w:r>
        <w:rPr>
          <w:rFonts w:hint="eastAsia" w:ascii="仿宋_GB2312" w:hAnsi="黑体" w:eastAsia="仿宋_GB2312"/>
          <w:color w:val="auto"/>
          <w:sz w:val="32"/>
          <w:szCs w:val="32"/>
          <w:lang w:eastAsia="zh-CN"/>
        </w:rPr>
        <w:t>设备</w:t>
      </w:r>
      <w:r>
        <w:rPr>
          <w:rFonts w:hint="eastAsia" w:ascii="仿宋_GB2312" w:hAnsi="黑体" w:eastAsia="仿宋_GB2312"/>
          <w:color w:val="auto"/>
          <w:sz w:val="32"/>
          <w:szCs w:val="32"/>
        </w:rPr>
        <w:t>，已列入政府采购预算，详见政府采购预算表。</w:t>
      </w:r>
    </w:p>
    <w:tbl>
      <w:tblPr>
        <w:tblStyle w:val="4"/>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ascii="宋体" w:cs="宋体"/>
                <w:b/>
                <w:color w:val="auto"/>
                <w:sz w:val="32"/>
                <w:szCs w:val="32"/>
              </w:rPr>
            </w:pPr>
            <w:r>
              <w:rPr>
                <w:rFonts w:hint="eastAsia" w:ascii="宋体" w:hAnsi="宋体" w:cs="宋体"/>
                <w:b/>
                <w:color w:val="auto"/>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4191" w:type="dxa"/>
            <w:vAlign w:val="bottom"/>
          </w:tcPr>
          <w:p>
            <w:pPr>
              <w:rPr>
                <w:rFonts w:ascii="Arial" w:hAnsi="Arial" w:cs="Arial"/>
                <w:color w:val="auto"/>
                <w:sz w:val="20"/>
                <w:szCs w:val="20"/>
              </w:rPr>
            </w:pPr>
          </w:p>
        </w:tc>
        <w:tc>
          <w:tcPr>
            <w:tcW w:w="1103" w:type="dxa"/>
            <w:vAlign w:val="bottom"/>
          </w:tcPr>
          <w:p>
            <w:pPr>
              <w:rPr>
                <w:rFonts w:ascii="Arial" w:hAnsi="Arial" w:cs="Arial"/>
                <w:color w:val="auto"/>
                <w:sz w:val="20"/>
                <w:szCs w:val="20"/>
              </w:rPr>
            </w:pPr>
          </w:p>
        </w:tc>
        <w:tc>
          <w:tcPr>
            <w:tcW w:w="1344" w:type="dxa"/>
            <w:vAlign w:val="bottom"/>
          </w:tcPr>
          <w:p>
            <w:pPr>
              <w:rPr>
                <w:rFonts w:ascii="Arial" w:hAnsi="Arial" w:cs="Arial"/>
                <w:color w:val="auto"/>
                <w:sz w:val="20"/>
                <w:szCs w:val="20"/>
              </w:rPr>
            </w:pPr>
          </w:p>
        </w:tc>
        <w:tc>
          <w:tcPr>
            <w:tcW w:w="1635" w:type="dxa"/>
            <w:vAlign w:val="bottom"/>
          </w:tcPr>
          <w:p>
            <w:pPr>
              <w:rPr>
                <w:rFonts w:ascii="Arial" w:hAnsi="Arial" w:cs="Arial"/>
                <w:color w:val="auto"/>
                <w:sz w:val="20"/>
                <w:szCs w:val="20"/>
              </w:rPr>
            </w:pPr>
          </w:p>
        </w:tc>
        <w:tc>
          <w:tcPr>
            <w:tcW w:w="3022" w:type="dxa"/>
            <w:vAlign w:val="bottom"/>
          </w:tcPr>
          <w:p>
            <w:pPr>
              <w:rPr>
                <w:rFonts w:ascii="Arial" w:hAnsi="Arial" w:cs="Arial"/>
                <w:color w:val="auto"/>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编制单位：</w:t>
            </w:r>
            <w:r>
              <w:rPr>
                <w:rFonts w:hint="eastAsia" w:ascii="宋体" w:hAnsi="宋体" w:cs="宋体"/>
                <w:color w:val="auto"/>
                <w:kern w:val="0"/>
                <w:sz w:val="24"/>
                <w:szCs w:val="24"/>
                <w:lang w:eastAsia="zh-CN"/>
              </w:rPr>
              <w:t>馆陶县审计局</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auto"/>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auto"/>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auto"/>
                <w:sz w:val="24"/>
                <w:szCs w:val="24"/>
              </w:rPr>
            </w:pPr>
            <w:r>
              <w:rPr>
                <w:rFonts w:ascii="宋体" w:hAnsi="宋体" w:cs="宋体"/>
                <w:color w:val="auto"/>
                <w:kern w:val="0"/>
                <w:sz w:val="24"/>
                <w:szCs w:val="24"/>
              </w:rPr>
              <w:t>201</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宋体" w:cs="宋体"/>
                <w:color w:val="auto"/>
                <w:sz w:val="24"/>
                <w:szCs w:val="24"/>
              </w:rPr>
            </w:pPr>
            <w:r>
              <w:rPr>
                <w:rFonts w:hint="eastAsia" w:ascii="宋体" w:hAnsi="宋体" w:cs="宋体"/>
                <w:color w:val="auto"/>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hint="eastAsia" w:ascii="宋体" w:hAnsi="宋体" w:cs="宋体"/>
                <w:color w:val="auto"/>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hint="eastAsia" w:ascii="宋体" w:hAnsi="宋体" w:cs="宋体"/>
                <w:color w:val="auto"/>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hint="eastAsia" w:ascii="宋体" w:hAnsi="宋体" w:cs="宋体"/>
                <w:color w:val="auto"/>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hint="eastAsia" w:ascii="宋体" w:hAnsi="宋体" w:cs="宋体"/>
                <w:color w:val="auto"/>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hint="eastAsia" w:ascii="宋体" w:hAnsi="宋体" w:cs="宋体"/>
                <w:color w:val="auto"/>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hint="eastAsia" w:ascii="宋体" w:hAnsi="宋体" w:cs="宋体"/>
                <w:color w:val="auto"/>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hint="eastAsia" w:ascii="宋体" w:hAnsi="宋体" w:cs="宋体"/>
                <w:color w:val="auto"/>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hint="eastAsia" w:ascii="宋体" w:hAnsi="宋体" w:cs="宋体"/>
                <w:color w:val="auto"/>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ascii="宋体" w:hAnsi="宋体" w:cs="宋体"/>
                <w:color w:val="auto"/>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ascii="宋体" w:hAnsi="宋体" w:cs="宋体"/>
                <w:color w:val="auto"/>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1,541,389.60</w:t>
            </w:r>
          </w:p>
        </w:tc>
        <w:tc>
          <w:tcPr>
            <w:tcW w:w="3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s="宋体"/>
                <w:color w:val="auto"/>
                <w:sz w:val="22"/>
                <w:lang w:val="en-US"/>
              </w:rPr>
            </w:pPr>
            <w:r>
              <w:rPr>
                <w:rFonts w:hint="eastAsia" w:ascii="宋体" w:hAnsi="宋体" w:cs="宋体"/>
                <w:i w:val="0"/>
                <w:color w:val="auto"/>
                <w:kern w:val="0"/>
                <w:sz w:val="22"/>
                <w:szCs w:val="22"/>
                <w:u w:val="none"/>
                <w:lang w:val="en-US" w:eastAsia="zh-CN" w:bidi="ar"/>
              </w:rPr>
              <w:t>1,568,099.6</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2"/>
              </w:rPr>
            </w:pPr>
            <w:r>
              <w:rPr>
                <w:rFonts w:ascii="宋体" w:hAnsi="宋体" w:cs="宋体"/>
                <w:color w:val="auto"/>
                <w:kern w:val="0"/>
                <w:sz w:val="22"/>
              </w:rPr>
              <w:t xml:space="preserve">  1</w:t>
            </w:r>
            <w:r>
              <w:rPr>
                <w:rFonts w:hint="eastAsia" w:ascii="宋体" w:hAnsi="宋体" w:cs="宋体"/>
                <w:color w:val="auto"/>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1,200.00</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1,200.00</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678,145.000</w:t>
            </w:r>
          </w:p>
        </w:tc>
        <w:tc>
          <w:tcPr>
            <w:tcW w:w="3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678,145.00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2"/>
              </w:rPr>
            </w:pPr>
            <w:r>
              <w:rPr>
                <w:rFonts w:ascii="宋体" w:hAnsi="宋体" w:cs="宋体"/>
                <w:color w:val="auto"/>
                <w:kern w:val="0"/>
                <w:sz w:val="22"/>
              </w:rPr>
              <w:t xml:space="preserve">        1.</w:t>
            </w:r>
            <w:r>
              <w:rPr>
                <w:rFonts w:hint="eastAsia" w:ascii="宋体" w:hAnsi="宋体" w:cs="宋体"/>
                <w:color w:val="auto"/>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1,200.00</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1,200.00</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678,145.00</w:t>
            </w:r>
          </w:p>
        </w:tc>
        <w:tc>
          <w:tcPr>
            <w:tcW w:w="3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678,145.00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2"/>
              </w:rPr>
            </w:pPr>
            <w:r>
              <w:rPr>
                <w:rFonts w:hint="eastAsia" w:ascii="宋体" w:hAnsi="宋体" w:cs="宋体"/>
                <w:color w:val="auto"/>
                <w:kern w:val="0"/>
                <w:sz w:val="22"/>
              </w:rPr>
              <w:t>　　</w:t>
            </w:r>
            <w:r>
              <w:rPr>
                <w:rFonts w:ascii="宋体" w:hAnsi="宋体" w:cs="宋体"/>
                <w:color w:val="auto"/>
                <w:kern w:val="0"/>
                <w:sz w:val="22"/>
              </w:rPr>
              <w:t xml:space="preserve">    2.</w:t>
            </w:r>
            <w:r>
              <w:rPr>
                <w:rFonts w:hint="eastAsia" w:ascii="宋体" w:hAnsi="宋体" w:cs="宋体"/>
                <w:color w:val="auto"/>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eastAsia="宋体" w:cs="宋体"/>
                <w:color w:val="auto"/>
                <w:sz w:val="22"/>
                <w:lang w:val="en-US" w:eastAsia="zh-CN"/>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2"/>
              </w:rPr>
            </w:pPr>
            <w:r>
              <w:rPr>
                <w:rFonts w:hint="eastAsia" w:ascii="宋体" w:hAnsi="宋体" w:cs="宋体"/>
                <w:color w:val="auto"/>
                <w:kern w:val="0"/>
                <w:sz w:val="22"/>
              </w:rPr>
              <w:t>　</w:t>
            </w:r>
            <w:r>
              <w:rPr>
                <w:rFonts w:ascii="宋体" w:hAnsi="宋体" w:cs="宋体"/>
                <w:color w:val="auto"/>
                <w:kern w:val="0"/>
                <w:sz w:val="22"/>
              </w:rPr>
              <w:t xml:space="preserve"> </w:t>
            </w:r>
            <w:r>
              <w:rPr>
                <w:rFonts w:hint="eastAsia" w:ascii="宋体" w:hAnsi="宋体" w:cs="宋体"/>
                <w:color w:val="auto"/>
                <w:kern w:val="0"/>
                <w:sz w:val="22"/>
              </w:rPr>
              <w:t>　</w:t>
            </w:r>
            <w:r>
              <w:rPr>
                <w:rFonts w:ascii="宋体" w:hAnsi="宋体" w:cs="宋体"/>
                <w:color w:val="auto"/>
                <w:kern w:val="0"/>
                <w:sz w:val="22"/>
              </w:rPr>
              <w:t xml:space="preserve">   3.</w:t>
            </w:r>
            <w:r>
              <w:rPr>
                <w:rFonts w:hint="eastAsia" w:ascii="宋体" w:hAnsi="宋体" w:cs="宋体"/>
                <w:color w:val="auto"/>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2"/>
              </w:rPr>
            </w:pPr>
            <w:r>
              <w:rPr>
                <w:rFonts w:ascii="宋体" w:hAnsi="宋体" w:cs="宋体"/>
                <w:color w:val="auto"/>
                <w:kern w:val="0"/>
                <w:sz w:val="22"/>
              </w:rPr>
              <w:t xml:space="preserve">  2</w:t>
            </w:r>
            <w:r>
              <w:rPr>
                <w:rFonts w:hint="eastAsia" w:ascii="宋体" w:hAnsi="宋体" w:cs="宋体"/>
                <w:color w:val="auto"/>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2"/>
              </w:rPr>
            </w:pPr>
            <w:r>
              <w:rPr>
                <w:rFonts w:ascii="宋体" w:hAnsi="宋体" w:cs="宋体"/>
                <w:color w:val="auto"/>
                <w:kern w:val="0"/>
                <w:sz w:val="22"/>
              </w:rPr>
              <w:t xml:space="preserve">  3</w:t>
            </w:r>
            <w:r>
              <w:rPr>
                <w:rFonts w:hint="eastAsia" w:ascii="宋体" w:hAnsi="宋体" w:cs="宋体"/>
                <w:color w:val="auto"/>
                <w:kern w:val="0"/>
                <w:sz w:val="22"/>
              </w:rPr>
              <w:t>、单价</w:t>
            </w:r>
            <w:r>
              <w:rPr>
                <w:rFonts w:ascii="宋体" w:hAnsi="宋体" w:cs="宋体"/>
                <w:color w:val="auto"/>
                <w:kern w:val="0"/>
                <w:sz w:val="22"/>
              </w:rPr>
              <w:t>50</w:t>
            </w:r>
            <w:r>
              <w:rPr>
                <w:rFonts w:hint="eastAsia" w:ascii="宋体" w:hAnsi="宋体" w:cs="宋体"/>
                <w:color w:val="auto"/>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2"/>
              </w:rPr>
            </w:pPr>
            <w:r>
              <w:rPr>
                <w:rFonts w:ascii="宋体" w:hAnsi="宋体" w:cs="宋体"/>
                <w:color w:val="auto"/>
                <w:kern w:val="0"/>
                <w:sz w:val="22"/>
              </w:rPr>
              <w:t xml:space="preserve">  4</w:t>
            </w:r>
            <w:r>
              <w:rPr>
                <w:rFonts w:hint="eastAsia" w:ascii="宋体" w:hAnsi="宋体" w:cs="宋体"/>
                <w:color w:val="auto"/>
                <w:kern w:val="0"/>
                <w:sz w:val="22"/>
              </w:rPr>
              <w:t>、单价</w:t>
            </w:r>
            <w:r>
              <w:rPr>
                <w:rFonts w:ascii="宋体" w:hAnsi="宋体" w:cs="宋体"/>
                <w:color w:val="auto"/>
                <w:kern w:val="0"/>
                <w:sz w:val="22"/>
              </w:rPr>
              <w:t>100</w:t>
            </w:r>
            <w:r>
              <w:rPr>
                <w:rFonts w:hint="eastAsia" w:ascii="宋体" w:hAnsi="宋体" w:cs="宋体"/>
                <w:color w:val="auto"/>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auto"/>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cs="宋体"/>
                <w:color w:val="auto"/>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auto"/>
                <w:sz w:val="22"/>
              </w:rPr>
            </w:pPr>
            <w:r>
              <w:rPr>
                <w:rFonts w:ascii="宋体" w:hAnsi="宋体" w:cs="宋体"/>
                <w:color w:val="auto"/>
                <w:kern w:val="0"/>
                <w:sz w:val="22"/>
              </w:rPr>
              <w:t xml:space="preserve">  5</w:t>
            </w:r>
            <w:r>
              <w:rPr>
                <w:rFonts w:hint="eastAsia" w:ascii="宋体" w:hAnsi="宋体" w:cs="宋体"/>
                <w:color w:val="auto"/>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ascii="宋体" w:hAnsi="宋体" w:cs="宋体"/>
                <w:color w:val="auto"/>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2"/>
              </w:rPr>
            </w:pPr>
            <w:r>
              <w:rPr>
                <w:rFonts w:ascii="宋体" w:hAnsi="宋体" w:cs="宋体"/>
                <w:color w:val="auto"/>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auto"/>
                <w:sz w:val="22"/>
              </w:rPr>
            </w:pPr>
            <w:r>
              <w:rPr>
                <w:rFonts w:hint="eastAsia" w:ascii="宋体" w:hAnsi="宋体" w:eastAsia="宋体" w:cs="宋体"/>
                <w:i w:val="0"/>
                <w:color w:val="auto"/>
                <w:kern w:val="0"/>
                <w:sz w:val="22"/>
                <w:szCs w:val="22"/>
                <w:u w:val="none"/>
                <w:lang w:val="en-US" w:eastAsia="zh-CN" w:bidi="ar"/>
              </w:rPr>
              <w:t>863,244.60</w:t>
            </w:r>
          </w:p>
        </w:tc>
        <w:tc>
          <w:tcPr>
            <w:tcW w:w="3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eastAsia="宋体" w:cs="宋体"/>
                <w:color w:val="auto"/>
                <w:sz w:val="22"/>
                <w:lang w:val="en-US" w:eastAsia="zh-CN"/>
              </w:rPr>
            </w:pPr>
            <w:r>
              <w:rPr>
                <w:rFonts w:hint="eastAsia" w:ascii="宋体" w:hAnsi="宋体" w:cs="宋体"/>
                <w:i w:val="0"/>
                <w:color w:val="auto"/>
                <w:kern w:val="0"/>
                <w:sz w:val="22"/>
                <w:szCs w:val="22"/>
                <w:u w:val="none"/>
                <w:lang w:val="en-US" w:eastAsia="zh-CN" w:bidi="ar"/>
              </w:rPr>
              <w:t>889,954.6</w:t>
            </w:r>
          </w:p>
        </w:tc>
      </w:tr>
    </w:tbl>
    <w:p>
      <w:pPr>
        <w:autoSpaceDE w:val="0"/>
        <w:autoSpaceDN w:val="0"/>
        <w:adjustRightInd w:val="0"/>
        <w:ind w:left="198" w:firstLine="640" w:firstLineChars="200"/>
        <w:jc w:val="left"/>
        <w:rPr>
          <w:rFonts w:ascii="黑体" w:hAnsi="黑体" w:eastAsia="黑体"/>
          <w:color w:val="auto"/>
          <w:sz w:val="32"/>
          <w:szCs w:val="32"/>
        </w:rPr>
      </w:pP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0"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numPr>
          <w:ilvl w:val="0"/>
          <w:numId w:val="0"/>
        </w:numPr>
        <w:rPr>
          <w:rFonts w:hint="eastAsia" w:ascii="黑体" w:hAnsi="黑体" w:eastAsia="黑体"/>
          <w:b/>
          <w:sz w:val="32"/>
          <w:szCs w:val="32"/>
          <w:lang w:val="en-US" w:eastAsia="zh-CN"/>
        </w:rPr>
      </w:pPr>
    </w:p>
    <w:p>
      <w:pPr>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1F1DE"/>
    <w:multiLevelType w:val="singleLevel"/>
    <w:tmpl w:val="9FC1F1D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9423F6"/>
    <w:rsid w:val="00046102"/>
    <w:rsid w:val="002B3E7A"/>
    <w:rsid w:val="004414ED"/>
    <w:rsid w:val="004526C4"/>
    <w:rsid w:val="009423F6"/>
    <w:rsid w:val="00AA041A"/>
    <w:rsid w:val="00AF693C"/>
    <w:rsid w:val="00D53C0D"/>
    <w:rsid w:val="00F00A7F"/>
    <w:rsid w:val="00FC1F0F"/>
    <w:rsid w:val="00FC6812"/>
    <w:rsid w:val="0321705A"/>
    <w:rsid w:val="036F4B09"/>
    <w:rsid w:val="09AB1311"/>
    <w:rsid w:val="0A1D75C3"/>
    <w:rsid w:val="0AA02C54"/>
    <w:rsid w:val="0BD129A6"/>
    <w:rsid w:val="0DC81FB5"/>
    <w:rsid w:val="10DE27E0"/>
    <w:rsid w:val="126369D8"/>
    <w:rsid w:val="13564617"/>
    <w:rsid w:val="145D5EAD"/>
    <w:rsid w:val="1806026D"/>
    <w:rsid w:val="181363E9"/>
    <w:rsid w:val="1CA559EB"/>
    <w:rsid w:val="1D10579C"/>
    <w:rsid w:val="1FBB4C2D"/>
    <w:rsid w:val="20442B8E"/>
    <w:rsid w:val="215556EE"/>
    <w:rsid w:val="22C5159E"/>
    <w:rsid w:val="244C3398"/>
    <w:rsid w:val="252314D1"/>
    <w:rsid w:val="2B684AC6"/>
    <w:rsid w:val="2E63214C"/>
    <w:rsid w:val="2E85064A"/>
    <w:rsid w:val="2EDE3FEC"/>
    <w:rsid w:val="30EB6B23"/>
    <w:rsid w:val="31ED26E3"/>
    <w:rsid w:val="3A755465"/>
    <w:rsid w:val="3C5147AC"/>
    <w:rsid w:val="3D457040"/>
    <w:rsid w:val="41376C04"/>
    <w:rsid w:val="442E37B8"/>
    <w:rsid w:val="46212F7B"/>
    <w:rsid w:val="47470EEE"/>
    <w:rsid w:val="4B5C1DB7"/>
    <w:rsid w:val="4C8B0F1B"/>
    <w:rsid w:val="55163EFA"/>
    <w:rsid w:val="560B67AD"/>
    <w:rsid w:val="56736153"/>
    <w:rsid w:val="583131A9"/>
    <w:rsid w:val="583D1687"/>
    <w:rsid w:val="59957EED"/>
    <w:rsid w:val="5DB102E6"/>
    <w:rsid w:val="5DCC290A"/>
    <w:rsid w:val="6AFE765D"/>
    <w:rsid w:val="6E713E78"/>
    <w:rsid w:val="6FC0077E"/>
    <w:rsid w:val="706A2FD0"/>
    <w:rsid w:val="70BE2A67"/>
    <w:rsid w:val="736D2097"/>
    <w:rsid w:val="75640B14"/>
    <w:rsid w:val="75937C1D"/>
    <w:rsid w:val="75C4568F"/>
    <w:rsid w:val="77696E38"/>
    <w:rsid w:val="7A5C1B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locked/>
    <w:uiPriority w:val="99"/>
    <w:rPr>
      <w:rFonts w:ascii="Calibri" w:hAnsi="Calibri" w:cs="Times New Roman"/>
      <w:sz w:val="18"/>
      <w:szCs w:val="18"/>
    </w:rPr>
  </w:style>
  <w:style w:type="character" w:customStyle="1" w:styleId="7">
    <w:name w:val="Header Char"/>
    <w:basedOn w:val="5"/>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487</Words>
  <Characters>2777</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Sally</cp:lastModifiedBy>
  <dcterms:modified xsi:type="dcterms:W3CDTF">2023-11-18T02:16:29Z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0B102DBE8A56428F99B8B3788C210DF7</vt:lpwstr>
  </property>
</Properties>
</file>