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359馆陶县融媒体中心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511.87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548.61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511.87</w:t>
            </w:r>
          </w:p>
        </w:tc>
        <w:tc>
          <w:tcPr>
            <w:tcW w:w="4535" w:type="dxa"/>
            <w:vAlign w:val="center"/>
          </w:tcPr>
          <w:p>
            <w:pPr>
              <w:pStyle w:val="15"/>
            </w:pPr>
            <w:r>
              <w:t>本年支出合计</w:t>
            </w:r>
          </w:p>
        </w:tc>
        <w:tc>
          <w:tcPr>
            <w:tcW w:w="2126" w:type="dxa"/>
            <w:vAlign w:val="center"/>
          </w:tcPr>
          <w:p>
            <w:pPr>
              <w:pStyle w:val="16"/>
            </w:pPr>
            <w:r>
              <w:t>564.87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53.00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564.87</w:t>
            </w:r>
          </w:p>
        </w:tc>
        <w:tc>
          <w:tcPr>
            <w:tcW w:w="4535" w:type="dxa"/>
            <w:vAlign w:val="center"/>
          </w:tcPr>
          <w:p>
            <w:pPr>
              <w:pStyle w:val="15"/>
            </w:pPr>
            <w:r>
              <w:t>支出总计</w:t>
            </w:r>
          </w:p>
        </w:tc>
        <w:tc>
          <w:tcPr>
            <w:tcW w:w="2126" w:type="dxa"/>
            <w:vAlign w:val="center"/>
          </w:tcPr>
          <w:p>
            <w:pPr>
              <w:pStyle w:val="16"/>
            </w:pPr>
            <w:r>
              <w:t>564.87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359馆陶县融媒体中心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564.87</w:t>
            </w:r>
          </w:p>
        </w:tc>
        <w:tc>
          <w:tcPr>
            <w:tcW w:w="1134" w:type="dxa"/>
            <w:vAlign w:val="center"/>
          </w:tcPr>
          <w:p>
            <w:pPr>
              <w:pStyle w:val="16"/>
            </w:pPr>
            <w:r>
              <w:t>511.87</w:t>
            </w:r>
          </w:p>
        </w:tc>
        <w:tc>
          <w:tcPr>
            <w:tcW w:w="1134" w:type="dxa"/>
            <w:vAlign w:val="center"/>
          </w:tcPr>
          <w:p>
            <w:pPr>
              <w:pStyle w:val="16"/>
            </w:pPr>
            <w:r>
              <w:t>511.87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548.61</w:t>
            </w:r>
          </w:p>
        </w:tc>
        <w:tc>
          <w:tcPr>
            <w:tcW w:w="1134" w:type="dxa"/>
            <w:vAlign w:val="center"/>
          </w:tcPr>
          <w:p>
            <w:pPr>
              <w:pStyle w:val="12"/>
            </w:pPr>
            <w:r>
              <w:t>495.61</w:t>
            </w:r>
          </w:p>
        </w:tc>
        <w:tc>
          <w:tcPr>
            <w:tcW w:w="1134" w:type="dxa"/>
            <w:vAlign w:val="center"/>
          </w:tcPr>
          <w:p>
            <w:pPr>
              <w:pStyle w:val="12"/>
            </w:pPr>
            <w:r>
              <w:t>495.61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20708</w:t>
            </w:r>
          </w:p>
        </w:tc>
        <w:tc>
          <w:tcPr>
            <w:tcW w:w="1559" w:type="dxa"/>
            <w:vAlign w:val="center"/>
          </w:tcPr>
          <w:p>
            <w:pPr>
              <w:pStyle w:val="13"/>
            </w:pPr>
            <w:r>
              <w:t>广播电视</w:t>
            </w:r>
          </w:p>
        </w:tc>
        <w:tc>
          <w:tcPr>
            <w:tcW w:w="1134" w:type="dxa"/>
            <w:vAlign w:val="center"/>
          </w:tcPr>
          <w:p>
            <w:pPr>
              <w:pStyle w:val="12"/>
            </w:pPr>
            <w:r>
              <w:t>459.41</w:t>
            </w:r>
          </w:p>
        </w:tc>
        <w:tc>
          <w:tcPr>
            <w:tcW w:w="1134" w:type="dxa"/>
            <w:vAlign w:val="center"/>
          </w:tcPr>
          <w:p>
            <w:pPr>
              <w:pStyle w:val="12"/>
            </w:pPr>
            <w:r>
              <w:t>459.41</w:t>
            </w:r>
          </w:p>
        </w:tc>
        <w:tc>
          <w:tcPr>
            <w:tcW w:w="1134" w:type="dxa"/>
            <w:vAlign w:val="center"/>
          </w:tcPr>
          <w:p>
            <w:pPr>
              <w:pStyle w:val="12"/>
            </w:pPr>
            <w:r>
              <w:t>459.41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2070808</w:t>
            </w:r>
          </w:p>
        </w:tc>
        <w:tc>
          <w:tcPr>
            <w:tcW w:w="1559" w:type="dxa"/>
            <w:vAlign w:val="center"/>
          </w:tcPr>
          <w:p>
            <w:pPr>
              <w:pStyle w:val="13"/>
            </w:pPr>
            <w:r>
              <w:t>广播电视事务</w:t>
            </w:r>
          </w:p>
        </w:tc>
        <w:tc>
          <w:tcPr>
            <w:tcW w:w="1134" w:type="dxa"/>
            <w:vAlign w:val="center"/>
          </w:tcPr>
          <w:p>
            <w:pPr>
              <w:pStyle w:val="12"/>
            </w:pPr>
            <w:r>
              <w:t>459.41</w:t>
            </w:r>
          </w:p>
        </w:tc>
        <w:tc>
          <w:tcPr>
            <w:tcW w:w="1134" w:type="dxa"/>
            <w:vAlign w:val="center"/>
          </w:tcPr>
          <w:p>
            <w:pPr>
              <w:pStyle w:val="12"/>
            </w:pPr>
            <w:r>
              <w:t>459.41</w:t>
            </w:r>
          </w:p>
        </w:tc>
        <w:tc>
          <w:tcPr>
            <w:tcW w:w="1134" w:type="dxa"/>
            <w:vAlign w:val="center"/>
          </w:tcPr>
          <w:p>
            <w:pPr>
              <w:pStyle w:val="12"/>
            </w:pPr>
            <w:r>
              <w:t>459.41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89.20</w:t>
            </w:r>
          </w:p>
        </w:tc>
        <w:tc>
          <w:tcPr>
            <w:tcW w:w="1134" w:type="dxa"/>
            <w:vAlign w:val="center"/>
          </w:tcPr>
          <w:p>
            <w:pPr>
              <w:pStyle w:val="12"/>
            </w:pPr>
            <w:r>
              <w:t>36.20</w:t>
            </w:r>
          </w:p>
        </w:tc>
        <w:tc>
          <w:tcPr>
            <w:tcW w:w="1134" w:type="dxa"/>
            <w:vAlign w:val="center"/>
          </w:tcPr>
          <w:p>
            <w:pPr>
              <w:pStyle w:val="12"/>
            </w:pPr>
            <w:r>
              <w:t>36.20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89.20</w:t>
            </w:r>
          </w:p>
        </w:tc>
        <w:tc>
          <w:tcPr>
            <w:tcW w:w="1134" w:type="dxa"/>
            <w:vAlign w:val="center"/>
          </w:tcPr>
          <w:p>
            <w:pPr>
              <w:pStyle w:val="12"/>
            </w:pPr>
            <w:r>
              <w:t>36.20</w:t>
            </w:r>
          </w:p>
        </w:tc>
        <w:tc>
          <w:tcPr>
            <w:tcW w:w="1134" w:type="dxa"/>
            <w:vAlign w:val="center"/>
          </w:tcPr>
          <w:p>
            <w:pPr>
              <w:pStyle w:val="12"/>
            </w:pPr>
            <w:r>
              <w:t>36.20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7.06</w:t>
            </w:r>
          </w:p>
        </w:tc>
        <w:tc>
          <w:tcPr>
            <w:tcW w:w="1134" w:type="dxa"/>
            <w:vAlign w:val="center"/>
          </w:tcPr>
          <w:p>
            <w:pPr>
              <w:pStyle w:val="12"/>
            </w:pPr>
            <w:r>
              <w:t>7.06</w:t>
            </w:r>
          </w:p>
        </w:tc>
        <w:tc>
          <w:tcPr>
            <w:tcW w:w="1134" w:type="dxa"/>
            <w:vAlign w:val="center"/>
          </w:tcPr>
          <w:p>
            <w:pPr>
              <w:pStyle w:val="12"/>
            </w:pPr>
            <w:r>
              <w:t>7.06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7.06</w:t>
            </w:r>
          </w:p>
        </w:tc>
        <w:tc>
          <w:tcPr>
            <w:tcW w:w="1134" w:type="dxa"/>
            <w:vAlign w:val="center"/>
          </w:tcPr>
          <w:p>
            <w:pPr>
              <w:pStyle w:val="12"/>
            </w:pPr>
            <w:r>
              <w:t>7.06</w:t>
            </w:r>
          </w:p>
        </w:tc>
        <w:tc>
          <w:tcPr>
            <w:tcW w:w="1134" w:type="dxa"/>
            <w:vAlign w:val="center"/>
          </w:tcPr>
          <w:p>
            <w:pPr>
              <w:pStyle w:val="12"/>
            </w:pPr>
            <w:r>
              <w:t>7.06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7.06</w:t>
            </w:r>
          </w:p>
        </w:tc>
        <w:tc>
          <w:tcPr>
            <w:tcW w:w="1134" w:type="dxa"/>
            <w:vAlign w:val="center"/>
          </w:tcPr>
          <w:p>
            <w:pPr>
              <w:pStyle w:val="12"/>
            </w:pPr>
            <w:r>
              <w:t>7.06</w:t>
            </w:r>
          </w:p>
        </w:tc>
        <w:tc>
          <w:tcPr>
            <w:tcW w:w="1134" w:type="dxa"/>
            <w:vAlign w:val="center"/>
          </w:tcPr>
          <w:p>
            <w:pPr>
              <w:pStyle w:val="12"/>
            </w:pPr>
            <w:r>
              <w:t>7.06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3.65</w:t>
            </w:r>
          </w:p>
        </w:tc>
        <w:tc>
          <w:tcPr>
            <w:tcW w:w="1134" w:type="dxa"/>
            <w:vAlign w:val="center"/>
          </w:tcPr>
          <w:p>
            <w:pPr>
              <w:pStyle w:val="12"/>
            </w:pPr>
            <w:r>
              <w:t>3.65</w:t>
            </w:r>
          </w:p>
        </w:tc>
        <w:tc>
          <w:tcPr>
            <w:tcW w:w="1134" w:type="dxa"/>
            <w:vAlign w:val="center"/>
          </w:tcPr>
          <w:p>
            <w:pPr>
              <w:pStyle w:val="12"/>
            </w:pPr>
            <w:r>
              <w:t>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3.65</w:t>
            </w:r>
          </w:p>
        </w:tc>
        <w:tc>
          <w:tcPr>
            <w:tcW w:w="1134" w:type="dxa"/>
            <w:vAlign w:val="center"/>
          </w:tcPr>
          <w:p>
            <w:pPr>
              <w:pStyle w:val="12"/>
            </w:pPr>
            <w:r>
              <w:t>3.65</w:t>
            </w:r>
          </w:p>
        </w:tc>
        <w:tc>
          <w:tcPr>
            <w:tcW w:w="1134" w:type="dxa"/>
            <w:vAlign w:val="center"/>
          </w:tcPr>
          <w:p>
            <w:pPr>
              <w:pStyle w:val="12"/>
            </w:pPr>
            <w:r>
              <w:t>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3.65</w:t>
            </w:r>
          </w:p>
        </w:tc>
        <w:tc>
          <w:tcPr>
            <w:tcW w:w="1134" w:type="dxa"/>
            <w:vAlign w:val="center"/>
          </w:tcPr>
          <w:p>
            <w:pPr>
              <w:pStyle w:val="12"/>
            </w:pPr>
            <w:r>
              <w:t>3.65</w:t>
            </w:r>
          </w:p>
        </w:tc>
        <w:tc>
          <w:tcPr>
            <w:tcW w:w="1134" w:type="dxa"/>
            <w:vAlign w:val="center"/>
          </w:tcPr>
          <w:p>
            <w:pPr>
              <w:pStyle w:val="12"/>
            </w:pPr>
            <w:r>
              <w:t>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359馆陶县融媒体中心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564.87</w:t>
            </w:r>
          </w:p>
        </w:tc>
        <w:tc>
          <w:tcPr>
            <w:tcW w:w="1361" w:type="dxa"/>
            <w:vAlign w:val="center"/>
          </w:tcPr>
          <w:p>
            <w:pPr>
              <w:pStyle w:val="16"/>
            </w:pPr>
            <w:r>
              <w:t>150.27</w:t>
            </w:r>
          </w:p>
        </w:tc>
        <w:tc>
          <w:tcPr>
            <w:tcW w:w="1361" w:type="dxa"/>
            <w:vAlign w:val="center"/>
          </w:tcPr>
          <w:p>
            <w:pPr>
              <w:pStyle w:val="16"/>
            </w:pPr>
            <w:r>
              <w:t>414.60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548.61</w:t>
            </w:r>
          </w:p>
        </w:tc>
        <w:tc>
          <w:tcPr>
            <w:tcW w:w="1361" w:type="dxa"/>
            <w:vAlign w:val="center"/>
          </w:tcPr>
          <w:p>
            <w:pPr>
              <w:pStyle w:val="12"/>
            </w:pPr>
            <w:r>
              <w:t>134.01</w:t>
            </w:r>
          </w:p>
        </w:tc>
        <w:tc>
          <w:tcPr>
            <w:tcW w:w="1361" w:type="dxa"/>
            <w:vAlign w:val="center"/>
          </w:tcPr>
          <w:p>
            <w:pPr>
              <w:pStyle w:val="12"/>
            </w:pPr>
            <w:r>
              <w:t>414.60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20708</w:t>
            </w:r>
          </w:p>
        </w:tc>
        <w:tc>
          <w:tcPr>
            <w:tcW w:w="4535" w:type="dxa"/>
            <w:vAlign w:val="center"/>
          </w:tcPr>
          <w:p>
            <w:pPr>
              <w:pStyle w:val="13"/>
            </w:pPr>
            <w:r>
              <w:t>广播电视</w:t>
            </w:r>
          </w:p>
        </w:tc>
        <w:tc>
          <w:tcPr>
            <w:tcW w:w="1361" w:type="dxa"/>
            <w:vAlign w:val="center"/>
          </w:tcPr>
          <w:p>
            <w:pPr>
              <w:pStyle w:val="12"/>
            </w:pPr>
            <w:r>
              <w:t>459.41</w:t>
            </w:r>
          </w:p>
        </w:tc>
        <w:tc>
          <w:tcPr>
            <w:tcW w:w="1361" w:type="dxa"/>
            <w:vAlign w:val="center"/>
          </w:tcPr>
          <w:p>
            <w:pPr>
              <w:pStyle w:val="12"/>
            </w:pPr>
            <w:r>
              <w:t>134.01</w:t>
            </w:r>
          </w:p>
        </w:tc>
        <w:tc>
          <w:tcPr>
            <w:tcW w:w="1361" w:type="dxa"/>
            <w:vAlign w:val="center"/>
          </w:tcPr>
          <w:p>
            <w:pPr>
              <w:pStyle w:val="12"/>
            </w:pPr>
            <w:r>
              <w:t>325.40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2070808</w:t>
            </w:r>
          </w:p>
        </w:tc>
        <w:tc>
          <w:tcPr>
            <w:tcW w:w="4535" w:type="dxa"/>
            <w:vAlign w:val="center"/>
          </w:tcPr>
          <w:p>
            <w:pPr>
              <w:pStyle w:val="13"/>
            </w:pPr>
            <w:r>
              <w:t>广播电视事务</w:t>
            </w:r>
          </w:p>
        </w:tc>
        <w:tc>
          <w:tcPr>
            <w:tcW w:w="1361" w:type="dxa"/>
            <w:vAlign w:val="center"/>
          </w:tcPr>
          <w:p>
            <w:pPr>
              <w:pStyle w:val="12"/>
            </w:pPr>
            <w:r>
              <w:t>459.41</w:t>
            </w:r>
          </w:p>
        </w:tc>
        <w:tc>
          <w:tcPr>
            <w:tcW w:w="1361" w:type="dxa"/>
            <w:vAlign w:val="center"/>
          </w:tcPr>
          <w:p>
            <w:pPr>
              <w:pStyle w:val="12"/>
            </w:pPr>
            <w:r>
              <w:t>134.01</w:t>
            </w:r>
          </w:p>
        </w:tc>
        <w:tc>
          <w:tcPr>
            <w:tcW w:w="1361" w:type="dxa"/>
            <w:vAlign w:val="center"/>
          </w:tcPr>
          <w:p>
            <w:pPr>
              <w:pStyle w:val="12"/>
            </w:pPr>
            <w:r>
              <w:t>325.40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89.20</w:t>
            </w:r>
          </w:p>
        </w:tc>
        <w:tc>
          <w:tcPr>
            <w:tcW w:w="1361" w:type="dxa"/>
            <w:vAlign w:val="center"/>
          </w:tcPr>
          <w:p>
            <w:pPr>
              <w:pStyle w:val="12"/>
            </w:pPr>
          </w:p>
        </w:tc>
        <w:tc>
          <w:tcPr>
            <w:tcW w:w="1361" w:type="dxa"/>
            <w:vAlign w:val="center"/>
          </w:tcPr>
          <w:p>
            <w:pPr>
              <w:pStyle w:val="12"/>
            </w:pPr>
            <w:r>
              <w:t>89.20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89.20</w:t>
            </w:r>
          </w:p>
        </w:tc>
        <w:tc>
          <w:tcPr>
            <w:tcW w:w="1361" w:type="dxa"/>
            <w:vAlign w:val="center"/>
          </w:tcPr>
          <w:p>
            <w:pPr>
              <w:pStyle w:val="12"/>
            </w:pPr>
          </w:p>
        </w:tc>
        <w:tc>
          <w:tcPr>
            <w:tcW w:w="1361" w:type="dxa"/>
            <w:vAlign w:val="center"/>
          </w:tcPr>
          <w:p>
            <w:pPr>
              <w:pStyle w:val="12"/>
            </w:pPr>
            <w:r>
              <w:t>89.20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7.06</w:t>
            </w:r>
          </w:p>
        </w:tc>
        <w:tc>
          <w:tcPr>
            <w:tcW w:w="1361" w:type="dxa"/>
            <w:vAlign w:val="center"/>
          </w:tcPr>
          <w:p>
            <w:pPr>
              <w:pStyle w:val="12"/>
            </w:pPr>
            <w:r>
              <w:t>7.06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7.06</w:t>
            </w:r>
          </w:p>
        </w:tc>
        <w:tc>
          <w:tcPr>
            <w:tcW w:w="1361" w:type="dxa"/>
            <w:vAlign w:val="center"/>
          </w:tcPr>
          <w:p>
            <w:pPr>
              <w:pStyle w:val="12"/>
            </w:pPr>
            <w:r>
              <w:t>7.06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7.06</w:t>
            </w:r>
          </w:p>
        </w:tc>
        <w:tc>
          <w:tcPr>
            <w:tcW w:w="1361" w:type="dxa"/>
            <w:vAlign w:val="center"/>
          </w:tcPr>
          <w:p>
            <w:pPr>
              <w:pStyle w:val="12"/>
            </w:pPr>
            <w:r>
              <w:t>7.06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3.65</w:t>
            </w:r>
          </w:p>
        </w:tc>
        <w:tc>
          <w:tcPr>
            <w:tcW w:w="1361" w:type="dxa"/>
            <w:vAlign w:val="center"/>
          </w:tcPr>
          <w:p>
            <w:pPr>
              <w:pStyle w:val="12"/>
            </w:pPr>
            <w:r>
              <w:t>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3.65</w:t>
            </w:r>
          </w:p>
        </w:tc>
        <w:tc>
          <w:tcPr>
            <w:tcW w:w="1361" w:type="dxa"/>
            <w:vAlign w:val="center"/>
          </w:tcPr>
          <w:p>
            <w:pPr>
              <w:pStyle w:val="12"/>
            </w:pPr>
            <w:r>
              <w:t>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3.65</w:t>
            </w:r>
          </w:p>
        </w:tc>
        <w:tc>
          <w:tcPr>
            <w:tcW w:w="1361" w:type="dxa"/>
            <w:vAlign w:val="center"/>
          </w:tcPr>
          <w:p>
            <w:pPr>
              <w:pStyle w:val="12"/>
            </w:pPr>
            <w:r>
              <w:t>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5.55</w:t>
            </w:r>
          </w:p>
        </w:tc>
        <w:tc>
          <w:tcPr>
            <w:tcW w:w="1361" w:type="dxa"/>
            <w:vAlign w:val="center"/>
          </w:tcPr>
          <w:p>
            <w:pPr>
              <w:pStyle w:val="12"/>
            </w:pPr>
            <w:r>
              <w:t>5.55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5.55</w:t>
            </w:r>
          </w:p>
        </w:tc>
        <w:tc>
          <w:tcPr>
            <w:tcW w:w="1361" w:type="dxa"/>
            <w:vAlign w:val="center"/>
          </w:tcPr>
          <w:p>
            <w:pPr>
              <w:pStyle w:val="12"/>
            </w:pPr>
            <w:r>
              <w:t>5.55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5.55</w:t>
            </w:r>
          </w:p>
        </w:tc>
        <w:tc>
          <w:tcPr>
            <w:tcW w:w="1361" w:type="dxa"/>
            <w:vAlign w:val="center"/>
          </w:tcPr>
          <w:p>
            <w:pPr>
              <w:pStyle w:val="12"/>
            </w:pPr>
            <w:r>
              <w:t>5.55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359馆陶县融媒体中心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511.87</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548.61</w:t>
            </w:r>
          </w:p>
        </w:tc>
        <w:tc>
          <w:tcPr>
            <w:tcW w:w="1474" w:type="dxa"/>
            <w:vAlign w:val="center"/>
          </w:tcPr>
          <w:p>
            <w:pPr>
              <w:pStyle w:val="12"/>
            </w:pPr>
            <w:r>
              <w:t>548.61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7.06</w:t>
            </w:r>
          </w:p>
        </w:tc>
        <w:tc>
          <w:tcPr>
            <w:tcW w:w="1474" w:type="dxa"/>
            <w:vAlign w:val="center"/>
          </w:tcPr>
          <w:p>
            <w:pPr>
              <w:pStyle w:val="12"/>
            </w:pPr>
            <w:r>
              <w:t>7.06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3.65</w:t>
            </w:r>
          </w:p>
        </w:tc>
        <w:tc>
          <w:tcPr>
            <w:tcW w:w="1474" w:type="dxa"/>
            <w:vAlign w:val="center"/>
          </w:tcPr>
          <w:p>
            <w:pPr>
              <w:pStyle w:val="12"/>
            </w:pPr>
            <w:r>
              <w:t>3.65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5.55</w:t>
            </w:r>
          </w:p>
        </w:tc>
        <w:tc>
          <w:tcPr>
            <w:tcW w:w="1474" w:type="dxa"/>
            <w:vAlign w:val="center"/>
          </w:tcPr>
          <w:p>
            <w:pPr>
              <w:pStyle w:val="12"/>
            </w:pPr>
            <w:r>
              <w:t>5.55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511.87</w:t>
            </w:r>
          </w:p>
        </w:tc>
        <w:tc>
          <w:tcPr>
            <w:tcW w:w="3402" w:type="dxa"/>
            <w:vAlign w:val="center"/>
          </w:tcPr>
          <w:p>
            <w:pPr>
              <w:pStyle w:val="15"/>
            </w:pPr>
            <w:r>
              <w:t>本年支出合计</w:t>
            </w:r>
          </w:p>
        </w:tc>
        <w:tc>
          <w:tcPr>
            <w:tcW w:w="1474" w:type="dxa"/>
            <w:vAlign w:val="center"/>
          </w:tcPr>
          <w:p>
            <w:pPr>
              <w:pStyle w:val="16"/>
            </w:pPr>
            <w:r>
              <w:t>564.87</w:t>
            </w:r>
          </w:p>
        </w:tc>
        <w:tc>
          <w:tcPr>
            <w:tcW w:w="1474" w:type="dxa"/>
            <w:vAlign w:val="center"/>
          </w:tcPr>
          <w:p>
            <w:pPr>
              <w:pStyle w:val="16"/>
            </w:pPr>
            <w:r>
              <w:t>564.87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r>
              <w:t>53.00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r>
              <w:t>53.00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564.87</w:t>
            </w:r>
          </w:p>
        </w:tc>
        <w:tc>
          <w:tcPr>
            <w:tcW w:w="3402" w:type="dxa"/>
            <w:vAlign w:val="center"/>
          </w:tcPr>
          <w:p>
            <w:pPr>
              <w:pStyle w:val="15"/>
            </w:pPr>
            <w:r>
              <w:t>支出总计</w:t>
            </w:r>
          </w:p>
        </w:tc>
        <w:tc>
          <w:tcPr>
            <w:tcW w:w="1474" w:type="dxa"/>
            <w:vAlign w:val="center"/>
          </w:tcPr>
          <w:p>
            <w:pPr>
              <w:pStyle w:val="16"/>
            </w:pPr>
            <w:r>
              <w:t>564.87</w:t>
            </w:r>
          </w:p>
        </w:tc>
        <w:tc>
          <w:tcPr>
            <w:tcW w:w="1474" w:type="dxa"/>
            <w:vAlign w:val="center"/>
          </w:tcPr>
          <w:p>
            <w:pPr>
              <w:pStyle w:val="16"/>
            </w:pPr>
            <w:r>
              <w:t>564.87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359馆陶县融媒体中心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564.87</w:t>
            </w:r>
          </w:p>
        </w:tc>
        <w:tc>
          <w:tcPr>
            <w:tcW w:w="2551" w:type="dxa"/>
            <w:vAlign w:val="center"/>
          </w:tcPr>
          <w:p>
            <w:pPr>
              <w:pStyle w:val="16"/>
            </w:pPr>
            <w:r>
              <w:t>150.27</w:t>
            </w:r>
          </w:p>
        </w:tc>
        <w:tc>
          <w:tcPr>
            <w:tcW w:w="2551" w:type="dxa"/>
            <w:vAlign w:val="center"/>
          </w:tcPr>
          <w:p>
            <w:pPr>
              <w:pStyle w:val="16"/>
            </w:pPr>
            <w:r>
              <w:t>414.60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548.61</w:t>
            </w:r>
          </w:p>
        </w:tc>
        <w:tc>
          <w:tcPr>
            <w:tcW w:w="2551" w:type="dxa"/>
            <w:vAlign w:val="center"/>
          </w:tcPr>
          <w:p>
            <w:pPr>
              <w:pStyle w:val="12"/>
            </w:pPr>
            <w:r>
              <w:t>134.01</w:t>
            </w:r>
          </w:p>
        </w:tc>
        <w:tc>
          <w:tcPr>
            <w:tcW w:w="2551" w:type="dxa"/>
            <w:vAlign w:val="center"/>
          </w:tcPr>
          <w:p>
            <w:pPr>
              <w:pStyle w:val="12"/>
            </w:pPr>
            <w:r>
              <w:t>414.60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20708</w:t>
            </w:r>
          </w:p>
        </w:tc>
        <w:tc>
          <w:tcPr>
            <w:tcW w:w="4535" w:type="dxa"/>
            <w:vAlign w:val="center"/>
          </w:tcPr>
          <w:p>
            <w:pPr>
              <w:pStyle w:val="13"/>
            </w:pPr>
            <w:r>
              <w:t>广播电视</w:t>
            </w:r>
          </w:p>
        </w:tc>
        <w:tc>
          <w:tcPr>
            <w:tcW w:w="2551" w:type="dxa"/>
            <w:vAlign w:val="center"/>
          </w:tcPr>
          <w:p>
            <w:pPr>
              <w:pStyle w:val="12"/>
            </w:pPr>
            <w:r>
              <w:t>459.41</w:t>
            </w:r>
          </w:p>
        </w:tc>
        <w:tc>
          <w:tcPr>
            <w:tcW w:w="2551" w:type="dxa"/>
            <w:vAlign w:val="center"/>
          </w:tcPr>
          <w:p>
            <w:pPr>
              <w:pStyle w:val="12"/>
            </w:pPr>
            <w:r>
              <w:t>134.01</w:t>
            </w:r>
          </w:p>
        </w:tc>
        <w:tc>
          <w:tcPr>
            <w:tcW w:w="2551" w:type="dxa"/>
            <w:vAlign w:val="center"/>
          </w:tcPr>
          <w:p>
            <w:pPr>
              <w:pStyle w:val="12"/>
            </w:pPr>
            <w:r>
              <w:t>325.40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2070808</w:t>
            </w:r>
          </w:p>
        </w:tc>
        <w:tc>
          <w:tcPr>
            <w:tcW w:w="4535" w:type="dxa"/>
            <w:vAlign w:val="center"/>
          </w:tcPr>
          <w:p>
            <w:pPr>
              <w:pStyle w:val="13"/>
            </w:pPr>
            <w:r>
              <w:t>广播电视事务</w:t>
            </w:r>
          </w:p>
        </w:tc>
        <w:tc>
          <w:tcPr>
            <w:tcW w:w="2551" w:type="dxa"/>
            <w:vAlign w:val="center"/>
          </w:tcPr>
          <w:p>
            <w:pPr>
              <w:pStyle w:val="12"/>
            </w:pPr>
            <w:r>
              <w:t>459.41</w:t>
            </w:r>
          </w:p>
        </w:tc>
        <w:tc>
          <w:tcPr>
            <w:tcW w:w="2551" w:type="dxa"/>
            <w:vAlign w:val="center"/>
          </w:tcPr>
          <w:p>
            <w:pPr>
              <w:pStyle w:val="12"/>
            </w:pPr>
            <w:r>
              <w:t>134.01</w:t>
            </w:r>
          </w:p>
        </w:tc>
        <w:tc>
          <w:tcPr>
            <w:tcW w:w="2551" w:type="dxa"/>
            <w:vAlign w:val="center"/>
          </w:tcPr>
          <w:p>
            <w:pPr>
              <w:pStyle w:val="12"/>
            </w:pPr>
            <w:r>
              <w:t>325.40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89.20</w:t>
            </w:r>
          </w:p>
        </w:tc>
        <w:tc>
          <w:tcPr>
            <w:tcW w:w="2551" w:type="dxa"/>
            <w:vAlign w:val="center"/>
          </w:tcPr>
          <w:p>
            <w:pPr>
              <w:pStyle w:val="12"/>
            </w:pPr>
          </w:p>
        </w:tc>
        <w:tc>
          <w:tcPr>
            <w:tcW w:w="2551" w:type="dxa"/>
            <w:vAlign w:val="center"/>
          </w:tcPr>
          <w:p>
            <w:pPr>
              <w:pStyle w:val="12"/>
            </w:pPr>
            <w:r>
              <w:t>89.20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89.20</w:t>
            </w:r>
          </w:p>
        </w:tc>
        <w:tc>
          <w:tcPr>
            <w:tcW w:w="2551" w:type="dxa"/>
            <w:vAlign w:val="center"/>
          </w:tcPr>
          <w:p>
            <w:pPr>
              <w:pStyle w:val="12"/>
            </w:pPr>
          </w:p>
        </w:tc>
        <w:tc>
          <w:tcPr>
            <w:tcW w:w="2551" w:type="dxa"/>
            <w:vAlign w:val="center"/>
          </w:tcPr>
          <w:p>
            <w:pPr>
              <w:pStyle w:val="12"/>
            </w:pPr>
            <w:r>
              <w:t>89.20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7.06</w:t>
            </w:r>
          </w:p>
        </w:tc>
        <w:tc>
          <w:tcPr>
            <w:tcW w:w="2551" w:type="dxa"/>
            <w:vAlign w:val="center"/>
          </w:tcPr>
          <w:p>
            <w:pPr>
              <w:pStyle w:val="12"/>
            </w:pPr>
            <w:r>
              <w:t>7.06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7.06</w:t>
            </w:r>
          </w:p>
        </w:tc>
        <w:tc>
          <w:tcPr>
            <w:tcW w:w="2551" w:type="dxa"/>
            <w:vAlign w:val="center"/>
          </w:tcPr>
          <w:p>
            <w:pPr>
              <w:pStyle w:val="12"/>
            </w:pPr>
            <w:r>
              <w:t>7.06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7.06</w:t>
            </w:r>
          </w:p>
        </w:tc>
        <w:tc>
          <w:tcPr>
            <w:tcW w:w="2551" w:type="dxa"/>
            <w:vAlign w:val="center"/>
          </w:tcPr>
          <w:p>
            <w:pPr>
              <w:pStyle w:val="12"/>
            </w:pPr>
            <w:r>
              <w:t>7.06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3.65</w:t>
            </w:r>
          </w:p>
        </w:tc>
        <w:tc>
          <w:tcPr>
            <w:tcW w:w="2551" w:type="dxa"/>
            <w:vAlign w:val="center"/>
          </w:tcPr>
          <w:p>
            <w:pPr>
              <w:pStyle w:val="12"/>
            </w:pPr>
            <w:r>
              <w:t>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3.65</w:t>
            </w:r>
          </w:p>
        </w:tc>
        <w:tc>
          <w:tcPr>
            <w:tcW w:w="2551" w:type="dxa"/>
            <w:vAlign w:val="center"/>
          </w:tcPr>
          <w:p>
            <w:pPr>
              <w:pStyle w:val="12"/>
            </w:pPr>
            <w:r>
              <w:t>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3.65</w:t>
            </w:r>
          </w:p>
        </w:tc>
        <w:tc>
          <w:tcPr>
            <w:tcW w:w="2551" w:type="dxa"/>
            <w:vAlign w:val="center"/>
          </w:tcPr>
          <w:p>
            <w:pPr>
              <w:pStyle w:val="12"/>
            </w:pPr>
            <w:r>
              <w:t>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5.55</w:t>
            </w:r>
          </w:p>
        </w:tc>
        <w:tc>
          <w:tcPr>
            <w:tcW w:w="2551" w:type="dxa"/>
            <w:vAlign w:val="center"/>
          </w:tcPr>
          <w:p>
            <w:pPr>
              <w:pStyle w:val="12"/>
            </w:pPr>
            <w:r>
              <w:t>5.55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5.55</w:t>
            </w:r>
          </w:p>
        </w:tc>
        <w:tc>
          <w:tcPr>
            <w:tcW w:w="2551" w:type="dxa"/>
            <w:vAlign w:val="center"/>
          </w:tcPr>
          <w:p>
            <w:pPr>
              <w:pStyle w:val="12"/>
            </w:pPr>
            <w:r>
              <w:t>5.55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5.55</w:t>
            </w:r>
          </w:p>
        </w:tc>
        <w:tc>
          <w:tcPr>
            <w:tcW w:w="2551" w:type="dxa"/>
            <w:vAlign w:val="center"/>
          </w:tcPr>
          <w:p>
            <w:pPr>
              <w:pStyle w:val="12"/>
            </w:pPr>
            <w:r>
              <w:t>5.55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359馆陶县融媒体中心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150.27</w:t>
            </w:r>
          </w:p>
        </w:tc>
        <w:tc>
          <w:tcPr>
            <w:tcW w:w="2551" w:type="dxa"/>
            <w:vAlign w:val="center"/>
          </w:tcPr>
          <w:p>
            <w:pPr>
              <w:pStyle w:val="16"/>
            </w:pPr>
            <w:r>
              <w:t>150.27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150.27</w:t>
            </w:r>
          </w:p>
        </w:tc>
        <w:tc>
          <w:tcPr>
            <w:tcW w:w="2551" w:type="dxa"/>
            <w:vAlign w:val="center"/>
          </w:tcPr>
          <w:p>
            <w:pPr>
              <w:pStyle w:val="12"/>
            </w:pPr>
            <w:r>
              <w:t>150.27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41.00</w:t>
            </w:r>
          </w:p>
        </w:tc>
        <w:tc>
          <w:tcPr>
            <w:tcW w:w="2551" w:type="dxa"/>
            <w:vAlign w:val="center"/>
          </w:tcPr>
          <w:p>
            <w:pPr>
              <w:pStyle w:val="12"/>
            </w:pPr>
            <w:r>
              <w:t>41.00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2.83</w:t>
            </w:r>
          </w:p>
        </w:tc>
        <w:tc>
          <w:tcPr>
            <w:tcW w:w="2551" w:type="dxa"/>
            <w:vAlign w:val="center"/>
          </w:tcPr>
          <w:p>
            <w:pPr>
              <w:pStyle w:val="12"/>
            </w:pPr>
            <w:r>
              <w:t>2.83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16.98</w:t>
            </w:r>
          </w:p>
        </w:tc>
        <w:tc>
          <w:tcPr>
            <w:tcW w:w="2551" w:type="dxa"/>
            <w:vAlign w:val="center"/>
          </w:tcPr>
          <w:p>
            <w:pPr>
              <w:pStyle w:val="12"/>
            </w:pPr>
            <w:r>
              <w:t>16.98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7.06</w:t>
            </w:r>
          </w:p>
        </w:tc>
        <w:tc>
          <w:tcPr>
            <w:tcW w:w="2551" w:type="dxa"/>
            <w:vAlign w:val="center"/>
          </w:tcPr>
          <w:p>
            <w:pPr>
              <w:pStyle w:val="12"/>
            </w:pPr>
            <w:r>
              <w:t>7.06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3.65</w:t>
            </w:r>
          </w:p>
        </w:tc>
        <w:tc>
          <w:tcPr>
            <w:tcW w:w="2551" w:type="dxa"/>
            <w:vAlign w:val="center"/>
          </w:tcPr>
          <w:p>
            <w:pPr>
              <w:pStyle w:val="12"/>
            </w:pPr>
            <w:r>
              <w:t>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0.20</w:t>
            </w:r>
          </w:p>
        </w:tc>
        <w:tc>
          <w:tcPr>
            <w:tcW w:w="2551" w:type="dxa"/>
            <w:vAlign w:val="center"/>
          </w:tcPr>
          <w:p>
            <w:pPr>
              <w:pStyle w:val="12"/>
            </w:pPr>
            <w:r>
              <w:t>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5.55</w:t>
            </w:r>
          </w:p>
        </w:tc>
        <w:tc>
          <w:tcPr>
            <w:tcW w:w="2551" w:type="dxa"/>
            <w:vAlign w:val="center"/>
          </w:tcPr>
          <w:p>
            <w:pPr>
              <w:pStyle w:val="12"/>
            </w:pPr>
            <w:r>
              <w:t>5.55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73.00</w:t>
            </w:r>
          </w:p>
        </w:tc>
        <w:tc>
          <w:tcPr>
            <w:tcW w:w="2551" w:type="dxa"/>
            <w:vAlign w:val="center"/>
          </w:tcPr>
          <w:p>
            <w:pPr>
              <w:pStyle w:val="12"/>
            </w:pPr>
            <w:r>
              <w:t>73.00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359馆陶县融媒体中心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359馆陶县融媒体中心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359馆陶县融媒体中心</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馆陶县融媒体中心2026年部门预算信息公开情况说明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馆陶县融媒体中心2026年部门预算信息公开情况说明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按照《中华人民共和国预算法》、《地方预决算公开操作规程》和《关于进一步推进预算公开工作的实施意见》规定，现将馆陶县融媒体中心2026年部门预算公开如下：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宣传党的方针、路线、政策办好各类广播电视节目；和县委、县政府的工作部署，坚持正确舆论导向，发挥主流媒体作用；办好各类广播电视节目；开展各类宣传工作；配合上级台完成我县的采访报道工作并提供各类节目；承担县委、县政府宣传片的创作生产、专题片等的创作生产。负责相关设备的正常运行和维护。建立广播电视安全播出保障体系，加强台站、安全播出管理。组织实施重大公益工程和公益活动。</w:t>
      </w:r>
    </w:p>
    <w:p>
      <w:pPr>
        <w:pStyle w:val="18"/>
      </w:pPr>
      <w:r>
        <w:t>（二）统筹规划并组织实施新闻出版广播影视产业发展,推进广电网与电信网、互联网三网融合。拟定新闻出版广播影视产业发展规划；新闻出版物、广播影视节目内容和质量监督管理；负责市场经营活动的监督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馆陶县融媒体中心本级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按照预算管理有关规定，目前部门预算的编制实行综合预算管理，即全部收入和支出都反映在预算中。馆陶县融媒体中心机关及所属事业单位的收支包含在部门预算中。</w:t>
      </w:r>
    </w:p>
    <w:p>
      <w:pPr>
        <w:pStyle w:val="19"/>
      </w:pPr>
      <w:r>
        <w:t>1、收入说明</w:t>
      </w:r>
    </w:p>
    <w:p>
      <w:pPr>
        <w:pStyle w:val="19"/>
      </w:pPr>
      <w:r>
        <w:t>反映本部门当年全部收入。2026年预算收入564.87万元，其中：一般公共预算收入511.87万元，基金预算收入0.00万元，国有资本经营预算收入0.00万元，财政专户核拨收入0.00万元，单位资金收入0.00万元，上年结转结余53.00万元。</w:t>
      </w:r>
    </w:p>
    <w:p>
      <w:pPr>
        <w:pStyle w:val="19"/>
      </w:pPr>
      <w:r>
        <w:t>2、支出说明</w:t>
      </w:r>
    </w:p>
    <w:p>
      <w:pPr>
        <w:pStyle w:val="19"/>
      </w:pPr>
      <w:r>
        <w:t>收支预算总表支出栏、基本支出表、项目支出表按经济分类和支出功能分类科目编制，反映馆陶县融媒体中心年度部门预算中支出预算的总体情况。2026年支出预算564.87万元，其中基本支出150.27万元，包括人员经费150.27万元和日常公用经费0.00万元；项目支出414.60万元，主要为冀财教[2025]135号  河北省财政厅关于提前下达2026年省级公共文化服务体系建设补助资金的通知20.00万元、冀财教[2025]44号 关于下达2025年中央支持地方公共文化服务体系建设补助资金预算的通知53.00万元、《馆陶新闻》全覆盖资金4.80万元、冀财教[2025]115号河北省财政厅关于提前下达2026中央支持地方公共文化服务体系建设补助资金预算的通知16.20万元、联播邯郸频道占用资金30.00万元、融媒体运行经费15.00万元、公共文化服务机构运转经费275.60万元；预计下年使用的单位资金结余0.00万元。委托业务费共计安排0.00万元。</w:t>
      </w:r>
    </w:p>
    <w:p>
      <w:pPr>
        <w:pStyle w:val="19"/>
      </w:pPr>
      <w:r>
        <w:t>3、比上年增减情况</w:t>
      </w:r>
    </w:p>
    <w:p>
      <w:pPr>
        <w:pStyle w:val="19"/>
      </w:pPr>
      <w:r>
        <w:t>2026年预算收支安排564.87万元，较2025年预算增加84.69万元，其中：基本支出增加12.69万元，主要为人员经费增加；项目支出增加72.00万元，主要为中央支持地方公共文化服务体系建设补助资金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2026年，我部门机关运行经费共计安排0.00万元。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6"/>
      </w:pPr>
      <w:bookmarkStart w:id="13" w:name="_Toc_3_3_0000000014"/>
      <w:r>
        <w:t>2026年，我</w:t>
      </w:r>
      <w:r>
        <w:rPr>
          <w:rFonts w:hint="eastAsia"/>
          <w:lang w:val="en-US" w:eastAsia="zh-CN"/>
        </w:rPr>
        <w:t>部门</w:t>
      </w:r>
      <w:r>
        <w:t>财政拨款“三公”经费预算安排0.00万元，其中因公出国（境）费0.00万元；公务用车购置及运维费0.00万元（其中：公务用车购置费为0.00万元，公务用车运维费0.00万元)；公务接待费0.00万元。与2025年相比减少0.20万元，增减变化的主要原因是公务接待费减少。</w:t>
      </w:r>
    </w:p>
    <w:p>
      <w:pPr>
        <w:spacing w:before="10" w:after="10" w:line="360" w:lineRule="auto"/>
        <w:ind w:firstLine="64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宣传党的路线、方针、政策和县委、县政府的工作部署，坚持正确舆论导向，发挥主流媒体作用；办好各类广播电视节目；开展各类宣传工作；配合上级台完成我县的采访报道工作并提供各类节目；承担县委、县政府宣传片的创作生产、专题片等的创作生产。负责相关设备的正常运行和维护。建立广播电视安全播出保障体系，加强台站、安全播出管理。组织实施重大公益工程和公益活动。统筹规划并组织实施新闻出版广播影视产业发展,推进广电网与电信网、互联网三网融合。拟定新闻出版广播影视产业发展规划；新闻出版物、广播影视节目内容和质量监督管理；负责市场经营活动的监督管理工作。</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1、新闻报道管理</w:t>
      </w:r>
    </w:p>
    <w:p>
      <w:pPr>
        <w:pStyle w:val="23"/>
      </w:pPr>
      <w:r>
        <w:t>绩效目标：负责县委、县政府重大会议、重要活动的宣传报道，负责县委、县政府中心工作的宣传报道；负责《馆陶新闻》栏目的采编、制作。对新闻稿件、专题栏目、大型活动的播音大型活动的播音、编辑、制作；负责《馆陶新闻》栏目的采编、制作；参与完成大型活动的直播与录制工作。</w:t>
      </w:r>
    </w:p>
    <w:p>
      <w:pPr>
        <w:pStyle w:val="23"/>
      </w:pPr>
      <w:r>
        <w:t>绩效指标：全年《馆陶新闻》栏目不低于180期，全县重大新闻重大活动报道率到100%。（不宜报道的除外）</w:t>
      </w:r>
    </w:p>
    <w:p>
      <w:pPr>
        <w:pStyle w:val="23"/>
      </w:pPr>
      <w:r>
        <w:t>2、新媒体运行管理</w:t>
      </w:r>
    </w:p>
    <w:p>
      <w:pPr>
        <w:pStyle w:val="23"/>
      </w:pPr>
      <w:r>
        <w:t>绩效目标：负责全媒体新闻编审发布，对采集部门采集上传到冀云等平台的各类新闻、节目进行二次编辑、审核和发布。根据媒体平台特点，做好全媒体文字、图片、音频、视频、V视、H5、VR以及其它融媒体产品的创意策划、编辑制作和推送发布工作。做好“馆陶发布”“冀云馆陶”的编辑推送发布；负责统筹融媒体中心的新业务研发；负责各类创意产品的策划、设计与生产制作和发布工作；负责视频直播工作。</w:t>
      </w:r>
    </w:p>
    <w:p>
      <w:pPr>
        <w:pStyle w:val="23"/>
      </w:pPr>
      <w:r>
        <w:t>绩效指标：年度完成在新媒体微信工作发布：“馆陶发布”不少于1000条，“冀云馆陶”不少于800条。</w:t>
      </w:r>
    </w:p>
    <w:p>
      <w:pPr>
        <w:pStyle w:val="23"/>
      </w:pPr>
      <w:r>
        <w:t>3、音视频制作管理</w:t>
      </w:r>
    </w:p>
    <w:p>
      <w:pPr>
        <w:pStyle w:val="23"/>
      </w:pPr>
      <w:r>
        <w:t>绩效目标：将前期录制的音视频进行分类剪辑制作，将音视频分类保存；负责专题片、汇报片、宣传片及大型活动、晚会的制作、剪辑、特效合成等工作。</w:t>
      </w:r>
    </w:p>
    <w:p>
      <w:pPr>
        <w:pStyle w:val="23"/>
      </w:pPr>
      <w:r>
        <w:t>绩效指标：每年制作《馆陶新闻》不少于180期，制作专题片不少于8部，制作编辑“馆陶发布”不少于1000条，“冀云馆陶” 不少于800条。</w:t>
      </w:r>
    </w:p>
    <w:p>
      <w:pPr>
        <w:pStyle w:val="23"/>
      </w:pPr>
    </w:p>
    <w:p>
      <w:pPr>
        <w:pStyle w:val="23"/>
      </w:pPr>
      <w:r>
        <w:t>4、对外宣传工作</w:t>
      </w:r>
    </w:p>
    <w:p>
      <w:pPr>
        <w:pStyle w:val="23"/>
      </w:pPr>
      <w:r>
        <w:t>绩效目标：负责广播、电视、网站、新媒体平台等对上新闻的采访、制作、报道及作品传送、媒体推广；完成县委宣传部下达的年度对上报道任务及临时交办的新闻任务。</w:t>
      </w:r>
    </w:p>
    <w:p>
      <w:pPr>
        <w:pStyle w:val="23"/>
      </w:pPr>
      <w:r>
        <w:t>绩效指标：全对上报道在市级以上媒体发表新闻稿件不低于600篇</w:t>
      </w:r>
    </w:p>
    <w:p>
      <w:pPr>
        <w:pStyle w:val="23"/>
      </w:pPr>
      <w:r>
        <w:t>5、广播（大喇叭）运行维护工作</w:t>
      </w:r>
    </w:p>
    <w:p>
      <w:pPr>
        <w:pStyle w:val="23"/>
      </w:pPr>
      <w:r>
        <w:t>绩效目标：系统管理馆陶县人民广播电台和农村“大喇叭听党音”工程的运营与维护，负责把握广播系统的舆论导向，制定年度广播计划，承担电台及应急广播节目的采集、制作、直播、播出和公益、商业类广播内容的发布，与广播相关社会活动的协调与管理。参与完成大型活动的广播端口的直播与录制工作。</w:t>
      </w:r>
    </w:p>
    <w:p>
      <w:pPr>
        <w:pStyle w:val="23"/>
      </w:pPr>
      <w:r>
        <w:t>绩效指标：每年维护大喇叭广播设备数量不低于160套，设备维护维修的及时率达到100%</w:t>
      </w:r>
    </w:p>
    <w:p>
      <w:pPr>
        <w:pStyle w:val="23"/>
      </w:pPr>
    </w:p>
    <w:p>
      <w:pPr>
        <w:pStyle w:val="23"/>
      </w:pPr>
      <w:r>
        <w:t>6、安全播出和技术维护工作</w:t>
      </w:r>
    </w:p>
    <w:p>
      <w:pPr>
        <w:pStyle w:val="23"/>
      </w:pPr>
      <w:r>
        <w:t>绩效目标：负责节目安全播出；设备维护和保养；年度维修计划的制定与落实；制订各种设备的更新计划并配合做好采购工作；融媒体中心“中央厨房”、演播大厅、网络机房、演播室、播控机房、铁塔等设备的维护、检修；负责广播电视安全播出和广播电视无线发射；管理值机监控等工作；负责专业摄像设备领用和保养维护等工作。</w:t>
      </w:r>
    </w:p>
    <w:p>
      <w:pPr>
        <w:pStyle w:val="23"/>
      </w:pPr>
      <w:r>
        <w:t>绩效指标：保障播出机房全年正常播出运行，保障设备完好率达到98%以上</w:t>
      </w:r>
    </w:p>
    <w:p>
      <w:pPr>
        <w:pStyle w:val="23"/>
      </w:pPr>
      <w:r>
        <w:t>7、产业发展工作管理</w:t>
      </w:r>
    </w:p>
    <w:p>
      <w:pPr>
        <w:pStyle w:val="23"/>
      </w:pPr>
      <w:r>
        <w:t>绩效目标：负责广告业务经营的营销、拓展和客户服务工作；负责广告的宣传策划、设计与实施，广告的统筹及广告经营发布；负责相关经营性活动的策划、举办和各类宣传片的策划、拍摄等工作。负责电视服务包括地面数字电视业务的发展工作和地面数字电视单频网建设项目</w:t>
      </w:r>
    </w:p>
    <w:p>
      <w:pPr>
        <w:pStyle w:val="23"/>
      </w:pPr>
      <w:r>
        <w:t>绩效指标：全年新媒体创收收入不少于20万元，通过地面数字电视单频网建设，确保全县本地电视节目覆盖率达到100%以上，通过地面数字电视单频网建设，使全县电视收视观众的节目观看满意度达到90％以上</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2026年，融媒体中心将继续在县委、县政府的坚强领导下，紧紧围绕全县中心工作，以“传递党的声音，讲好馆陶故事”为宗旨，开拓进取，实干担当，完成各项工作任务。</w:t>
      </w:r>
    </w:p>
    <w:p>
      <w:pPr>
        <w:pStyle w:val="24"/>
      </w:pPr>
      <w:r>
        <w:t>一、抓新闻报道。立足新闻宣传主责主业，一方面围绕县委、县政府中心工作，继续做好招商引资、项目建设、城市基础设施建设、乡村振兴等主题报道采访，为全县重点工作推进营造浓厚氛围。</w:t>
      </w:r>
    </w:p>
    <w:p>
      <w:pPr>
        <w:pStyle w:val="24"/>
      </w:pPr>
      <w:r>
        <w:t>二、提升我县知名度、美誉度，努力做好外宣工作。深入挖掘我县突出亮点，积极加强与上级主流媒体沟通，多报送优质稿件，做好对上报道工作，展现我县经济社会发展情况，讲好馆陶故事，传播好馆陶声音。</w:t>
      </w:r>
    </w:p>
    <w:p>
      <w:pPr>
        <w:pStyle w:val="24"/>
      </w:pPr>
      <w:r>
        <w:t>三、抓队伍建设。结合开展主题教育活动，以主题教育实践为抓手，组织开展理论学习、思想讨论、业务培训、岗位服务活动，提升队伍整体素质。不断创新机制体制，建立灵活实用的管理机制。实行岗位目标责任制，与薪酬分配、职称评聘、评先树优挂钩，创造想事干事、争创优良业绩的良好局面。</w:t>
      </w:r>
    </w:p>
    <w:p>
      <w:pPr>
        <w:pStyle w:val="24"/>
      </w:pPr>
      <w:r>
        <w:t>四、抓事业发展，实施基础设施项目。利用国债资金实施馆陶县公共信息发布中心信息化建设项目，完成对各乡镇、县城街道的应急信息信号覆盖。完成1个县级系统平台，8个乡镇分控平台，277个村级平台，477个村级智能终端的建设。进一步提升全县信息引导、防灾减灾、政策宣传等管理能力。</w:t>
      </w:r>
    </w:p>
    <w:p>
      <w:pPr>
        <w:pStyle w:val="24"/>
      </w:pPr>
      <w:r>
        <w:t>五、持续深化媒体融合。用好冀云馆陶APP平台，推动融媒体和党务、政务和便民服务等深度融合，探讨合作模式，扩大覆盖面。注重服务创新，在拓展服务功能上下功夫，推进“媒体+政务+服务”功能建设，打进一步增强融媒体服务大众的能力。</w:t>
      </w:r>
    </w:p>
    <w:p>
      <w:pPr>
        <w:pStyle w:val="24"/>
      </w:pPr>
      <w:r>
        <w:t>六、抓安全生产。时刻保持强烈的政治敏锐感和安全意识，消除克服麻痹思想，对机房常见故障的处理、应急、用电、消防操作进行演练，确保安全生产无事故。不断完善管理流程、应急预案等相关制度，确保重要活动、重大节日、重点时段的播出万无一失，精益求精做好新闻质量把关，保证广播、电视、新媒体安全播出。</w:t>
      </w:r>
    </w:p>
    <w:p>
      <w:pPr>
        <w:pStyle w:val="24"/>
        <w:sectPr>
          <w:pgSz w:w="16840" w:h="11900" w:orient="landscape"/>
          <w:pgMar w:top="1361" w:right="1020" w:bottom="1361" w:left="1020" w:header="720" w:footer="720" w:gutter="0"/>
          <w:cols w:space="720" w:num="1"/>
        </w:sectPr>
      </w:pPr>
      <w:r>
        <w:t>七、抓运营创收。加强与乡镇、县直单位、企业的宣传合作，通过提供广告宣传、活动策划、专题片、宣传片、微电影创作制作等服务，拓展创收空间，增强造血功能，提升发展能力。</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1、公共文化服务机构运转经费绩效目标表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13043326P00005410003B</w:t>
            </w:r>
          </w:p>
        </w:tc>
        <w:tc>
          <w:tcPr>
            <w:tcW w:w="2835" w:type="dxa"/>
            <w:vAlign w:val="center"/>
          </w:tcPr>
          <w:p>
            <w:pPr>
              <w:pStyle w:val="11"/>
            </w:pPr>
            <w:r>
              <w:t>项目名称</w:t>
            </w:r>
          </w:p>
        </w:tc>
        <w:tc>
          <w:tcPr>
            <w:tcW w:w="6095" w:type="dxa"/>
            <w:gridSpan w:val="3"/>
            <w:vAlign w:val="center"/>
          </w:tcPr>
          <w:p>
            <w:pPr>
              <w:pStyle w:val="13"/>
            </w:pPr>
            <w:r>
              <w:t>公共文化服务机构运转经费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275.60</w:t>
            </w:r>
          </w:p>
        </w:tc>
        <w:tc>
          <w:tcPr>
            <w:tcW w:w="2835" w:type="dxa"/>
            <w:vAlign w:val="center"/>
          </w:tcPr>
          <w:p>
            <w:pPr>
              <w:pStyle w:val="11"/>
            </w:pPr>
            <w:r>
              <w:t>其中：财政    资金</w:t>
            </w:r>
          </w:p>
        </w:tc>
        <w:tc>
          <w:tcPr>
            <w:tcW w:w="2551" w:type="dxa"/>
            <w:vAlign w:val="center"/>
          </w:tcPr>
          <w:p>
            <w:pPr>
              <w:pStyle w:val="13"/>
            </w:pPr>
            <w:r>
              <w:t>275.60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用于2026年人员工资及社保费发放,进一步提高工作效率，保障单位高效运转，确保广播电视发展环境健康向上，发展能力不断增强，公共服务水平不断提高，不断扩大我县广播电视影响力。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1.用于2026年人员工资及社保费发放,进一步提高工作效率，保障单位高效运转，确保广播电视发展环境健康向上，发展能力不断增强，公共服务水平不断提高，不断扩大我县广播电视影响力。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事业在职干部职工人员数量</w:t>
            </w:r>
          </w:p>
        </w:tc>
        <w:tc>
          <w:tcPr>
            <w:tcW w:w="2268" w:type="dxa"/>
            <w:vAlign w:val="center"/>
          </w:tcPr>
          <w:p>
            <w:pPr>
              <w:pStyle w:val="13"/>
            </w:pPr>
            <w:r>
              <w:t>46人</w:t>
            </w:r>
          </w:p>
        </w:tc>
        <w:tc>
          <w:tcPr>
            <w:tcW w:w="1276" w:type="dxa"/>
            <w:vAlign w:val="center"/>
          </w:tcPr>
          <w:p>
            <w:pPr>
              <w:pStyle w:val="13"/>
            </w:pPr>
            <w:r>
              <w:t>干部职工花名册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人员经费发放覆盖率</w:t>
            </w:r>
          </w:p>
        </w:tc>
        <w:tc>
          <w:tcPr>
            <w:tcW w:w="5386" w:type="dxa"/>
            <w:vAlign w:val="center"/>
          </w:tcPr>
          <w:p>
            <w:pPr>
              <w:pStyle w:val="13"/>
            </w:pPr>
            <w:r>
              <w:t>实发人数占应发人数的比例</w:t>
            </w:r>
          </w:p>
        </w:tc>
        <w:tc>
          <w:tcPr>
            <w:tcW w:w="2268" w:type="dxa"/>
            <w:vAlign w:val="center"/>
          </w:tcPr>
          <w:p>
            <w:pPr>
              <w:pStyle w:val="13"/>
            </w:pPr>
            <w:r>
              <w:t>100%</w:t>
            </w:r>
          </w:p>
        </w:tc>
        <w:tc>
          <w:tcPr>
            <w:tcW w:w="1276" w:type="dxa"/>
            <w:vAlign w:val="center"/>
          </w:tcPr>
          <w:p>
            <w:pPr>
              <w:pStyle w:val="13"/>
            </w:pPr>
            <w:r>
              <w:t>干部职工花名册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人员经费发放及时率</w:t>
            </w:r>
          </w:p>
        </w:tc>
        <w:tc>
          <w:tcPr>
            <w:tcW w:w="5386" w:type="dxa"/>
            <w:vAlign w:val="center"/>
          </w:tcPr>
          <w:p>
            <w:pPr>
              <w:pStyle w:val="13"/>
            </w:pPr>
            <w:r>
              <w:t>实发时间占应发时间的比例</w:t>
            </w:r>
          </w:p>
        </w:tc>
        <w:tc>
          <w:tcPr>
            <w:tcW w:w="2268" w:type="dxa"/>
            <w:vAlign w:val="center"/>
          </w:tcPr>
          <w:p>
            <w:pPr>
              <w:pStyle w:val="13"/>
            </w:pPr>
            <w:r>
              <w:t>100%</w:t>
            </w:r>
          </w:p>
        </w:tc>
        <w:tc>
          <w:tcPr>
            <w:tcW w:w="1276" w:type="dxa"/>
            <w:vAlign w:val="center"/>
          </w:tcPr>
          <w:p>
            <w:pPr>
              <w:pStyle w:val="13"/>
            </w:pPr>
            <w:r>
              <w:t>拨款凭证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发放金额</w:t>
            </w:r>
          </w:p>
        </w:tc>
        <w:tc>
          <w:tcPr>
            <w:tcW w:w="5386" w:type="dxa"/>
            <w:vAlign w:val="center"/>
          </w:tcPr>
          <w:p>
            <w:pPr>
              <w:pStyle w:val="13"/>
            </w:pPr>
            <w:r>
              <w:t>发放财政供养人员工资金额</w:t>
            </w:r>
          </w:p>
        </w:tc>
        <w:tc>
          <w:tcPr>
            <w:tcW w:w="2268" w:type="dxa"/>
            <w:vAlign w:val="center"/>
          </w:tcPr>
          <w:p>
            <w:pPr>
              <w:pStyle w:val="13"/>
            </w:pPr>
            <w:r>
              <w:t>375.6万元</w:t>
            </w:r>
          </w:p>
        </w:tc>
        <w:tc>
          <w:tcPr>
            <w:tcW w:w="1276" w:type="dxa"/>
            <w:vAlign w:val="center"/>
          </w:tcPr>
          <w:p>
            <w:pPr>
              <w:pStyle w:val="13"/>
            </w:pPr>
            <w:r>
              <w:t>融媒体中心职工工资方案及社保费申报表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推动重点工作进一步开展</w:t>
            </w:r>
          </w:p>
        </w:tc>
        <w:tc>
          <w:tcPr>
            <w:tcW w:w="5386" w:type="dxa"/>
            <w:vAlign w:val="center"/>
          </w:tcPr>
          <w:p>
            <w:pPr>
              <w:pStyle w:val="13"/>
            </w:pPr>
            <w:r>
              <w:t>助推活力新城、魅力馆陶加快建设，高质量完成承担的宣传报道工作</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保障人员收入</w:t>
            </w:r>
          </w:p>
        </w:tc>
        <w:tc>
          <w:tcPr>
            <w:tcW w:w="5386" w:type="dxa"/>
            <w:vAlign w:val="center"/>
          </w:tcPr>
          <w:p>
            <w:pPr>
              <w:pStyle w:val="13"/>
            </w:pPr>
            <w:r>
              <w:t>保障机关工作人员收入稳步增长</w:t>
            </w:r>
          </w:p>
        </w:tc>
        <w:tc>
          <w:tcPr>
            <w:tcW w:w="2268" w:type="dxa"/>
            <w:vAlign w:val="center"/>
          </w:tcPr>
          <w:p>
            <w:pPr>
              <w:pStyle w:val="13"/>
            </w:pPr>
            <w:r>
              <w:t>≥90%</w:t>
            </w:r>
          </w:p>
        </w:tc>
        <w:tc>
          <w:tcPr>
            <w:tcW w:w="1276" w:type="dxa"/>
            <w:vAlign w:val="center"/>
          </w:tcPr>
          <w:p>
            <w:pPr>
              <w:pStyle w:val="13"/>
            </w:pPr>
            <w:r>
              <w:t>人员调资方案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提高工作效率</w:t>
            </w:r>
          </w:p>
        </w:tc>
        <w:tc>
          <w:tcPr>
            <w:tcW w:w="5386" w:type="dxa"/>
            <w:vAlign w:val="center"/>
          </w:tcPr>
          <w:p>
            <w:pPr>
              <w:pStyle w:val="13"/>
            </w:pPr>
            <w:r>
              <w:t>高效完成承担的工作，单位履职尽责到位</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单位工作人员满意度</w:t>
            </w:r>
          </w:p>
        </w:tc>
        <w:tc>
          <w:tcPr>
            <w:tcW w:w="5386" w:type="dxa"/>
            <w:vAlign w:val="center"/>
          </w:tcPr>
          <w:p>
            <w:pPr>
              <w:pStyle w:val="13"/>
            </w:pPr>
            <w:r>
              <w:t>单位工作人员对单位保障情况的满意程度</w:t>
            </w:r>
          </w:p>
        </w:tc>
        <w:tc>
          <w:tcPr>
            <w:tcW w:w="2268" w:type="dxa"/>
            <w:vAlign w:val="center"/>
          </w:tcPr>
          <w:p>
            <w:pPr>
              <w:pStyle w:val="13"/>
            </w:pPr>
            <w:r>
              <w:t>≥98%</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2、《馆陶新闻》全覆盖资金绩效目标表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13043326P00005110005H</w:t>
            </w:r>
          </w:p>
        </w:tc>
        <w:tc>
          <w:tcPr>
            <w:tcW w:w="2835" w:type="dxa"/>
            <w:vAlign w:val="center"/>
          </w:tcPr>
          <w:p>
            <w:pPr>
              <w:pStyle w:val="11"/>
            </w:pPr>
            <w:r>
              <w:t>项目名称</w:t>
            </w:r>
          </w:p>
        </w:tc>
        <w:tc>
          <w:tcPr>
            <w:tcW w:w="6095" w:type="dxa"/>
            <w:gridSpan w:val="3"/>
            <w:vAlign w:val="center"/>
          </w:tcPr>
          <w:p>
            <w:pPr>
              <w:pStyle w:val="13"/>
            </w:pPr>
            <w:r>
              <w:t>《馆陶新闻》全覆盖资金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w:t>
            </w:r>
          </w:p>
        </w:tc>
        <w:tc>
          <w:tcPr>
            <w:tcW w:w="2835" w:type="dxa"/>
            <w:vAlign w:val="center"/>
          </w:tcPr>
          <w:p>
            <w:pPr>
              <w:pStyle w:val="11"/>
            </w:pPr>
            <w:r>
              <w:t>其中：财政    资金</w:t>
            </w:r>
          </w:p>
        </w:tc>
        <w:tc>
          <w:tcPr>
            <w:tcW w:w="2551" w:type="dxa"/>
            <w:vAlign w:val="center"/>
          </w:tcPr>
          <w:p>
            <w:pPr>
              <w:pStyle w:val="13"/>
            </w:pPr>
            <w:r>
              <w:t>4.80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《馆陶新闻》全覆盖资金用于 租赁传输节目信号专线宽带网络费用，把《馆陶新闻》节目信号传输到网络电视中，实现馆陶新闻在全县全覆盖，进一步加大宣传馆陶的力度，提高馆陶的知名度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1.把《馆陶新闻》节目信号传输到网络电视中，实现馆陶新闻在全县全覆盖，进一步加大宣传馆陶的力度，提高馆陶的知名度。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覆盖村庄数量</w:t>
            </w:r>
          </w:p>
        </w:tc>
        <w:tc>
          <w:tcPr>
            <w:tcW w:w="5386" w:type="dxa"/>
            <w:vAlign w:val="center"/>
          </w:tcPr>
          <w:p>
            <w:pPr>
              <w:pStyle w:val="13"/>
            </w:pPr>
            <w:r>
              <w:t>《馆陶新闻》节目在全县覆盖村庄数量</w:t>
            </w:r>
          </w:p>
        </w:tc>
        <w:tc>
          <w:tcPr>
            <w:tcW w:w="2268" w:type="dxa"/>
            <w:vAlign w:val="center"/>
          </w:tcPr>
          <w:p>
            <w:pPr>
              <w:pStyle w:val="13"/>
            </w:pPr>
            <w:r>
              <w:t>277个</w:t>
            </w:r>
          </w:p>
        </w:tc>
        <w:tc>
          <w:tcPr>
            <w:tcW w:w="1276" w:type="dxa"/>
            <w:vAlign w:val="center"/>
          </w:tcPr>
          <w:p>
            <w:pPr>
              <w:pStyle w:val="13"/>
            </w:pPr>
            <w:r>
              <w:t xml:space="preserve"> 特别快讯第28期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信号达标率</w:t>
            </w:r>
          </w:p>
        </w:tc>
        <w:tc>
          <w:tcPr>
            <w:tcW w:w="5386" w:type="dxa"/>
            <w:vAlign w:val="center"/>
          </w:tcPr>
          <w:p>
            <w:pPr>
              <w:pStyle w:val="13"/>
            </w:pPr>
            <w:r>
              <w:t>馆陶新闻节目传输的信号达到标准的数量占总传输信号的比率</w:t>
            </w:r>
          </w:p>
        </w:tc>
        <w:tc>
          <w:tcPr>
            <w:tcW w:w="2268" w:type="dxa"/>
            <w:vAlign w:val="center"/>
          </w:tcPr>
          <w:p>
            <w:pPr>
              <w:pStyle w:val="13"/>
            </w:pPr>
            <w:r>
              <w:t>100%</w:t>
            </w:r>
          </w:p>
        </w:tc>
        <w:tc>
          <w:tcPr>
            <w:tcW w:w="1276" w:type="dxa"/>
            <w:vAlign w:val="center"/>
          </w:tcPr>
          <w:p>
            <w:pPr>
              <w:pStyle w:val="13"/>
            </w:pPr>
            <w:r>
              <w:t xml:space="preserve"> 特别快讯第28期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按时更新</w:t>
            </w:r>
          </w:p>
        </w:tc>
        <w:tc>
          <w:tcPr>
            <w:tcW w:w="5386" w:type="dxa"/>
            <w:vAlign w:val="center"/>
          </w:tcPr>
          <w:p>
            <w:pPr>
              <w:pStyle w:val="13"/>
            </w:pPr>
            <w:r>
              <w:t>根据电视节目播出单按时更新《馆陶新闻》</w:t>
            </w:r>
          </w:p>
        </w:tc>
        <w:tc>
          <w:tcPr>
            <w:tcW w:w="2268" w:type="dxa"/>
            <w:vAlign w:val="center"/>
          </w:tcPr>
          <w:p>
            <w:pPr>
              <w:pStyle w:val="13"/>
            </w:pPr>
            <w:r>
              <w:t>≤2天</w:t>
            </w:r>
          </w:p>
        </w:tc>
        <w:tc>
          <w:tcPr>
            <w:tcW w:w="1276" w:type="dxa"/>
            <w:vAlign w:val="center"/>
          </w:tcPr>
          <w:p>
            <w:pPr>
              <w:pStyle w:val="13"/>
            </w:pPr>
            <w:r>
              <w:t>电视节目播出单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《馆陶新闻》全覆盖资金</w:t>
            </w:r>
          </w:p>
        </w:tc>
        <w:tc>
          <w:tcPr>
            <w:tcW w:w="5386" w:type="dxa"/>
            <w:vAlign w:val="center"/>
          </w:tcPr>
          <w:p>
            <w:pPr>
              <w:pStyle w:val="13"/>
            </w:pPr>
            <w:r>
              <w:t>《馆陶新闻》全覆盖资金光纤租金</w:t>
            </w:r>
          </w:p>
        </w:tc>
        <w:tc>
          <w:tcPr>
            <w:tcW w:w="2268" w:type="dxa"/>
            <w:vAlign w:val="center"/>
          </w:tcPr>
          <w:p>
            <w:pPr>
              <w:pStyle w:val="13"/>
            </w:pPr>
            <w:r>
              <w:t>4.8万元</w:t>
            </w:r>
          </w:p>
        </w:tc>
        <w:tc>
          <w:tcPr>
            <w:tcW w:w="1276" w:type="dxa"/>
            <w:vAlign w:val="center"/>
          </w:tcPr>
          <w:p>
            <w:pPr>
              <w:pStyle w:val="13"/>
            </w:pPr>
            <w:r>
              <w:t>光纤租赁费合同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提高服务能力</w:t>
            </w:r>
          </w:p>
        </w:tc>
        <w:tc>
          <w:tcPr>
            <w:tcW w:w="5386" w:type="dxa"/>
            <w:vAlign w:val="center"/>
          </w:tcPr>
          <w:p>
            <w:pPr>
              <w:pStyle w:val="13"/>
            </w:pPr>
            <w:r>
              <w:t>促进公共文化服务能力显著提高　</w:t>
            </w:r>
          </w:p>
        </w:tc>
        <w:tc>
          <w:tcPr>
            <w:tcW w:w="2268" w:type="dxa"/>
            <w:vAlign w:val="center"/>
          </w:tcPr>
          <w:p>
            <w:pPr>
              <w:pStyle w:val="13"/>
            </w:pPr>
            <w:r>
              <w:t>≥90%</w:t>
            </w:r>
          </w:p>
        </w:tc>
        <w:tc>
          <w:tcPr>
            <w:tcW w:w="1276" w:type="dxa"/>
            <w:vAlign w:val="center"/>
          </w:tcPr>
          <w:p>
            <w:pPr>
              <w:pStyle w:val="13"/>
            </w:pPr>
            <w:r>
              <w:t xml:space="preserve"> 特别快讯第28期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持续社会影响力</w:t>
            </w:r>
          </w:p>
        </w:tc>
        <w:tc>
          <w:tcPr>
            <w:tcW w:w="5386" w:type="dxa"/>
            <w:vAlign w:val="center"/>
          </w:tcPr>
          <w:p>
            <w:pPr>
              <w:pStyle w:val="13"/>
            </w:pPr>
            <w:r>
              <w:t>持续提高馆陶新闻在全县的社会影响力</w:t>
            </w:r>
          </w:p>
        </w:tc>
        <w:tc>
          <w:tcPr>
            <w:tcW w:w="2268" w:type="dxa"/>
            <w:vAlign w:val="center"/>
          </w:tcPr>
          <w:p>
            <w:pPr>
              <w:pStyle w:val="13"/>
            </w:pPr>
            <w:r>
              <w:t>≥95%</w:t>
            </w:r>
          </w:p>
        </w:tc>
        <w:tc>
          <w:tcPr>
            <w:tcW w:w="1276" w:type="dxa"/>
            <w:vAlign w:val="center"/>
          </w:tcPr>
          <w:p>
            <w:pPr>
              <w:pStyle w:val="13"/>
            </w:pPr>
            <w:r>
              <w:t>特别快讯第28期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群众对《馆陶新闻》的整体满意度</w:t>
            </w:r>
          </w:p>
        </w:tc>
        <w:tc>
          <w:tcPr>
            <w:tcW w:w="2268" w:type="dxa"/>
            <w:vAlign w:val="center"/>
          </w:tcPr>
          <w:p>
            <w:pPr>
              <w:pStyle w:val="13"/>
            </w:pPr>
            <w:r>
              <w:t>≥98%</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3、冀财教[2025]115号河北省财政厅关于提前下达2026中央支持地方公共文化服务体系建设补助资金预算的通知绩效目标表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13043326P00005110012J</w:t>
            </w:r>
          </w:p>
        </w:tc>
        <w:tc>
          <w:tcPr>
            <w:tcW w:w="2835" w:type="dxa"/>
            <w:vAlign w:val="center"/>
          </w:tcPr>
          <w:p>
            <w:pPr>
              <w:pStyle w:val="11"/>
            </w:pPr>
            <w:r>
              <w:t>项目名称</w:t>
            </w:r>
          </w:p>
        </w:tc>
        <w:tc>
          <w:tcPr>
            <w:tcW w:w="6095" w:type="dxa"/>
            <w:gridSpan w:val="3"/>
            <w:vAlign w:val="center"/>
          </w:tcPr>
          <w:p>
            <w:pPr>
              <w:pStyle w:val="13"/>
            </w:pPr>
            <w:r>
              <w:t>冀财教[2025]115号河北省财政厅关于提前下达2026中央支持地方公共文化服务体系建设补助资金预算的通知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16.20</w:t>
            </w:r>
          </w:p>
        </w:tc>
        <w:tc>
          <w:tcPr>
            <w:tcW w:w="2835" w:type="dxa"/>
            <w:vAlign w:val="center"/>
          </w:tcPr>
          <w:p>
            <w:pPr>
              <w:pStyle w:val="11"/>
            </w:pPr>
            <w:r>
              <w:t>其中：财政    资金</w:t>
            </w:r>
          </w:p>
        </w:tc>
        <w:tc>
          <w:tcPr>
            <w:tcW w:w="2551" w:type="dxa"/>
            <w:vAlign w:val="center"/>
          </w:tcPr>
          <w:p>
            <w:pPr>
              <w:pStyle w:val="13"/>
            </w:pPr>
            <w:r>
              <w:t>16.20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中央广播电视节目无线覆盖（数字）运行维护费用于发射台站维护，确保全县人民都能收看到中央广播电视台节目，提高全县群众文化生活水平，促进美丽乡村建设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1.中央广播电视节目无线覆盖（数字）运行维护费用于发射台站维护，确保全县人民都能收看到中央广播电视台节目，提高全县群众文化生活水平，促进美丽乡村建设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设备维护数量</w:t>
            </w:r>
          </w:p>
        </w:tc>
        <w:tc>
          <w:tcPr>
            <w:tcW w:w="5386" w:type="dxa"/>
            <w:vAlign w:val="center"/>
          </w:tcPr>
          <w:p>
            <w:pPr>
              <w:pStyle w:val="13"/>
            </w:pPr>
            <w:r>
              <w:t>中央广播电视节目传输设备维护数量</w:t>
            </w:r>
          </w:p>
        </w:tc>
        <w:tc>
          <w:tcPr>
            <w:tcW w:w="2268" w:type="dxa"/>
            <w:vAlign w:val="center"/>
          </w:tcPr>
          <w:p>
            <w:pPr>
              <w:pStyle w:val="13"/>
            </w:pPr>
            <w:r>
              <w:t>4台</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安全播出率</w:t>
            </w:r>
          </w:p>
        </w:tc>
        <w:tc>
          <w:tcPr>
            <w:tcW w:w="5386" w:type="dxa"/>
            <w:vAlign w:val="center"/>
          </w:tcPr>
          <w:p>
            <w:pPr>
              <w:pStyle w:val="13"/>
            </w:pPr>
            <w:r>
              <w:t>电视节目安全播出时间占全年总播出节目时间的比率</w:t>
            </w:r>
          </w:p>
        </w:tc>
        <w:tc>
          <w:tcPr>
            <w:tcW w:w="2268" w:type="dxa"/>
            <w:vAlign w:val="center"/>
          </w:tcPr>
          <w:p>
            <w:pPr>
              <w:pStyle w:val="13"/>
            </w:pPr>
            <w:r>
              <w:t>100%</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按时转播</w:t>
            </w:r>
          </w:p>
        </w:tc>
        <w:tc>
          <w:tcPr>
            <w:tcW w:w="5386" w:type="dxa"/>
            <w:vAlign w:val="center"/>
          </w:tcPr>
          <w:p>
            <w:pPr>
              <w:pStyle w:val="13"/>
            </w:pPr>
            <w:r>
              <w:t>按国家广电总局要求，每天高质量及时完成中央电视节目转播</w:t>
            </w:r>
          </w:p>
        </w:tc>
        <w:tc>
          <w:tcPr>
            <w:tcW w:w="2268" w:type="dxa"/>
            <w:vAlign w:val="center"/>
          </w:tcPr>
          <w:p>
            <w:pPr>
              <w:pStyle w:val="13"/>
            </w:pPr>
            <w:r>
              <w:t>≤1天</w:t>
            </w:r>
          </w:p>
        </w:tc>
        <w:tc>
          <w:tcPr>
            <w:tcW w:w="1276" w:type="dxa"/>
            <w:vAlign w:val="center"/>
          </w:tcPr>
          <w:p>
            <w:pPr>
              <w:pStyle w:val="13"/>
            </w:pPr>
            <w:r>
              <w:t>转播节目单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运行维护费</w:t>
            </w:r>
          </w:p>
        </w:tc>
        <w:tc>
          <w:tcPr>
            <w:tcW w:w="5386" w:type="dxa"/>
            <w:vAlign w:val="center"/>
          </w:tcPr>
          <w:p>
            <w:pPr>
              <w:pStyle w:val="13"/>
            </w:pPr>
            <w:r>
              <w:t>中央广播电视节目无线覆盖（数字）维护资金金额</w:t>
            </w:r>
          </w:p>
        </w:tc>
        <w:tc>
          <w:tcPr>
            <w:tcW w:w="2268" w:type="dxa"/>
            <w:vAlign w:val="center"/>
          </w:tcPr>
          <w:p>
            <w:pPr>
              <w:pStyle w:val="13"/>
            </w:pPr>
            <w:r>
              <w:t>16.2万</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提高群众文化生活水平</w:t>
            </w:r>
          </w:p>
        </w:tc>
        <w:tc>
          <w:tcPr>
            <w:tcW w:w="5386" w:type="dxa"/>
            <w:vAlign w:val="center"/>
          </w:tcPr>
          <w:p>
            <w:pPr>
              <w:pStyle w:val="13"/>
            </w:pPr>
            <w:r>
              <w:t>提高全县群众文化生活水平，促进美丽乡村建设</w:t>
            </w:r>
          </w:p>
        </w:tc>
        <w:tc>
          <w:tcPr>
            <w:tcW w:w="2268" w:type="dxa"/>
            <w:vAlign w:val="center"/>
          </w:tcPr>
          <w:p>
            <w:pPr>
              <w:pStyle w:val="13"/>
            </w:pPr>
            <w:r>
              <w:t>≥90%</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扩大广播电视影响力</w:t>
            </w:r>
          </w:p>
        </w:tc>
        <w:tc>
          <w:tcPr>
            <w:tcW w:w="5386" w:type="dxa"/>
            <w:vAlign w:val="center"/>
          </w:tcPr>
          <w:p>
            <w:pPr>
              <w:pStyle w:val="13"/>
            </w:pPr>
            <w:r>
              <w:t>广播电视发展环境健康向上，发展能力不断增强，公共服务水平不断提高，扩大广播电视影响力</w:t>
            </w:r>
          </w:p>
        </w:tc>
        <w:tc>
          <w:tcPr>
            <w:tcW w:w="2268" w:type="dxa"/>
            <w:vAlign w:val="center"/>
          </w:tcPr>
          <w:p>
            <w:pPr>
              <w:pStyle w:val="13"/>
            </w:pPr>
            <w:r>
              <w:t>≥90%</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全县人民群众对广播电视节目的满意度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4、冀财教[2025]135号  河北省财政厅关于提前下达2026年省级公共文化服务体系建设补助资金的通知绩效目标表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13043326P00005110011Y</w:t>
            </w:r>
          </w:p>
        </w:tc>
        <w:tc>
          <w:tcPr>
            <w:tcW w:w="2835" w:type="dxa"/>
            <w:vAlign w:val="center"/>
          </w:tcPr>
          <w:p>
            <w:pPr>
              <w:pStyle w:val="11"/>
            </w:pPr>
            <w:r>
              <w:t>项目名称</w:t>
            </w:r>
          </w:p>
        </w:tc>
        <w:tc>
          <w:tcPr>
            <w:tcW w:w="6095" w:type="dxa"/>
            <w:gridSpan w:val="3"/>
            <w:vAlign w:val="center"/>
          </w:tcPr>
          <w:p>
            <w:pPr>
              <w:pStyle w:val="13"/>
            </w:pPr>
            <w:r>
              <w:t>冀财教[2025]135号  河北省财政厅关于提前下达2026年省级公共文化服务体系建设补助资金的通知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用于发射台站运行维护，更新购买发射设备，确保全县人民都能收看到中央广播电视台节目和省级广播电视节目，提高全县群众文化生活水平，促进美丽乡村建设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1.用于发射台站运行维护，更新购买发射设备，确保全县人民都能收看到中央广播电视台节目和省级广播电视节目，提高全县群众文化生活水平，促进美丽乡村建设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设备维护数量</w:t>
            </w:r>
          </w:p>
        </w:tc>
        <w:tc>
          <w:tcPr>
            <w:tcW w:w="5386" w:type="dxa"/>
            <w:vAlign w:val="center"/>
          </w:tcPr>
          <w:p>
            <w:pPr>
              <w:pStyle w:val="13"/>
            </w:pPr>
            <w:r>
              <w:t>中央和省级广播电视节目传输设备维护数量</w:t>
            </w:r>
          </w:p>
        </w:tc>
        <w:tc>
          <w:tcPr>
            <w:tcW w:w="2268" w:type="dxa"/>
            <w:vAlign w:val="center"/>
          </w:tcPr>
          <w:p>
            <w:pPr>
              <w:pStyle w:val="13"/>
            </w:pPr>
            <w:r>
              <w:t>≥5台</w:t>
            </w:r>
          </w:p>
        </w:tc>
        <w:tc>
          <w:tcPr>
            <w:tcW w:w="1276" w:type="dxa"/>
            <w:vAlign w:val="center"/>
          </w:tcPr>
          <w:p>
            <w:pPr>
              <w:pStyle w:val="13"/>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安全播出率</w:t>
            </w:r>
          </w:p>
        </w:tc>
        <w:tc>
          <w:tcPr>
            <w:tcW w:w="5386" w:type="dxa"/>
            <w:vAlign w:val="center"/>
          </w:tcPr>
          <w:p>
            <w:pPr>
              <w:pStyle w:val="13"/>
            </w:pPr>
            <w:r>
              <w:t>电视节目安全播出时间占全年总播出节目时间的比率</w:t>
            </w:r>
          </w:p>
        </w:tc>
        <w:tc>
          <w:tcPr>
            <w:tcW w:w="2268" w:type="dxa"/>
            <w:vAlign w:val="center"/>
          </w:tcPr>
          <w:p>
            <w:pPr>
              <w:pStyle w:val="13"/>
            </w:pPr>
            <w:r>
              <w:t>100%</w:t>
            </w:r>
          </w:p>
        </w:tc>
        <w:tc>
          <w:tcPr>
            <w:tcW w:w="1276" w:type="dxa"/>
            <w:vAlign w:val="center"/>
          </w:tcPr>
          <w:p>
            <w:pPr>
              <w:pStyle w:val="13"/>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按时转播</w:t>
            </w:r>
          </w:p>
        </w:tc>
        <w:tc>
          <w:tcPr>
            <w:tcW w:w="5386" w:type="dxa"/>
            <w:vAlign w:val="center"/>
          </w:tcPr>
          <w:p>
            <w:pPr>
              <w:pStyle w:val="13"/>
            </w:pPr>
            <w:r>
              <w:t>按国家广电总局要求，每天高质量及时完成中央电视节目转播</w:t>
            </w:r>
          </w:p>
        </w:tc>
        <w:tc>
          <w:tcPr>
            <w:tcW w:w="2268" w:type="dxa"/>
            <w:vAlign w:val="center"/>
          </w:tcPr>
          <w:p>
            <w:pPr>
              <w:pStyle w:val="13"/>
            </w:pPr>
            <w:r>
              <w:t>≤1天</w:t>
            </w:r>
          </w:p>
        </w:tc>
        <w:tc>
          <w:tcPr>
            <w:tcW w:w="1276" w:type="dxa"/>
            <w:vAlign w:val="center"/>
          </w:tcPr>
          <w:p>
            <w:pPr>
              <w:pStyle w:val="13"/>
            </w:pPr>
            <w:r>
              <w:t>转播节目单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运行维护费</w:t>
            </w:r>
          </w:p>
        </w:tc>
        <w:tc>
          <w:tcPr>
            <w:tcW w:w="5386" w:type="dxa"/>
            <w:vAlign w:val="center"/>
          </w:tcPr>
          <w:p>
            <w:pPr>
              <w:pStyle w:val="13"/>
            </w:pPr>
            <w:r>
              <w:t>转播中央和省级节目台站运行维护资金、省一套广播节目无线覆盖工程运行维护资金</w:t>
            </w:r>
          </w:p>
        </w:tc>
        <w:tc>
          <w:tcPr>
            <w:tcW w:w="2268" w:type="dxa"/>
            <w:vAlign w:val="center"/>
          </w:tcPr>
          <w:p>
            <w:pPr>
              <w:pStyle w:val="13"/>
            </w:pPr>
            <w:r>
              <w:t>20万</w:t>
            </w:r>
          </w:p>
        </w:tc>
        <w:tc>
          <w:tcPr>
            <w:tcW w:w="1276" w:type="dxa"/>
            <w:vAlign w:val="center"/>
          </w:tcPr>
          <w:p>
            <w:pPr>
              <w:pStyle w:val="13"/>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提高群众文化生活水平</w:t>
            </w:r>
          </w:p>
        </w:tc>
        <w:tc>
          <w:tcPr>
            <w:tcW w:w="5386" w:type="dxa"/>
            <w:vAlign w:val="center"/>
          </w:tcPr>
          <w:p>
            <w:pPr>
              <w:pStyle w:val="13"/>
            </w:pPr>
            <w:r>
              <w:t>提高全县群众文化生活水平，促进美丽乡村建设</w:t>
            </w:r>
          </w:p>
        </w:tc>
        <w:tc>
          <w:tcPr>
            <w:tcW w:w="2268" w:type="dxa"/>
            <w:vAlign w:val="center"/>
          </w:tcPr>
          <w:p>
            <w:pPr>
              <w:pStyle w:val="13"/>
            </w:pPr>
            <w:r>
              <w:t>≥90%</w:t>
            </w:r>
          </w:p>
        </w:tc>
        <w:tc>
          <w:tcPr>
            <w:tcW w:w="1276" w:type="dxa"/>
            <w:vAlign w:val="center"/>
          </w:tcPr>
          <w:p>
            <w:pPr>
              <w:pStyle w:val="13"/>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扩大广播电视影响力</w:t>
            </w:r>
          </w:p>
        </w:tc>
        <w:tc>
          <w:tcPr>
            <w:tcW w:w="5386" w:type="dxa"/>
            <w:vAlign w:val="center"/>
          </w:tcPr>
          <w:p>
            <w:pPr>
              <w:pStyle w:val="13"/>
            </w:pPr>
            <w:r>
              <w:t>广播电视发展环境健康向上，发展能力不断增强，公共服务水平不断提高，扩大广播电视影响力</w:t>
            </w:r>
          </w:p>
        </w:tc>
        <w:tc>
          <w:tcPr>
            <w:tcW w:w="2268" w:type="dxa"/>
            <w:vAlign w:val="center"/>
          </w:tcPr>
          <w:p>
            <w:pPr>
              <w:pStyle w:val="13"/>
            </w:pPr>
            <w:r>
              <w:t>≥90%</w:t>
            </w:r>
          </w:p>
        </w:tc>
        <w:tc>
          <w:tcPr>
            <w:tcW w:w="1276" w:type="dxa"/>
            <w:vAlign w:val="center"/>
          </w:tcPr>
          <w:p>
            <w:pPr>
              <w:pStyle w:val="13"/>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全县人民群众对广播电视节目的满意度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5、冀财教[2025]44号 关于下达2025年中央支持地方公共文化服务体系建设补助资金预算的通知绩效目标表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13043325P00002510023L</w:t>
            </w:r>
          </w:p>
        </w:tc>
        <w:tc>
          <w:tcPr>
            <w:tcW w:w="2835" w:type="dxa"/>
            <w:vAlign w:val="center"/>
          </w:tcPr>
          <w:p>
            <w:pPr>
              <w:pStyle w:val="11"/>
            </w:pPr>
            <w:r>
              <w:t>项目名称</w:t>
            </w:r>
          </w:p>
        </w:tc>
        <w:tc>
          <w:tcPr>
            <w:tcW w:w="6095" w:type="dxa"/>
            <w:gridSpan w:val="3"/>
            <w:vAlign w:val="center"/>
          </w:tcPr>
          <w:p>
            <w:pPr>
              <w:pStyle w:val="13"/>
            </w:pPr>
            <w:r>
              <w:t>冀财教[2025]44号 关于下达2025年中央支持地方公共文化服务体系建设补助资金预算的通知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53.00</w:t>
            </w:r>
          </w:p>
        </w:tc>
        <w:tc>
          <w:tcPr>
            <w:tcW w:w="2835" w:type="dxa"/>
            <w:vAlign w:val="center"/>
          </w:tcPr>
          <w:p>
            <w:pPr>
              <w:pStyle w:val="11"/>
            </w:pPr>
            <w:r>
              <w:t>其中：财政    资金</w:t>
            </w:r>
          </w:p>
        </w:tc>
        <w:tc>
          <w:tcPr>
            <w:tcW w:w="2551" w:type="dxa"/>
            <w:vAlign w:val="center"/>
          </w:tcPr>
          <w:p>
            <w:pPr>
              <w:pStyle w:val="13"/>
            </w:pPr>
            <w:r>
              <w:t>53.00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用于融媒体中心摄录编播设备的购置及维修维护，保障电视台设备高质量运转，促进广播电视发展能力不断增强，促进县级媒体全面深度融合发展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1.用于融媒体中心摄录编播设备的购置及维修维护，保障电视台设备高质量运转，促进广播电视发展能力不断增强，促进县级媒体全面深度融合发展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购置设备数量</w:t>
            </w:r>
          </w:p>
        </w:tc>
        <w:tc>
          <w:tcPr>
            <w:tcW w:w="5386" w:type="dxa"/>
            <w:vAlign w:val="center"/>
          </w:tcPr>
          <w:p>
            <w:pPr>
              <w:pStyle w:val="13"/>
            </w:pPr>
            <w:r>
              <w:t>购置全媒体传播所需设备的数量</w:t>
            </w:r>
          </w:p>
        </w:tc>
        <w:tc>
          <w:tcPr>
            <w:tcW w:w="2268" w:type="dxa"/>
            <w:vAlign w:val="center"/>
          </w:tcPr>
          <w:p>
            <w:pPr>
              <w:pStyle w:val="13"/>
            </w:pPr>
            <w:r>
              <w:t>≥10台</w:t>
            </w:r>
          </w:p>
        </w:tc>
        <w:tc>
          <w:tcPr>
            <w:tcW w:w="1276" w:type="dxa"/>
            <w:vAlign w:val="center"/>
          </w:tcPr>
          <w:p>
            <w:pPr>
              <w:pStyle w:val="13"/>
            </w:pPr>
            <w:r>
              <w:t>2025融媒体中心设备购置计划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节目安全播出率</w:t>
            </w:r>
          </w:p>
        </w:tc>
        <w:tc>
          <w:tcPr>
            <w:tcW w:w="5386" w:type="dxa"/>
            <w:vAlign w:val="center"/>
          </w:tcPr>
          <w:p>
            <w:pPr>
              <w:pStyle w:val="13"/>
            </w:pPr>
            <w:r>
              <w:t>电视节目安全播出时间占全年总播出节目时间的比率</w:t>
            </w:r>
          </w:p>
        </w:tc>
        <w:tc>
          <w:tcPr>
            <w:tcW w:w="2268" w:type="dxa"/>
            <w:vAlign w:val="center"/>
          </w:tcPr>
          <w:p>
            <w:pPr>
              <w:pStyle w:val="13"/>
            </w:pPr>
            <w:r>
              <w:t>100%</w:t>
            </w:r>
          </w:p>
        </w:tc>
        <w:tc>
          <w:tcPr>
            <w:tcW w:w="1276" w:type="dxa"/>
            <w:vAlign w:val="center"/>
          </w:tcPr>
          <w:p>
            <w:pPr>
              <w:pStyle w:val="13"/>
            </w:pPr>
            <w:r>
              <w:t>国家新闻出版广电总局第62号令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按时转播</w:t>
            </w:r>
          </w:p>
        </w:tc>
        <w:tc>
          <w:tcPr>
            <w:tcW w:w="5386" w:type="dxa"/>
            <w:vAlign w:val="center"/>
          </w:tcPr>
          <w:p>
            <w:pPr>
              <w:pStyle w:val="13"/>
            </w:pPr>
            <w:r>
              <w:t>按国家广电总局要求，每天高质量及时完成中央电视节目转播</w:t>
            </w:r>
          </w:p>
        </w:tc>
        <w:tc>
          <w:tcPr>
            <w:tcW w:w="2268" w:type="dxa"/>
            <w:vAlign w:val="center"/>
          </w:tcPr>
          <w:p>
            <w:pPr>
              <w:pStyle w:val="13"/>
            </w:pPr>
            <w:r>
              <w:t>365天</w:t>
            </w:r>
          </w:p>
        </w:tc>
        <w:tc>
          <w:tcPr>
            <w:tcW w:w="1276" w:type="dxa"/>
            <w:vAlign w:val="center"/>
          </w:tcPr>
          <w:p>
            <w:pPr>
              <w:pStyle w:val="13"/>
            </w:pPr>
            <w:r>
              <w:t>广电办发[2022]159号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设备购置维护成本</w:t>
            </w:r>
          </w:p>
        </w:tc>
        <w:tc>
          <w:tcPr>
            <w:tcW w:w="5386" w:type="dxa"/>
            <w:vAlign w:val="center"/>
          </w:tcPr>
          <w:p>
            <w:pPr>
              <w:pStyle w:val="13"/>
            </w:pPr>
            <w:r>
              <w:t>全年摄录编播设备的购置运行维护费成本</w:t>
            </w:r>
          </w:p>
        </w:tc>
        <w:tc>
          <w:tcPr>
            <w:tcW w:w="2268" w:type="dxa"/>
            <w:vAlign w:val="center"/>
          </w:tcPr>
          <w:p>
            <w:pPr>
              <w:pStyle w:val="13"/>
            </w:pPr>
            <w:r>
              <w:t>53万元</w:t>
            </w:r>
          </w:p>
        </w:tc>
        <w:tc>
          <w:tcPr>
            <w:tcW w:w="1276" w:type="dxa"/>
            <w:vAlign w:val="center"/>
          </w:tcPr>
          <w:p>
            <w:pPr>
              <w:pStyle w:val="13"/>
            </w:pPr>
            <w:r>
              <w:t>冀财教[2025]44号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促进宣传工作发展</w:t>
            </w:r>
          </w:p>
        </w:tc>
        <w:tc>
          <w:tcPr>
            <w:tcW w:w="5386" w:type="dxa"/>
            <w:vAlign w:val="center"/>
          </w:tcPr>
          <w:p>
            <w:pPr>
              <w:pStyle w:val="13"/>
            </w:pPr>
            <w:r>
              <w:t>促进县级融媒体宣传工作健康发展，提高宣传水平，促进媒体全面融合</w:t>
            </w:r>
          </w:p>
        </w:tc>
        <w:tc>
          <w:tcPr>
            <w:tcW w:w="2268" w:type="dxa"/>
            <w:vAlign w:val="center"/>
          </w:tcPr>
          <w:p>
            <w:pPr>
              <w:pStyle w:val="13"/>
            </w:pPr>
            <w:r>
              <w:t>≥90%</w:t>
            </w:r>
          </w:p>
        </w:tc>
        <w:tc>
          <w:tcPr>
            <w:tcW w:w="1276" w:type="dxa"/>
            <w:vAlign w:val="center"/>
          </w:tcPr>
          <w:p>
            <w:pPr>
              <w:pStyle w:val="13"/>
            </w:pPr>
            <w:r>
              <w:t>冀财教[2025]44号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扩大广播电视影响力</w:t>
            </w:r>
          </w:p>
        </w:tc>
        <w:tc>
          <w:tcPr>
            <w:tcW w:w="5386" w:type="dxa"/>
            <w:vAlign w:val="center"/>
          </w:tcPr>
          <w:p>
            <w:pPr>
              <w:pStyle w:val="13"/>
            </w:pPr>
            <w:r>
              <w:t>广播电视发展环境健康向上，发展能力不断增强，公共服务水平不断提高，扩大广播电视影响力</w:t>
            </w:r>
          </w:p>
        </w:tc>
        <w:tc>
          <w:tcPr>
            <w:tcW w:w="2268" w:type="dxa"/>
            <w:vAlign w:val="center"/>
          </w:tcPr>
          <w:p>
            <w:pPr>
              <w:pStyle w:val="13"/>
            </w:pPr>
            <w:r>
              <w:t>≥90%</w:t>
            </w:r>
          </w:p>
        </w:tc>
        <w:tc>
          <w:tcPr>
            <w:tcW w:w="1276" w:type="dxa"/>
            <w:vAlign w:val="center"/>
          </w:tcPr>
          <w:p>
            <w:pPr>
              <w:pStyle w:val="13"/>
            </w:pPr>
            <w:r>
              <w:t>冀财教[2025]44号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人民群众的满意度</w:t>
            </w:r>
          </w:p>
        </w:tc>
        <w:tc>
          <w:tcPr>
            <w:tcW w:w="5386" w:type="dxa"/>
            <w:vAlign w:val="center"/>
          </w:tcPr>
          <w:p>
            <w:pPr>
              <w:pStyle w:val="13"/>
            </w:pPr>
            <w:r>
              <w:t>全县人民群众对广播电视节目的满意度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6、联播邯郸频道占用资金绩效目标表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13043326P00005110004X</w:t>
            </w:r>
          </w:p>
        </w:tc>
        <w:tc>
          <w:tcPr>
            <w:tcW w:w="2835" w:type="dxa"/>
            <w:vAlign w:val="center"/>
          </w:tcPr>
          <w:p>
            <w:pPr>
              <w:pStyle w:val="11"/>
            </w:pPr>
            <w:r>
              <w:t>项目名称</w:t>
            </w:r>
          </w:p>
        </w:tc>
        <w:tc>
          <w:tcPr>
            <w:tcW w:w="6095" w:type="dxa"/>
            <w:gridSpan w:val="3"/>
            <w:vAlign w:val="center"/>
          </w:tcPr>
          <w:p>
            <w:pPr>
              <w:pStyle w:val="13"/>
            </w:pPr>
            <w:r>
              <w:t>联播邯郸频道占用资金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为充分展示馆陶形象，提升馆陶在全市的知名度和美誉度，跟邯郸电视台联合开办《联播邯郸》栏目，循环播出我县动态新闻。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1.为充分展示馆陶形象，提升馆陶在全市的知名度和美誉度，跟邯郸电视台联合开办《联播邯郸》栏目，循环播出我县动态新闻。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播发新闻节目数量</w:t>
            </w:r>
          </w:p>
        </w:tc>
        <w:tc>
          <w:tcPr>
            <w:tcW w:w="5386" w:type="dxa"/>
            <w:vAlign w:val="center"/>
          </w:tcPr>
          <w:p>
            <w:pPr>
              <w:pStyle w:val="13"/>
            </w:pPr>
            <w:r>
              <w:t>在市电视台播发新闻节目的数量</w:t>
            </w:r>
          </w:p>
        </w:tc>
        <w:tc>
          <w:tcPr>
            <w:tcW w:w="2268" w:type="dxa"/>
            <w:vAlign w:val="center"/>
          </w:tcPr>
          <w:p>
            <w:pPr>
              <w:pStyle w:val="13"/>
            </w:pPr>
            <w:r>
              <w:t>≥48期</w:t>
            </w:r>
          </w:p>
        </w:tc>
        <w:tc>
          <w:tcPr>
            <w:tcW w:w="1276" w:type="dxa"/>
            <w:vAlign w:val="center"/>
          </w:tcPr>
          <w:p>
            <w:pPr>
              <w:pStyle w:val="13"/>
            </w:pPr>
            <w:r>
              <w:t>《联播邯郸》频道占用资金合作协议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新闻节目质量的达标率</w:t>
            </w:r>
          </w:p>
        </w:tc>
        <w:tc>
          <w:tcPr>
            <w:tcW w:w="5386" w:type="dxa"/>
            <w:vAlign w:val="center"/>
          </w:tcPr>
          <w:p>
            <w:pPr>
              <w:pStyle w:val="13"/>
            </w:pPr>
            <w:r>
              <w:t>达标的馆陶新闻节目占总馆陶新闻节目的比例</w:t>
            </w:r>
          </w:p>
        </w:tc>
        <w:tc>
          <w:tcPr>
            <w:tcW w:w="2268" w:type="dxa"/>
            <w:vAlign w:val="center"/>
          </w:tcPr>
          <w:p>
            <w:pPr>
              <w:pStyle w:val="13"/>
            </w:pPr>
            <w:r>
              <w:t>100%</w:t>
            </w:r>
          </w:p>
        </w:tc>
        <w:tc>
          <w:tcPr>
            <w:tcW w:w="1276" w:type="dxa"/>
            <w:vAlign w:val="center"/>
          </w:tcPr>
          <w:p>
            <w:pPr>
              <w:pStyle w:val="13"/>
            </w:pPr>
            <w:r>
              <w:t>联播邯郸频道占用资金项目实施计划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及时支付</w:t>
            </w:r>
          </w:p>
        </w:tc>
        <w:tc>
          <w:tcPr>
            <w:tcW w:w="5386" w:type="dxa"/>
            <w:vAlign w:val="center"/>
          </w:tcPr>
          <w:p>
            <w:pPr>
              <w:pStyle w:val="13"/>
            </w:pPr>
            <w:r>
              <w:t>在协议规定时间内及时支付联播邯郸频道占用资金</w:t>
            </w:r>
          </w:p>
        </w:tc>
        <w:tc>
          <w:tcPr>
            <w:tcW w:w="2268" w:type="dxa"/>
            <w:vAlign w:val="center"/>
          </w:tcPr>
          <w:p>
            <w:pPr>
              <w:pStyle w:val="13"/>
            </w:pPr>
            <w:r>
              <w:t>≤6月</w:t>
            </w:r>
          </w:p>
        </w:tc>
        <w:tc>
          <w:tcPr>
            <w:tcW w:w="1276" w:type="dxa"/>
            <w:vAlign w:val="center"/>
          </w:tcPr>
          <w:p>
            <w:pPr>
              <w:pStyle w:val="13"/>
            </w:pPr>
            <w:r>
              <w:t>联播邯郸频道占用资金项目实施计划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联播邯郸频道占用资金</w:t>
            </w:r>
          </w:p>
        </w:tc>
        <w:tc>
          <w:tcPr>
            <w:tcW w:w="5386" w:type="dxa"/>
            <w:vAlign w:val="center"/>
          </w:tcPr>
          <w:p>
            <w:pPr>
              <w:pStyle w:val="13"/>
            </w:pPr>
            <w:r>
              <w:t>支付2026年联播邯郸频道占用资金</w:t>
            </w:r>
          </w:p>
        </w:tc>
        <w:tc>
          <w:tcPr>
            <w:tcW w:w="2268" w:type="dxa"/>
            <w:vAlign w:val="center"/>
          </w:tcPr>
          <w:p>
            <w:pPr>
              <w:pStyle w:val="13"/>
            </w:pPr>
            <w:r>
              <w:t>30万</w:t>
            </w:r>
          </w:p>
        </w:tc>
        <w:tc>
          <w:tcPr>
            <w:tcW w:w="1276" w:type="dxa"/>
            <w:vAlign w:val="center"/>
          </w:tcPr>
          <w:p>
            <w:pPr>
              <w:pStyle w:val="13"/>
            </w:pPr>
            <w:r>
              <w:t>《联播邯郸》频道占用资金合作协议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提升宣传效果</w:t>
            </w:r>
          </w:p>
        </w:tc>
        <w:tc>
          <w:tcPr>
            <w:tcW w:w="5386" w:type="dxa"/>
            <w:vAlign w:val="center"/>
          </w:tcPr>
          <w:p>
            <w:pPr>
              <w:pStyle w:val="13"/>
            </w:pPr>
            <w:r>
              <w:t>在全市更好的宣传馆陶，充分展示馆陶形象</w:t>
            </w:r>
          </w:p>
        </w:tc>
        <w:tc>
          <w:tcPr>
            <w:tcW w:w="2268" w:type="dxa"/>
            <w:vAlign w:val="center"/>
          </w:tcPr>
          <w:p>
            <w:pPr>
              <w:pStyle w:val="13"/>
            </w:pPr>
            <w:r>
              <w:t>≥95%</w:t>
            </w:r>
          </w:p>
        </w:tc>
        <w:tc>
          <w:tcPr>
            <w:tcW w:w="1276" w:type="dxa"/>
            <w:vAlign w:val="center"/>
          </w:tcPr>
          <w:p>
            <w:pPr>
              <w:pStyle w:val="13"/>
            </w:pPr>
            <w:r>
              <w:t>《联播邯郸》频道占用资金合作协议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持续提升形象</w:t>
            </w:r>
          </w:p>
        </w:tc>
        <w:tc>
          <w:tcPr>
            <w:tcW w:w="5386" w:type="dxa"/>
            <w:vAlign w:val="center"/>
          </w:tcPr>
          <w:p>
            <w:pPr>
              <w:pStyle w:val="13"/>
            </w:pPr>
            <w:r>
              <w:t>持续提升馆陶在全市的知名度和美誉度</w:t>
            </w:r>
          </w:p>
        </w:tc>
        <w:tc>
          <w:tcPr>
            <w:tcW w:w="2268" w:type="dxa"/>
            <w:vAlign w:val="center"/>
          </w:tcPr>
          <w:p>
            <w:pPr>
              <w:pStyle w:val="13"/>
            </w:pPr>
            <w:r>
              <w:t>≥90%</w:t>
            </w:r>
          </w:p>
        </w:tc>
        <w:tc>
          <w:tcPr>
            <w:tcW w:w="1276" w:type="dxa"/>
            <w:vAlign w:val="center"/>
          </w:tcPr>
          <w:p>
            <w:pPr>
              <w:pStyle w:val="13"/>
            </w:pPr>
            <w:r>
              <w:t>《联播邯郸》频道占用资金合作协议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全县群众对《联播邯郸》栏目的满意度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7、融媒体运行经费绩效目标表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13043326P00005010003L</w:t>
            </w:r>
          </w:p>
        </w:tc>
        <w:tc>
          <w:tcPr>
            <w:tcW w:w="2835" w:type="dxa"/>
            <w:vAlign w:val="center"/>
          </w:tcPr>
          <w:p>
            <w:pPr>
              <w:pStyle w:val="11"/>
            </w:pPr>
            <w:r>
              <w:t>项目名称</w:t>
            </w:r>
          </w:p>
        </w:tc>
        <w:tc>
          <w:tcPr>
            <w:tcW w:w="6095" w:type="dxa"/>
            <w:gridSpan w:val="3"/>
            <w:vAlign w:val="center"/>
          </w:tcPr>
          <w:p>
            <w:pPr>
              <w:pStyle w:val="13"/>
            </w:pPr>
            <w:r>
              <w:t>融媒体运行经费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融媒体运行经费用于2026年机关事业单位正常运转支出，提高单位工作效率，保障单位正常运转，进一步提高新媒体的深度融合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1.融媒体运行经费用于2026年机关事业单位正常运转支出，提高单位工作效率，保障单位正常运转，进一步提高新媒体的深度融合。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在职干部职工人员数量</w:t>
            </w:r>
          </w:p>
        </w:tc>
        <w:tc>
          <w:tcPr>
            <w:tcW w:w="2268" w:type="dxa"/>
            <w:vAlign w:val="center"/>
          </w:tcPr>
          <w:p>
            <w:pPr>
              <w:pStyle w:val="13"/>
            </w:pPr>
            <w:r>
              <w:t>46人</w:t>
            </w:r>
          </w:p>
        </w:tc>
        <w:tc>
          <w:tcPr>
            <w:tcW w:w="1276" w:type="dxa"/>
            <w:vAlign w:val="center"/>
          </w:tcPr>
          <w:p>
            <w:pPr>
              <w:pStyle w:val="13"/>
            </w:pPr>
            <w:r>
              <w:t>干部职工花名册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发放到位率</w:t>
            </w:r>
          </w:p>
        </w:tc>
        <w:tc>
          <w:tcPr>
            <w:tcW w:w="5386" w:type="dxa"/>
            <w:vAlign w:val="center"/>
          </w:tcPr>
          <w:p>
            <w:pPr>
              <w:pStyle w:val="13"/>
            </w:pPr>
            <w:r>
              <w:t>实拨金额占应拨金额的比例</w:t>
            </w:r>
          </w:p>
        </w:tc>
        <w:tc>
          <w:tcPr>
            <w:tcW w:w="2268" w:type="dxa"/>
            <w:vAlign w:val="center"/>
          </w:tcPr>
          <w:p>
            <w:pPr>
              <w:pStyle w:val="13"/>
            </w:pPr>
            <w:r>
              <w:t>100%</w:t>
            </w:r>
          </w:p>
        </w:tc>
        <w:tc>
          <w:tcPr>
            <w:tcW w:w="1276" w:type="dxa"/>
            <w:vAlign w:val="center"/>
          </w:tcPr>
          <w:p>
            <w:pPr>
              <w:pStyle w:val="13"/>
            </w:pPr>
            <w:r>
              <w:t>拨款凭证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w:t>
            </w:r>
          </w:p>
        </w:tc>
        <w:tc>
          <w:tcPr>
            <w:tcW w:w="5386" w:type="dxa"/>
            <w:vAlign w:val="center"/>
          </w:tcPr>
          <w:p>
            <w:pPr>
              <w:pStyle w:val="13"/>
            </w:pPr>
            <w:r>
              <w:t>每季度按经费审批报告拨付到位</w:t>
            </w:r>
          </w:p>
        </w:tc>
        <w:tc>
          <w:tcPr>
            <w:tcW w:w="2268" w:type="dxa"/>
            <w:vAlign w:val="center"/>
          </w:tcPr>
          <w:p>
            <w:pPr>
              <w:pStyle w:val="13"/>
            </w:pPr>
            <w:r>
              <w:t>≤1季度</w:t>
            </w:r>
          </w:p>
        </w:tc>
        <w:tc>
          <w:tcPr>
            <w:tcW w:w="1276" w:type="dxa"/>
            <w:vAlign w:val="center"/>
          </w:tcPr>
          <w:p>
            <w:pPr>
              <w:pStyle w:val="13"/>
            </w:pPr>
            <w:r>
              <w:t>拨款凭证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融媒体运行经费</w:t>
            </w:r>
          </w:p>
        </w:tc>
        <w:tc>
          <w:tcPr>
            <w:tcW w:w="5386" w:type="dxa"/>
            <w:vAlign w:val="center"/>
          </w:tcPr>
          <w:p>
            <w:pPr>
              <w:pStyle w:val="13"/>
            </w:pPr>
            <w:r>
              <w:t>保障融媒体运转全年所需的经费</w:t>
            </w:r>
          </w:p>
        </w:tc>
        <w:tc>
          <w:tcPr>
            <w:tcW w:w="2268" w:type="dxa"/>
            <w:vAlign w:val="center"/>
          </w:tcPr>
          <w:p>
            <w:pPr>
              <w:pStyle w:val="13"/>
            </w:pPr>
            <w:r>
              <w:t>21.4万元</w:t>
            </w:r>
          </w:p>
        </w:tc>
        <w:tc>
          <w:tcPr>
            <w:tcW w:w="1276" w:type="dxa"/>
            <w:vAlign w:val="center"/>
          </w:tcPr>
          <w:p>
            <w:pPr>
              <w:pStyle w:val="13"/>
            </w:pPr>
            <w:r>
              <w:t>融媒体运行经费测算表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推动重点工作进一步开展</w:t>
            </w:r>
          </w:p>
        </w:tc>
        <w:tc>
          <w:tcPr>
            <w:tcW w:w="5386" w:type="dxa"/>
            <w:vAlign w:val="center"/>
          </w:tcPr>
          <w:p>
            <w:pPr>
              <w:pStyle w:val="13"/>
            </w:pPr>
            <w:r>
              <w:t>助推活力新城、魅力馆陶加快建设，高质量完成承担的宣传报道工作。</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提高工作效率</w:t>
            </w:r>
          </w:p>
        </w:tc>
        <w:tc>
          <w:tcPr>
            <w:tcW w:w="5386" w:type="dxa"/>
            <w:vAlign w:val="center"/>
          </w:tcPr>
          <w:p>
            <w:pPr>
              <w:pStyle w:val="13"/>
            </w:pPr>
            <w:r>
              <w:t>高效完成承担的工作，单位履职尽责到位。</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机关工作人员满意度</w:t>
            </w:r>
          </w:p>
        </w:tc>
        <w:tc>
          <w:tcPr>
            <w:tcW w:w="5386" w:type="dxa"/>
            <w:vAlign w:val="center"/>
          </w:tcPr>
          <w:p>
            <w:pPr>
              <w:pStyle w:val="13"/>
            </w:pPr>
            <w:r>
              <w:t>机关工作人员对单位保障情况的满意程度</w:t>
            </w:r>
          </w:p>
        </w:tc>
        <w:tc>
          <w:tcPr>
            <w:tcW w:w="2268" w:type="dxa"/>
            <w:vAlign w:val="center"/>
          </w:tcPr>
          <w:p>
            <w:pPr>
              <w:pStyle w:val="13"/>
            </w:pPr>
            <w:r>
              <w:t>≥98%</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359馆陶县融媒体中心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18.20</w:t>
            </w:r>
          </w:p>
        </w:tc>
        <w:tc>
          <w:tcPr>
            <w:tcW w:w="964" w:type="dxa"/>
            <w:vAlign w:val="center"/>
          </w:tcPr>
          <w:p>
            <w:pPr>
              <w:pStyle w:val="16"/>
            </w:pPr>
            <w:r>
              <w:t>18.20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馆陶县融媒体中心本级小计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18.20</w:t>
            </w:r>
          </w:p>
        </w:tc>
        <w:tc>
          <w:tcPr>
            <w:tcW w:w="964" w:type="dxa"/>
            <w:vAlign w:val="center"/>
          </w:tcPr>
          <w:p>
            <w:pPr>
              <w:pStyle w:val="16"/>
            </w:pPr>
            <w:r>
              <w:t>18.20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冀财教[2025]135号  河北省财政厅关于提前下达2026年省级公共文化服务体系建设补助资金的通知</w:t>
            </w:r>
          </w:p>
        </w:tc>
        <w:tc>
          <w:tcPr>
            <w:tcW w:w="964" w:type="dxa"/>
            <w:vAlign w:val="center"/>
          </w:tcPr>
          <w:p>
            <w:pPr>
              <w:pStyle w:val="12"/>
            </w:pPr>
            <w:r>
              <w:t>20.00</w:t>
            </w:r>
          </w:p>
        </w:tc>
        <w:tc>
          <w:tcPr>
            <w:tcW w:w="1134" w:type="dxa"/>
            <w:vAlign w:val="center"/>
          </w:tcPr>
          <w:p>
            <w:pPr>
              <w:pStyle w:val="13"/>
            </w:pPr>
            <w:r>
              <w:t>专用制冷空调设备</w:t>
            </w:r>
          </w:p>
        </w:tc>
        <w:tc>
          <w:tcPr>
            <w:tcW w:w="1134" w:type="dxa"/>
            <w:vAlign w:val="center"/>
          </w:tcPr>
          <w:p>
            <w:pPr>
              <w:pStyle w:val="13"/>
            </w:pPr>
            <w:r>
              <w:t>A02052309</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冀财教[2025]135号  河北省财政厅关于提前下达2026年省级公共文化服务体系建设补助资金的通知</w:t>
            </w:r>
          </w:p>
        </w:tc>
        <w:tc>
          <w:tcPr>
            <w:tcW w:w="964" w:type="dxa"/>
            <w:vAlign w:val="center"/>
          </w:tcPr>
          <w:p>
            <w:pPr>
              <w:pStyle w:val="12"/>
            </w:pPr>
            <w:r>
              <w:t>20.00</w:t>
            </w:r>
          </w:p>
        </w:tc>
        <w:tc>
          <w:tcPr>
            <w:tcW w:w="1134" w:type="dxa"/>
            <w:vAlign w:val="center"/>
          </w:tcPr>
          <w:p>
            <w:pPr>
              <w:pStyle w:val="13"/>
            </w:pPr>
            <w:r>
              <w:t>广播和电视接收设备</w:t>
            </w:r>
          </w:p>
        </w:tc>
        <w:tc>
          <w:tcPr>
            <w:tcW w:w="1134" w:type="dxa"/>
            <w:vAlign w:val="center"/>
          </w:tcPr>
          <w:p>
            <w:pPr>
              <w:pStyle w:val="13"/>
            </w:pPr>
            <w:r>
              <w:t>A02090300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冀财教[2025]135号  河北省财政厅关于提前下达2026年省级公共文化服务体系建设补助资金的通知</w:t>
            </w:r>
          </w:p>
        </w:tc>
        <w:tc>
          <w:tcPr>
            <w:tcW w:w="964" w:type="dxa"/>
            <w:vAlign w:val="center"/>
          </w:tcPr>
          <w:p>
            <w:pPr>
              <w:pStyle w:val="12"/>
            </w:pPr>
            <w:r>
              <w:t>20.00</w:t>
            </w:r>
          </w:p>
        </w:tc>
        <w:tc>
          <w:tcPr>
            <w:tcW w:w="1134" w:type="dxa"/>
            <w:vAlign w:val="center"/>
          </w:tcPr>
          <w:p>
            <w:pPr>
              <w:pStyle w:val="13"/>
            </w:pPr>
            <w:r>
              <w:t>广播和电视接收设备</w:t>
            </w:r>
          </w:p>
        </w:tc>
        <w:tc>
          <w:tcPr>
            <w:tcW w:w="1134" w:type="dxa"/>
            <w:vAlign w:val="center"/>
          </w:tcPr>
          <w:p>
            <w:pPr>
              <w:pStyle w:val="13"/>
            </w:pPr>
            <w:r>
              <w:t>A02090300</w:t>
            </w:r>
          </w:p>
        </w:tc>
        <w:tc>
          <w:tcPr>
            <w:tcW w:w="709" w:type="dxa"/>
            <w:vAlign w:val="center"/>
          </w:tcPr>
          <w:p>
            <w:pPr>
              <w:pStyle w:val="14"/>
            </w:pPr>
            <w:r>
              <w:t>部</w:t>
            </w:r>
          </w:p>
        </w:tc>
        <w:tc>
          <w:tcPr>
            <w:tcW w:w="850" w:type="dxa"/>
            <w:vAlign w:val="center"/>
          </w:tcPr>
          <w:p>
            <w:pPr>
              <w:pStyle w:val="12"/>
            </w:pPr>
            <w:r>
              <w:t>1</w:t>
            </w:r>
          </w:p>
        </w:tc>
        <w:tc>
          <w:tcPr>
            <w:tcW w:w="850" w:type="dxa"/>
            <w:vAlign w:val="center"/>
          </w:tcPr>
          <w:p>
            <w:pPr>
              <w:pStyle w:val="12"/>
            </w:pPr>
            <w:r>
              <w:t>2.50</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冀财教[2025]135号  河北省财政厅关于提前下达2026年省级公共文化服务体系建设补助资金的通知</w:t>
            </w:r>
          </w:p>
        </w:tc>
        <w:tc>
          <w:tcPr>
            <w:tcW w:w="964" w:type="dxa"/>
            <w:vAlign w:val="center"/>
          </w:tcPr>
          <w:p>
            <w:pPr>
              <w:pStyle w:val="12"/>
            </w:pPr>
            <w:r>
              <w:t>20.00</w:t>
            </w:r>
          </w:p>
        </w:tc>
        <w:tc>
          <w:tcPr>
            <w:tcW w:w="1134" w:type="dxa"/>
            <w:vAlign w:val="center"/>
          </w:tcPr>
          <w:p>
            <w:pPr>
              <w:pStyle w:val="13"/>
            </w:pPr>
            <w:r>
              <w:t>广播和电视接收设备</w:t>
            </w:r>
          </w:p>
        </w:tc>
        <w:tc>
          <w:tcPr>
            <w:tcW w:w="1134" w:type="dxa"/>
            <w:vAlign w:val="center"/>
          </w:tcPr>
          <w:p>
            <w:pPr>
              <w:pStyle w:val="13"/>
            </w:pPr>
            <w:r>
              <w:t>A02090300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4.20</w:t>
            </w:r>
          </w:p>
        </w:tc>
        <w:tc>
          <w:tcPr>
            <w:tcW w:w="964" w:type="dxa"/>
            <w:vAlign w:val="center"/>
          </w:tcPr>
          <w:p>
            <w:pPr>
              <w:pStyle w:val="12"/>
            </w:pPr>
            <w:r>
              <w:t>4.20</w:t>
            </w:r>
          </w:p>
        </w:tc>
        <w:tc>
          <w:tcPr>
            <w:tcW w:w="964" w:type="dxa"/>
            <w:vAlign w:val="center"/>
          </w:tcPr>
          <w:p>
            <w:pPr>
              <w:pStyle w:val="12"/>
            </w:pPr>
            <w:r>
              <w:t>4.20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冀财教[2025]135号  河北省财政厅关于提前下达2026年省级公共文化服务体系建设补助资金的通知</w:t>
            </w:r>
          </w:p>
        </w:tc>
        <w:tc>
          <w:tcPr>
            <w:tcW w:w="964" w:type="dxa"/>
            <w:vAlign w:val="center"/>
          </w:tcPr>
          <w:p>
            <w:pPr>
              <w:pStyle w:val="12"/>
            </w:pPr>
            <w:r>
              <w:t>20.00</w:t>
            </w:r>
          </w:p>
        </w:tc>
        <w:tc>
          <w:tcPr>
            <w:tcW w:w="1134" w:type="dxa"/>
            <w:vAlign w:val="center"/>
          </w:tcPr>
          <w:p>
            <w:pPr>
              <w:pStyle w:val="13"/>
            </w:pPr>
            <w:r>
              <w:t>广播和电视接收设备</w:t>
            </w:r>
          </w:p>
        </w:tc>
        <w:tc>
          <w:tcPr>
            <w:tcW w:w="1134" w:type="dxa"/>
            <w:vAlign w:val="center"/>
          </w:tcPr>
          <w:p>
            <w:pPr>
              <w:pStyle w:val="13"/>
            </w:pPr>
            <w:r>
              <w:t>A02090300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冀财教[2025]135号  河北省财政厅关于提前下达2026年省级公共文化服务体系建设补助资金的通知</w:t>
            </w:r>
          </w:p>
        </w:tc>
        <w:tc>
          <w:tcPr>
            <w:tcW w:w="964" w:type="dxa"/>
            <w:vAlign w:val="center"/>
          </w:tcPr>
          <w:p>
            <w:pPr>
              <w:pStyle w:val="12"/>
            </w:pPr>
            <w:r>
              <w:t>20.00</w:t>
            </w:r>
          </w:p>
        </w:tc>
        <w:tc>
          <w:tcPr>
            <w:tcW w:w="1134" w:type="dxa"/>
            <w:vAlign w:val="center"/>
          </w:tcPr>
          <w:p>
            <w:pPr>
              <w:pStyle w:val="13"/>
            </w:pPr>
            <w:r>
              <w:t>广播和电视接收设备</w:t>
            </w:r>
          </w:p>
        </w:tc>
        <w:tc>
          <w:tcPr>
            <w:tcW w:w="1134" w:type="dxa"/>
            <w:vAlign w:val="center"/>
          </w:tcPr>
          <w:p>
            <w:pPr>
              <w:pStyle w:val="13"/>
            </w:pPr>
            <w:r>
              <w:t>A02090300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2.40</w:t>
            </w:r>
          </w:p>
        </w:tc>
        <w:tc>
          <w:tcPr>
            <w:tcW w:w="964" w:type="dxa"/>
            <w:vAlign w:val="center"/>
          </w:tcPr>
          <w:p>
            <w:pPr>
              <w:pStyle w:val="12"/>
            </w:pPr>
            <w:r>
              <w:t>4.80</w:t>
            </w:r>
          </w:p>
        </w:tc>
        <w:tc>
          <w:tcPr>
            <w:tcW w:w="964" w:type="dxa"/>
            <w:vAlign w:val="center"/>
          </w:tcPr>
          <w:p>
            <w:pPr>
              <w:pStyle w:val="12"/>
            </w:pPr>
            <w:r>
              <w:t>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冀财教[2025]135号  河北省财政厅关于提前下达2026年省级公共文化服务体系建设补助资金的通知</w:t>
            </w:r>
          </w:p>
        </w:tc>
        <w:tc>
          <w:tcPr>
            <w:tcW w:w="964" w:type="dxa"/>
            <w:vAlign w:val="center"/>
          </w:tcPr>
          <w:p>
            <w:pPr>
              <w:pStyle w:val="12"/>
            </w:pPr>
            <w:r>
              <w:t>20.00</w:t>
            </w:r>
          </w:p>
        </w:tc>
        <w:tc>
          <w:tcPr>
            <w:tcW w:w="1134" w:type="dxa"/>
            <w:vAlign w:val="center"/>
          </w:tcPr>
          <w:p>
            <w:pPr>
              <w:pStyle w:val="13"/>
            </w:pPr>
            <w:r>
              <w:t>广播和电视接收设备</w:t>
            </w:r>
          </w:p>
        </w:tc>
        <w:tc>
          <w:tcPr>
            <w:tcW w:w="1134" w:type="dxa"/>
            <w:vAlign w:val="center"/>
          </w:tcPr>
          <w:p>
            <w:pPr>
              <w:pStyle w:val="13"/>
            </w:pPr>
            <w:r>
              <w:t>A02090300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馆陶县融媒体中心（含所属单位）上年末固定资产金额为1258.08万元（详见下表）。本年度拟购置固定资产总额为</w:t>
      </w:r>
      <w:r>
        <w:t>18.20</w:t>
      </w:r>
      <w:r>
        <w:rPr>
          <w:rFonts w:ascii="Times New Roman" w:hAnsi="Times New Roman" w:eastAsia="方正仿宋_GBK" w:cs="Times New Roman"/>
          <w:b w:val="0"/>
          <w:color w:val="000000"/>
          <w:sz w:val="28"/>
        </w:rPr>
        <w:t>万元，已按要求列入政府采</w:t>
      </w:r>
      <w:bookmarkStart w:id="20" w:name="_GoBack"/>
      <w:bookmarkEnd w:id="20"/>
      <w:r>
        <w:rPr>
          <w:rFonts w:ascii="Times New Roman" w:hAnsi="Times New Roman" w:eastAsia="方正仿宋_GBK" w:cs="Times New Roman"/>
          <w:b w:val="0"/>
          <w:color w:val="000000"/>
          <w:sz w:val="28"/>
        </w:rPr>
        <w:t>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359馆陶县融媒体中心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1258.08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2473.80</w:t>
            </w:r>
          </w:p>
        </w:tc>
        <w:tc>
          <w:tcPr>
            <w:tcW w:w="2835" w:type="dxa"/>
            <w:vAlign w:val="center"/>
          </w:tcPr>
          <w:p>
            <w:pPr>
              <w:pStyle w:val="12"/>
            </w:pPr>
            <w:r>
              <w:t>169.74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2178.80</w:t>
            </w:r>
          </w:p>
        </w:tc>
        <w:tc>
          <w:tcPr>
            <w:tcW w:w="2835" w:type="dxa"/>
            <w:vAlign w:val="center"/>
          </w:tcPr>
          <w:p>
            <w:pPr>
              <w:pStyle w:val="12"/>
            </w:pPr>
            <w:r>
              <w:t>154.41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1153</w:t>
            </w:r>
          </w:p>
        </w:tc>
        <w:tc>
          <w:tcPr>
            <w:tcW w:w="2835" w:type="dxa"/>
            <w:vAlign w:val="center"/>
          </w:tcPr>
          <w:p>
            <w:pPr>
              <w:pStyle w:val="12"/>
            </w:pPr>
            <w:r>
              <w:t>1066.44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NlNTIzMTkzMmIyMzlmZWVmM2RlZWUyNThjYTQ5MWIifQ=="/>
  </w:docVars>
  <w:rsids>
    <w:rsidRoot w:val="00000000"/>
    <w:rsid w:val="27087994"/>
    <w:rsid w:val="2B7009C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TotalTime>0</TotalTime>
  <ScaleCrop>false</ScaleCrop>
  <LinksUpToDate>false</LinksUpToDate>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2026-04-03T15:20:00Z</dcterms:created>
  <dc:creator>Administrator</dc:creator>
  <cp:lastModifiedBy>Administrator</cp:lastModifiedBy>
  <dcterms:modified xsi:type="dcterms:W3CDTF">2026-04-03T07:28:23Z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5859C8EEE0874649A66889AFC8F43199_12</vt:lpwstr>
  </property>
</Properties>
</file>