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b/>
          <w:sz w:val="44"/>
          <w:szCs w:val="44"/>
        </w:rPr>
      </w:pPr>
    </w:p>
    <w:p>
      <w:pPr>
        <w:ind w:firstLine="883" w:firstLineChars="200"/>
        <w:jc w:val="center"/>
        <w:rPr>
          <w:rFonts w:ascii="宋体"/>
          <w:b/>
          <w:sz w:val="44"/>
          <w:szCs w:val="44"/>
        </w:rPr>
      </w:pPr>
      <w:r>
        <w:rPr>
          <w:rFonts w:hint="eastAsia" w:ascii="宋体" w:hAnsi="宋体"/>
          <w:b/>
          <w:sz w:val="44"/>
          <w:szCs w:val="44"/>
        </w:rPr>
        <w:t>馆陶县路桥乡</w:t>
      </w:r>
      <w:r>
        <w:rPr>
          <w:rFonts w:ascii="宋体" w:hAnsi="宋体"/>
          <w:b/>
          <w:sz w:val="44"/>
          <w:szCs w:val="44"/>
        </w:rPr>
        <w:t>201</w:t>
      </w:r>
      <w:r>
        <w:rPr>
          <w:rFonts w:hint="eastAsia" w:ascii="宋体" w:hAnsi="宋体"/>
          <w:b/>
          <w:sz w:val="44"/>
          <w:szCs w:val="44"/>
        </w:rPr>
        <w:t>9年部门预算信息公开</w:t>
      </w:r>
    </w:p>
    <w:p>
      <w:pPr>
        <w:ind w:firstLine="640" w:firstLineChars="200"/>
        <w:rPr>
          <w:rFonts w:ascii="仿宋_GB2312" w:hAnsi="Times New Roman" w:eastAsia="仿宋_GB2312"/>
          <w:sz w:val="32"/>
          <w:szCs w:val="32"/>
        </w:rPr>
      </w:pPr>
    </w:p>
    <w:p>
      <w:pPr>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按照《中华人民共和国预算法》、《地方预决算公开操作规程》和《河北省省级预算公开办法》规定，现将我乡</w:t>
      </w:r>
      <w:r>
        <w:rPr>
          <w:rFonts w:asciiTheme="majorEastAsia" w:hAnsiTheme="majorEastAsia" w:eastAsiaTheme="majorEastAsia"/>
          <w:sz w:val="32"/>
          <w:szCs w:val="32"/>
        </w:rPr>
        <w:t>201</w:t>
      </w:r>
      <w:r>
        <w:rPr>
          <w:rFonts w:hint="eastAsia" w:asciiTheme="majorEastAsia" w:hAnsiTheme="majorEastAsia" w:eastAsiaTheme="majorEastAsia"/>
          <w:sz w:val="32"/>
          <w:szCs w:val="32"/>
        </w:rPr>
        <w:t>9年部门预算公开如下：</w:t>
      </w:r>
    </w:p>
    <w:p>
      <w:pPr>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一、部门职责及机构设置情况</w:t>
      </w:r>
    </w:p>
    <w:p>
      <w:pPr>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部门职责：</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乡党委的主要职能是：</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宣传、贯彻党的路线、方针、政策和上级党组织的指示、决定，执行乡党员代表大会（党员大会）决议，讨论决定本乡的重大问题。</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抓好自身和所属党组织的思想、组织和作风建设。</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领导乡经济建设，制定本乡经济和社会发展规划并组织实施。</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领导乡社会主义精神文明和民主法治建设。加强农村社会治安综合治理，贯彻执行党和国家的计划生育政策。</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领导并支持乡政府依法行使各项行政管理职权。</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领到人大主席团及经济组织、人民武装和共青团、妇联等人民团体的工作。</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领导上级有关部门派驻乡单位的党的建设，领导、支持和协调上级有关部门派驻乡单位的工作。</w:t>
      </w:r>
    </w:p>
    <w:p>
      <w:pPr>
        <w:numPr>
          <w:ilvl w:val="0"/>
          <w:numId w:val="1"/>
        </w:num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完成上级党组织交办的其他任务。</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乡政府的主要职能是：贯彻落实好党和国家在农村的各项方针政策和法律法规，做好农业、农村、农民工作。其主要职能为：</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（一）促进经济发展、增加农民收入。</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科学制定乡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（二）强化公共服务、着力改善民生。</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（三）加强社会管理、维护农村稳定。</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ind w:firstLine="640" w:firstLineChars="200"/>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（四）推进基层民主、促进农村和谐。</w:t>
      </w:r>
    </w:p>
    <w:p>
      <w:pPr>
        <w:ind w:firstLine="640" w:firstLineChars="200"/>
        <w:rPr>
          <w:rFonts w:asciiTheme="majorEastAsia" w:hAnsiTheme="majorEastAsia" w:eastAsiaTheme="majorEastAsia"/>
          <w:sz w:val="32"/>
          <w:szCs w:val="32"/>
        </w:rPr>
      </w:pPr>
      <w:r>
        <w:rPr>
          <w:rFonts w:hint="eastAsia" w:cs="仿宋_GB2312" w:asciiTheme="majorEastAsia" w:hAnsiTheme="majorEastAsia" w:eastAsiaTheme="majorEastAsia"/>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机构设置：</w:t>
      </w:r>
    </w:p>
    <w:p>
      <w:pPr>
        <w:jc w:val="center"/>
        <w:outlineLvl w:val="0"/>
        <w:rPr>
          <w:rFonts w:asciiTheme="majorEastAsia" w:hAnsiTheme="majorEastAsia" w:eastAsiaTheme="majorEastAsia"/>
          <w:sz w:val="32"/>
          <w:szCs w:val="24"/>
        </w:rPr>
      </w:pPr>
      <w:r>
        <w:rPr>
          <w:rFonts w:hint="eastAsia" w:asciiTheme="majorEastAsia" w:hAnsiTheme="majorEastAsia" w:eastAsiaTheme="majorEastAsia"/>
          <w:sz w:val="32"/>
          <w:szCs w:val="24"/>
        </w:rPr>
        <w:t>部门机构设置情况</w:t>
      </w:r>
    </w:p>
    <w:tbl>
      <w:tblPr>
        <w:tblStyle w:val="9"/>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单位名称</w:t>
            </w:r>
          </w:p>
        </w:tc>
        <w:tc>
          <w:tcPr>
            <w:tcW w:w="1588"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单位性质</w:t>
            </w:r>
          </w:p>
        </w:tc>
        <w:tc>
          <w:tcPr>
            <w:tcW w:w="1787"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单位规格</w:t>
            </w:r>
          </w:p>
        </w:tc>
        <w:tc>
          <w:tcPr>
            <w:tcW w:w="4063" w:type="dxa"/>
            <w:vMerge w:val="restart"/>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rFonts w:asciiTheme="majorEastAsia" w:hAnsiTheme="majorEastAsia" w:eastAsiaTheme="majorEastAsia"/>
                <w:sz w:val="32"/>
                <w:szCs w:val="32"/>
              </w:rPr>
            </w:pPr>
          </w:p>
        </w:tc>
        <w:tc>
          <w:tcPr>
            <w:tcW w:w="1588" w:type="dxa"/>
            <w:vMerge w:val="continue"/>
            <w:vAlign w:val="center"/>
          </w:tcPr>
          <w:p>
            <w:pPr>
              <w:spacing w:line="300" w:lineRule="exact"/>
              <w:jc w:val="left"/>
              <w:outlineLvl w:val="0"/>
              <w:rPr>
                <w:rFonts w:asciiTheme="majorEastAsia" w:hAnsiTheme="majorEastAsia" w:eastAsiaTheme="majorEastAsia"/>
                <w:sz w:val="32"/>
                <w:szCs w:val="32"/>
              </w:rPr>
            </w:pPr>
          </w:p>
        </w:tc>
        <w:tc>
          <w:tcPr>
            <w:tcW w:w="1787" w:type="dxa"/>
            <w:vMerge w:val="continue"/>
            <w:vAlign w:val="center"/>
          </w:tcPr>
          <w:p>
            <w:pPr>
              <w:spacing w:line="300" w:lineRule="exact"/>
              <w:jc w:val="left"/>
              <w:outlineLvl w:val="0"/>
              <w:rPr>
                <w:rFonts w:asciiTheme="majorEastAsia" w:hAnsiTheme="majorEastAsia" w:eastAsiaTheme="majorEastAsia"/>
                <w:sz w:val="32"/>
                <w:szCs w:val="32"/>
              </w:rPr>
            </w:pPr>
          </w:p>
        </w:tc>
        <w:tc>
          <w:tcPr>
            <w:tcW w:w="4063" w:type="dxa"/>
            <w:vMerge w:val="continue"/>
            <w:vAlign w:val="center"/>
          </w:tcPr>
          <w:p>
            <w:pPr>
              <w:spacing w:line="300" w:lineRule="exact"/>
              <w:jc w:val="left"/>
              <w:outlineLvl w:val="0"/>
              <w:rPr>
                <w:rFonts w:asciiTheme="majorEastAsia" w:hAnsiTheme="majorEastAsia" w:eastAsiaTheme="majorEastAsia"/>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合计</w:t>
            </w:r>
          </w:p>
        </w:tc>
        <w:tc>
          <w:tcPr>
            <w:tcW w:w="1588" w:type="dxa"/>
            <w:vAlign w:val="center"/>
          </w:tcPr>
          <w:p>
            <w:pPr>
              <w:spacing w:line="300" w:lineRule="exact"/>
              <w:jc w:val="center"/>
              <w:rPr>
                <w:rFonts w:asciiTheme="majorEastAsia" w:hAnsiTheme="majorEastAsia" w:eastAsiaTheme="majorEastAsia"/>
                <w:b/>
                <w:sz w:val="32"/>
                <w:szCs w:val="32"/>
              </w:rPr>
            </w:pPr>
          </w:p>
        </w:tc>
        <w:tc>
          <w:tcPr>
            <w:tcW w:w="1787" w:type="dxa"/>
            <w:vAlign w:val="center"/>
          </w:tcPr>
          <w:p>
            <w:pPr>
              <w:spacing w:line="300" w:lineRule="exact"/>
              <w:jc w:val="center"/>
              <w:rPr>
                <w:rFonts w:asciiTheme="majorEastAsia" w:hAnsiTheme="majorEastAsia" w:eastAsiaTheme="majorEastAsia"/>
                <w:b/>
                <w:sz w:val="32"/>
                <w:szCs w:val="32"/>
              </w:rPr>
            </w:pPr>
          </w:p>
        </w:tc>
        <w:tc>
          <w:tcPr>
            <w:tcW w:w="4063" w:type="dxa"/>
            <w:vAlign w:val="center"/>
          </w:tcPr>
          <w:p>
            <w:pPr>
              <w:spacing w:line="300" w:lineRule="exact"/>
              <w:jc w:val="center"/>
              <w:rPr>
                <w:rFonts w:asciiTheme="majorEastAsia" w:hAnsiTheme="majorEastAsia" w:eastAsiaTheme="majorEastAsia"/>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路桥乡人民政府</w:t>
            </w:r>
          </w:p>
        </w:tc>
        <w:tc>
          <w:tcPr>
            <w:tcW w:w="1588"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行政</w:t>
            </w:r>
          </w:p>
        </w:tc>
        <w:tc>
          <w:tcPr>
            <w:tcW w:w="1787"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路桥乡党委</w:t>
            </w:r>
          </w:p>
        </w:tc>
        <w:tc>
          <w:tcPr>
            <w:tcW w:w="1588"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行政</w:t>
            </w:r>
          </w:p>
        </w:tc>
        <w:tc>
          <w:tcPr>
            <w:tcW w:w="1787"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ajorEastAsia" w:hAnsiTheme="majorEastAsia" w:eastAsiaTheme="majorEastAsia"/>
                <w:sz w:val="32"/>
                <w:szCs w:val="32"/>
              </w:rPr>
            </w:pPr>
            <w:r>
              <w:rPr>
                <w:rFonts w:hint="eastAsia" w:asciiTheme="majorEastAsia" w:hAnsiTheme="majorEastAsia" w:eastAsiaTheme="majorEastAsia"/>
                <w:sz w:val="32"/>
                <w:szCs w:val="32"/>
              </w:rPr>
              <w:t>路桥乡计生站</w:t>
            </w:r>
          </w:p>
        </w:tc>
        <w:tc>
          <w:tcPr>
            <w:tcW w:w="1588"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事业</w:t>
            </w:r>
          </w:p>
        </w:tc>
        <w:tc>
          <w:tcPr>
            <w:tcW w:w="1787"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正科级</w:t>
            </w:r>
          </w:p>
        </w:tc>
        <w:tc>
          <w:tcPr>
            <w:tcW w:w="4063" w:type="dxa"/>
            <w:vAlign w:val="center"/>
          </w:tcPr>
          <w:p>
            <w:pPr>
              <w:spacing w:line="30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财政拨款</w:t>
            </w:r>
          </w:p>
        </w:tc>
      </w:tr>
    </w:tbl>
    <w:p>
      <w:pPr>
        <w:rPr>
          <w:rFonts w:asciiTheme="majorEastAsia" w:hAnsiTheme="majorEastAsia" w:eastAsiaTheme="majorEastAsia"/>
        </w:rPr>
      </w:pPr>
    </w:p>
    <w:p>
      <w:pPr>
        <w:ind w:firstLine="640"/>
        <w:rPr>
          <w:rFonts w:asciiTheme="majorEastAsia" w:hAnsiTheme="majorEastAsia" w:eastAsiaTheme="majorEastAsia"/>
          <w:b/>
          <w:sz w:val="32"/>
          <w:szCs w:val="32"/>
        </w:rPr>
      </w:pPr>
      <w:r>
        <w:rPr>
          <w:rFonts w:hint="eastAsia" w:asciiTheme="majorEastAsia" w:hAnsiTheme="majorEastAsia" w:eastAsiaTheme="majorEastAsia"/>
          <w:b/>
          <w:sz w:val="32"/>
          <w:szCs w:val="32"/>
        </w:rPr>
        <w:t>二、部门预算安排的总体情况</w:t>
      </w:r>
    </w:p>
    <w:p>
      <w:pPr>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按照预算管理有关规定，目前我县部门预算的编制实行综合预算制度，即全部收入和支出都反映在预算中。馆陶县路桥乡人民政府及所属事业单位的收支包含在部门预算中。</w:t>
      </w:r>
    </w:p>
    <w:p>
      <w:pPr>
        <w:ind w:firstLine="640"/>
        <w:rPr>
          <w:rFonts w:asciiTheme="majorEastAsia" w:hAnsiTheme="majorEastAsia" w:eastAsiaTheme="majorEastAsia"/>
          <w:sz w:val="32"/>
          <w:szCs w:val="32"/>
        </w:rPr>
      </w:pPr>
      <w:r>
        <w:rPr>
          <w:rFonts w:asciiTheme="majorEastAsia" w:hAnsiTheme="majorEastAsia" w:eastAsiaTheme="majorEastAsia"/>
          <w:sz w:val="32"/>
          <w:szCs w:val="32"/>
        </w:rPr>
        <w:t>1</w:t>
      </w:r>
      <w:r>
        <w:rPr>
          <w:rFonts w:hint="eastAsia" w:asciiTheme="majorEastAsia" w:hAnsiTheme="majorEastAsia" w:eastAsiaTheme="majorEastAsia"/>
          <w:sz w:val="32"/>
          <w:szCs w:val="32"/>
        </w:rPr>
        <w:t>、收入说明</w:t>
      </w:r>
    </w:p>
    <w:p>
      <w:pPr>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反映本部门当年全部收入。</w:t>
      </w:r>
      <w:r>
        <w:rPr>
          <w:rFonts w:asciiTheme="majorEastAsia" w:hAnsiTheme="majorEastAsia" w:eastAsiaTheme="majorEastAsia"/>
          <w:sz w:val="32"/>
          <w:szCs w:val="32"/>
        </w:rPr>
        <w:t>201</w:t>
      </w:r>
      <w:r>
        <w:rPr>
          <w:rFonts w:hint="eastAsia" w:asciiTheme="majorEastAsia" w:hAnsiTheme="majorEastAsia" w:eastAsiaTheme="majorEastAsia"/>
          <w:sz w:val="32"/>
          <w:szCs w:val="32"/>
        </w:rPr>
        <w:t>9年预算收入1081.81万元，其中：一般公共预算收入1046.01万元，基金预算收入35.8万元。</w:t>
      </w:r>
    </w:p>
    <w:p>
      <w:pPr>
        <w:ind w:firstLine="640"/>
        <w:rPr>
          <w:rFonts w:asciiTheme="majorEastAsia" w:hAnsiTheme="majorEastAsia" w:eastAsiaTheme="majorEastAsia"/>
          <w:sz w:val="32"/>
          <w:szCs w:val="32"/>
        </w:rPr>
      </w:pPr>
      <w:r>
        <w:rPr>
          <w:rFonts w:asciiTheme="majorEastAsia" w:hAnsiTheme="majorEastAsia" w:eastAsiaTheme="majorEastAsia"/>
          <w:sz w:val="32"/>
          <w:szCs w:val="32"/>
        </w:rPr>
        <w:t>2</w:t>
      </w:r>
      <w:r>
        <w:rPr>
          <w:rFonts w:hint="eastAsia" w:asciiTheme="majorEastAsia" w:hAnsiTheme="majorEastAsia" w:eastAsiaTheme="majorEastAsia"/>
          <w:sz w:val="32"/>
          <w:szCs w:val="32"/>
        </w:rPr>
        <w:t>、支出说明</w:t>
      </w:r>
    </w:p>
    <w:p>
      <w:pPr>
        <w:ind w:firstLine="640"/>
        <w:rPr>
          <w:rFonts w:asciiTheme="majorEastAsia" w:hAnsiTheme="majorEastAsia" w:eastAsiaTheme="majorEastAsia"/>
          <w:sz w:val="32"/>
          <w:szCs w:val="32"/>
        </w:rPr>
      </w:pPr>
      <w:r>
        <w:rPr>
          <w:rFonts w:hint="eastAsia" w:asciiTheme="majorEastAsia" w:hAnsiTheme="majorEastAsia" w:eastAsiaTheme="majorEastAsia"/>
          <w:sz w:val="32"/>
          <w:szCs w:val="32"/>
        </w:rPr>
        <w:t>收支预算总表支出栏、基本支出表、项目支出表按经济分类和支出功能分类科目编制，反映省财馆陶县路桥乡人民政府部门预算中支出预算的总体情况。2019年支出预算1081.81万元，其中基本支出326.74万元，包括人员经费291.74万元和日常公用经费35万元；项目支出755.07万元，主要为项目占地补偿和村级补助资金。</w:t>
      </w:r>
    </w:p>
    <w:p>
      <w:pPr>
        <w:ind w:firstLine="640"/>
        <w:rPr>
          <w:rFonts w:asciiTheme="majorEastAsia" w:hAnsiTheme="majorEastAsia" w:eastAsiaTheme="majorEastAsia"/>
          <w:sz w:val="32"/>
          <w:szCs w:val="32"/>
        </w:rPr>
      </w:pPr>
      <w:r>
        <w:rPr>
          <w:rFonts w:asciiTheme="majorEastAsia" w:hAnsiTheme="majorEastAsia" w:eastAsiaTheme="majorEastAsia"/>
          <w:sz w:val="32"/>
          <w:szCs w:val="32"/>
        </w:rPr>
        <w:t>3</w:t>
      </w:r>
      <w:r>
        <w:rPr>
          <w:rFonts w:hint="eastAsia" w:asciiTheme="majorEastAsia" w:hAnsiTheme="majorEastAsia" w:eastAsiaTheme="majorEastAsia"/>
          <w:sz w:val="32"/>
          <w:szCs w:val="32"/>
        </w:rPr>
        <w:t>、比上年增减情况</w:t>
      </w:r>
    </w:p>
    <w:p>
      <w:pPr>
        <w:ind w:firstLine="640"/>
        <w:rPr>
          <w:rFonts w:asciiTheme="majorEastAsia" w:hAnsiTheme="majorEastAsia" w:eastAsiaTheme="majorEastAsia"/>
          <w:sz w:val="32"/>
          <w:szCs w:val="32"/>
        </w:rPr>
      </w:pPr>
      <w:r>
        <w:rPr>
          <w:rFonts w:asciiTheme="majorEastAsia" w:hAnsiTheme="majorEastAsia" w:eastAsiaTheme="majorEastAsia"/>
          <w:sz w:val="32"/>
          <w:szCs w:val="32"/>
        </w:rPr>
        <w:t>201</w:t>
      </w:r>
      <w:r>
        <w:rPr>
          <w:rFonts w:hint="eastAsia" w:asciiTheme="majorEastAsia" w:hAnsiTheme="majorEastAsia" w:eastAsiaTheme="majorEastAsia"/>
          <w:sz w:val="32"/>
          <w:szCs w:val="32"/>
        </w:rPr>
        <w:t>9年预算收支安排1081.81万元，较</w:t>
      </w:r>
      <w:r>
        <w:rPr>
          <w:rFonts w:asciiTheme="majorEastAsia" w:hAnsiTheme="majorEastAsia" w:eastAsiaTheme="majorEastAsia"/>
          <w:sz w:val="32"/>
          <w:szCs w:val="32"/>
        </w:rPr>
        <w:t>2017</w:t>
      </w:r>
      <w:r>
        <w:rPr>
          <w:rFonts w:hint="eastAsia" w:asciiTheme="majorEastAsia" w:hAnsiTheme="majorEastAsia" w:eastAsiaTheme="majorEastAsia"/>
          <w:sz w:val="32"/>
          <w:szCs w:val="32"/>
        </w:rPr>
        <w:t>年预算增加494.81万元，其中：基本支出增加39.74万元，</w:t>
      </w:r>
      <w:r>
        <w:rPr>
          <w:rFonts w:hint="eastAsia" w:asciiTheme="minorEastAsia" w:hAnsiTheme="minorEastAsia" w:eastAsiaTheme="minorEastAsia"/>
          <w:sz w:val="32"/>
          <w:szCs w:val="32"/>
        </w:rPr>
        <w:t>增加人员经费支出，原因是我单位新增人员，增加日常公用经费，公用经费增加了公务人员交通补贴；</w:t>
      </w:r>
      <w:r>
        <w:rPr>
          <w:rFonts w:hint="eastAsia" w:asciiTheme="majorEastAsia" w:hAnsiTheme="majorEastAsia" w:eastAsiaTheme="majorEastAsia"/>
          <w:sz w:val="32"/>
          <w:szCs w:val="32"/>
        </w:rPr>
        <w:t>项目支出增加455.07万元，主要是</w:t>
      </w:r>
      <w:r>
        <w:rPr>
          <w:rFonts w:hint="eastAsia" w:asciiTheme="minorEastAsia" w:hAnsiTheme="minorEastAsia" w:eastAsiaTheme="minorEastAsia"/>
          <w:sz w:val="32"/>
          <w:szCs w:val="32"/>
        </w:rPr>
        <w:t>路桥乡占地补偿、村级补助资金等项目支出</w:t>
      </w:r>
      <w:r>
        <w:rPr>
          <w:rFonts w:hint="eastAsia" w:asciiTheme="majorEastAsia" w:hAnsiTheme="majorEastAsia" w:eastAsiaTheme="majorEastAsia"/>
          <w:sz w:val="32"/>
          <w:szCs w:val="32"/>
        </w:rPr>
        <w:t>。</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三、机关运行经费安排情况</w:t>
      </w:r>
    </w:p>
    <w:p>
      <w:pPr>
        <w:autoSpaceDE w:val="0"/>
        <w:autoSpaceDN w:val="0"/>
        <w:adjustRightInd w:val="0"/>
        <w:ind w:left="198" w:firstLine="640" w:firstLineChars="200"/>
        <w:jc w:val="left"/>
        <w:rPr>
          <w:rFonts w:asciiTheme="majorEastAsia" w:hAnsiTheme="majorEastAsia" w:eastAsiaTheme="majorEastAsia"/>
          <w:sz w:val="32"/>
          <w:szCs w:val="32"/>
        </w:rPr>
      </w:pPr>
      <w:r>
        <w:rPr>
          <w:rFonts w:asciiTheme="majorEastAsia" w:hAnsiTheme="majorEastAsia" w:eastAsiaTheme="majorEastAsia"/>
          <w:sz w:val="32"/>
          <w:szCs w:val="32"/>
        </w:rPr>
        <w:t>201</w:t>
      </w:r>
      <w:r>
        <w:rPr>
          <w:rFonts w:hint="eastAsia" w:asciiTheme="majorEastAsia" w:hAnsiTheme="majorEastAsia" w:eastAsiaTheme="majorEastAsia"/>
          <w:sz w:val="32"/>
          <w:szCs w:val="32"/>
        </w:rPr>
        <w:t>9年，馆陶县路桥乡机关运行经费共计安排35万元，主要用于办公费、水费、电费、印刷费、邮电费、公务交通补贴等日常运行支出。</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四、财政拨款“三公”经费预算情况及增减变化原因</w:t>
      </w:r>
    </w:p>
    <w:p>
      <w:pPr>
        <w:autoSpaceDE w:val="0"/>
        <w:autoSpaceDN w:val="0"/>
        <w:adjustRightInd w:val="0"/>
        <w:ind w:left="198" w:firstLine="640" w:firstLineChars="200"/>
        <w:jc w:val="left"/>
        <w:rPr>
          <w:rFonts w:asciiTheme="majorEastAsia" w:hAnsiTheme="majorEastAsia" w:eastAsiaTheme="majorEastAsia"/>
          <w:sz w:val="32"/>
          <w:szCs w:val="32"/>
        </w:rPr>
      </w:pPr>
      <w:r>
        <w:rPr>
          <w:rFonts w:asciiTheme="majorEastAsia" w:hAnsiTheme="majorEastAsia" w:eastAsiaTheme="majorEastAsia"/>
          <w:sz w:val="32"/>
          <w:szCs w:val="32"/>
        </w:rPr>
        <w:t>201</w:t>
      </w:r>
      <w:r>
        <w:rPr>
          <w:rFonts w:hint="eastAsia" w:asciiTheme="majorEastAsia" w:hAnsiTheme="majorEastAsia" w:eastAsiaTheme="majorEastAsia"/>
          <w:sz w:val="32"/>
          <w:szCs w:val="32"/>
        </w:rPr>
        <w:t>9年，馆陶县路桥乡财政拨款“三公”经费预算安排0万元，较上年持平；公务用车购置及运维费0万元，较上年持平；公务接待费0万元，较上年持平。</w:t>
      </w:r>
    </w:p>
    <w:p>
      <w:pPr>
        <w:ind w:firstLine="640"/>
        <w:rPr>
          <w:rFonts w:ascii="黑体" w:hAnsi="黑体" w:eastAsia="黑体"/>
          <w:b/>
          <w:sz w:val="32"/>
          <w:szCs w:val="32"/>
        </w:rPr>
      </w:pPr>
      <w:r>
        <w:rPr>
          <w:rFonts w:hint="eastAsia" w:ascii="黑体" w:hAnsi="黑体" w:eastAsia="黑体"/>
          <w:b/>
          <w:sz w:val="32"/>
          <w:szCs w:val="32"/>
        </w:rPr>
        <w:t>五、绩效预算信息</w:t>
      </w:r>
    </w:p>
    <w:p>
      <w:pPr>
        <w:spacing w:line="500" w:lineRule="exact"/>
        <w:ind w:firstLine="560"/>
        <w:rPr>
          <w:rFonts w:ascii="方正仿宋_GBK" w:eastAsia="方正仿宋_GBK"/>
          <w:sz w:val="28"/>
        </w:rPr>
      </w:pPr>
      <w:bookmarkStart w:id="0" w:name="_Toc471398463"/>
      <w:r>
        <w:rPr>
          <w:rFonts w:hint="eastAsia" w:ascii="黑体" w:hAnsi="Times New Roman" w:eastAsia="黑体"/>
          <w:b/>
          <w:sz w:val="32"/>
          <w:szCs w:val="32"/>
        </w:rPr>
        <w:t>（一）总体绩效目标</w:t>
      </w:r>
      <w:r>
        <w:rPr>
          <w:rFonts w:hint="eastAsia" w:ascii="Times New Roman" w:hAnsi="Times New Roman" w:eastAsia="方正仿宋_GBK"/>
          <w:b/>
          <w:sz w:val="32"/>
          <w:szCs w:val="32"/>
        </w:rPr>
        <w:t>：</w:t>
      </w:r>
      <w:r>
        <w:rPr>
          <w:rFonts w:hint="eastAsia" w:ascii="方正仿宋_GBK" w:eastAsia="方正仿宋_GBK"/>
          <w:sz w:val="28"/>
        </w:rPr>
        <w:t>19</w:t>
      </w:r>
      <w:r>
        <w:rPr>
          <w:rFonts w:ascii="方正仿宋_GBK" w:eastAsia="方正仿宋_GBK"/>
          <w:sz w:val="28"/>
        </w:rPr>
        <w:t>年，路桥乡将在县委县政府的正确领导下，认真学习贯彻</w:t>
      </w:r>
      <w:r>
        <w:rPr>
          <w:rFonts w:hint="eastAsia" w:ascii="方正仿宋_GBK" w:eastAsia="方正仿宋_GBK"/>
          <w:sz w:val="28"/>
          <w:lang w:eastAsia="zh-CN"/>
        </w:rPr>
        <w:t>党的</w:t>
      </w:r>
      <w:r>
        <w:rPr>
          <w:rFonts w:ascii="方正仿宋_GBK" w:eastAsia="方正仿宋_GBK"/>
          <w:sz w:val="28"/>
        </w:rPr>
        <w:t>十九大精神，不忘初心</w:t>
      </w:r>
      <w:r>
        <w:rPr>
          <w:rFonts w:hint="eastAsia" w:ascii="方正仿宋_GBK" w:eastAsia="方正仿宋_GBK"/>
          <w:sz w:val="28"/>
          <w:lang w:eastAsia="zh-CN"/>
        </w:rPr>
        <w:t>、</w:t>
      </w:r>
      <w:bookmarkStart w:id="5" w:name="_GoBack"/>
      <w:bookmarkEnd w:id="5"/>
      <w:r>
        <w:rPr>
          <w:rFonts w:ascii="方正仿宋_GBK" w:eastAsia="方正仿宋_GBK"/>
          <w:sz w:val="28"/>
        </w:rPr>
        <w:t>牢记使命，砥砺前行，圆满完成上级交付的各项工作，力争各工作领域实现跨越发展，为建设宜居宜业宜游的生态健康美丽强县贡献力量。具体谋划如下：</w:t>
      </w:r>
    </w:p>
    <w:p>
      <w:pPr>
        <w:spacing w:line="500" w:lineRule="exact"/>
        <w:ind w:firstLine="560"/>
        <w:rPr>
          <w:rFonts w:ascii="方正仿宋_GBK" w:eastAsia="方正仿宋_GBK"/>
          <w:sz w:val="28"/>
        </w:rPr>
      </w:pPr>
      <w:r>
        <w:rPr>
          <w:rFonts w:ascii="方正仿宋_GBK" w:eastAsia="方正仿宋_GBK"/>
          <w:sz w:val="28"/>
        </w:rPr>
        <w:t>一、脱贫攻坚精准推进</w:t>
      </w:r>
    </w:p>
    <w:p>
      <w:pPr>
        <w:spacing w:line="500" w:lineRule="exact"/>
        <w:ind w:firstLine="560"/>
        <w:rPr>
          <w:rFonts w:ascii="方正仿宋_GBK" w:eastAsia="方正仿宋_GBK"/>
          <w:sz w:val="28"/>
        </w:rPr>
      </w:pPr>
      <w:r>
        <w:rPr>
          <w:rFonts w:ascii="方正仿宋_GBK" w:eastAsia="方正仿宋_GBK"/>
          <w:sz w:val="28"/>
        </w:rPr>
        <w:t>认真开展脱贫攻坚工作，做到精准识别率、精准退出率和群众满意度全部达标，具体做到“三落实”。力争在年底前清阳城和南曹庄2个贫困村实现整体脱贫。结合我乡区位优势和自然条件以及群众的生产习惯，重点在发展光伏发电、养驴、旅游业、手工加工、规模养殖和蔬菜种植等项目，做到脱贫项目精准。</w:t>
      </w:r>
    </w:p>
    <w:p>
      <w:pPr>
        <w:spacing w:line="500" w:lineRule="exact"/>
        <w:ind w:firstLine="560"/>
        <w:rPr>
          <w:rFonts w:ascii="方正仿宋_GBK" w:eastAsia="方正仿宋_GBK"/>
          <w:sz w:val="28"/>
        </w:rPr>
      </w:pPr>
      <w:r>
        <w:rPr>
          <w:rFonts w:ascii="方正仿宋_GBK" w:eastAsia="方正仿宋_GBK"/>
          <w:sz w:val="28"/>
        </w:rPr>
        <w:t>二、紧抓环保持续发力，确保碧水蓝天</w:t>
      </w:r>
    </w:p>
    <w:p>
      <w:pPr>
        <w:spacing w:line="500" w:lineRule="exact"/>
        <w:ind w:firstLine="560"/>
        <w:rPr>
          <w:rFonts w:ascii="方正仿宋_GBK" w:eastAsia="方正仿宋_GBK"/>
          <w:sz w:val="28"/>
        </w:rPr>
      </w:pPr>
      <w:r>
        <w:rPr>
          <w:rFonts w:ascii="方正仿宋_GBK" w:eastAsia="方正仿宋_GBK"/>
          <w:sz w:val="28"/>
        </w:rPr>
        <w:t xml:space="preserve">    加大环保隐患排查力度，对发现的环保问题，按照‘全覆盖、零容忍、严执法、重实效’的要求，一经发现，全面清理整治。严格按照环保要求，取缔燃煤锅炉、禁止土法取暖，做好全年禁烧巡逻，并对已取缔的散乱污企业做好监管，防止反弹。同时，加大植树造林力度，确保馆陶碧水蓝天。</w:t>
      </w:r>
    </w:p>
    <w:p>
      <w:pPr>
        <w:spacing w:line="500" w:lineRule="exact"/>
        <w:ind w:firstLine="560"/>
        <w:rPr>
          <w:rFonts w:ascii="方正仿宋_GBK" w:eastAsia="方正仿宋_GBK"/>
          <w:sz w:val="28"/>
        </w:rPr>
      </w:pPr>
      <w:r>
        <w:rPr>
          <w:rFonts w:ascii="方正仿宋_GBK" w:eastAsia="方正仿宋_GBK"/>
          <w:sz w:val="28"/>
        </w:rPr>
        <w:t>美丽乡村多措并举，增加集体收入</w:t>
      </w:r>
    </w:p>
    <w:p>
      <w:pPr>
        <w:spacing w:line="500" w:lineRule="exact"/>
        <w:ind w:firstLine="560"/>
        <w:rPr>
          <w:rFonts w:ascii="方正仿宋_GBK" w:eastAsia="方正仿宋_GBK"/>
          <w:sz w:val="28"/>
        </w:rPr>
      </w:pPr>
      <w:r>
        <w:rPr>
          <w:rFonts w:ascii="方正仿宋_GBK" w:eastAsia="方正仿宋_GBK"/>
          <w:sz w:val="28"/>
        </w:rPr>
        <w:t xml:space="preserve">    加大美丽乡村覆盖面，侧重增加美丽乡村集体收入，充分利用现有资源，通过圆梦体验田联系外地人员，加大民宿投入，对教育小镇陶山书院、文庙、华夏第一磨坊等景点增设收费项目，统一标准综合管理，变输血为造血，多渠道增加集体收入。继续下大力度做好教育小镇王桃园提档升级、桃园社区的打造工作。加大中医养生小镇的打造投入，依托东方园林公司，运用3P模式，打造田园综合体。做好清阳城、宋尔庄、满谷营三村的打造工作。</w:t>
      </w:r>
    </w:p>
    <w:p>
      <w:pPr>
        <w:spacing w:line="500" w:lineRule="exact"/>
        <w:ind w:firstLine="560"/>
        <w:rPr>
          <w:rFonts w:ascii="方正仿宋_GBK" w:eastAsia="方正仿宋_GBK"/>
          <w:sz w:val="28"/>
        </w:rPr>
      </w:pPr>
      <w:r>
        <w:rPr>
          <w:rFonts w:ascii="方正仿宋_GBK" w:eastAsia="方正仿宋_GBK"/>
          <w:sz w:val="28"/>
        </w:rPr>
        <w:t>四、深入开展服务外包，根治农村脏乱差</w:t>
      </w:r>
    </w:p>
    <w:p>
      <w:pPr>
        <w:spacing w:line="500" w:lineRule="exact"/>
        <w:ind w:firstLine="560"/>
        <w:rPr>
          <w:rFonts w:ascii="方正仿宋_GBK" w:eastAsia="方正仿宋_GBK"/>
          <w:sz w:val="28"/>
        </w:rPr>
      </w:pPr>
      <w:r>
        <w:rPr>
          <w:rFonts w:ascii="方正仿宋_GBK" w:eastAsia="方正仿宋_GBK"/>
          <w:sz w:val="28"/>
        </w:rPr>
        <w:t>通过喇叭广播、发放明白纸、微信推送信息等方式， 加大对村民素质的培养，养成良好的卫生习惯，同时加大对人和环境科技公司的监管力度，确保农村脏乱差彻底扭转成为洁净美，建设宜居生态的美丽乡村。</w:t>
      </w:r>
    </w:p>
    <w:p>
      <w:pPr>
        <w:spacing w:line="500" w:lineRule="exact"/>
        <w:ind w:firstLine="560"/>
        <w:rPr>
          <w:rFonts w:ascii="方正仿宋_GBK" w:eastAsia="方正仿宋_GBK"/>
          <w:sz w:val="28"/>
        </w:rPr>
      </w:pPr>
      <w:r>
        <w:rPr>
          <w:rFonts w:ascii="方正仿宋_GBK" w:eastAsia="方正仿宋_GBK"/>
          <w:sz w:val="28"/>
        </w:rPr>
        <w:t>五、扎实推进基层党建，夯实阵地堡垒</w:t>
      </w:r>
    </w:p>
    <w:p>
      <w:pPr>
        <w:spacing w:line="500" w:lineRule="exact"/>
        <w:ind w:firstLine="560"/>
        <w:rPr>
          <w:rFonts w:ascii="方正仿宋_GBK" w:eastAsia="方正仿宋_GBK"/>
          <w:sz w:val="28"/>
        </w:rPr>
      </w:pPr>
      <w:r>
        <w:rPr>
          <w:rFonts w:ascii="方正仿宋_GBK" w:eastAsia="方正仿宋_GBK"/>
          <w:sz w:val="28"/>
        </w:rPr>
        <w:t xml:space="preserve">    扎实推进“两学一做”学习教育实践活动，增加党员培训频次，提高农村党员意识，旗帜鲜明的讲政治，积极探索基层组织建设和党员教育管理的长效机制，严格规范党员发展程序，切实做好党员干部远程教育工作。大力实施村干部素质提升工程，切实提高村干部队伍素质。提高村干部工作积极性。大力推进村级活动场所规范化建设，改善村级组织</w:t>
      </w:r>
      <w:r>
        <w:fldChar w:fldCharType="begin"/>
      </w:r>
      <w:r>
        <w:instrText xml:space="preserve"> HYPERLINK "http://www.4oa.com/office" </w:instrText>
      </w:r>
      <w:r>
        <w:fldChar w:fldCharType="separate"/>
      </w:r>
      <w:r>
        <w:rPr>
          <w:rStyle w:val="11"/>
          <w:rFonts w:ascii="方正仿宋_GBK" w:eastAsia="方正仿宋_GBK"/>
          <w:sz w:val="28"/>
        </w:rPr>
        <w:t>办公</w:t>
      </w:r>
      <w:r>
        <w:rPr>
          <w:rStyle w:val="11"/>
          <w:rFonts w:ascii="方正仿宋_GBK" w:eastAsia="方正仿宋_GBK"/>
          <w:sz w:val="28"/>
        </w:rPr>
        <w:fldChar w:fldCharType="end"/>
      </w:r>
      <w:r>
        <w:rPr>
          <w:rFonts w:ascii="方正仿宋_GBK" w:eastAsia="方正仿宋_GBK"/>
          <w:sz w:val="28"/>
        </w:rPr>
        <w:t>条件，加强村务监督。进一步夯实党的基层执政基础，同时，进一步加大村两室建设力度，确保各项栏板制度设施齐全，基层堡垒坚如磐石。</w:t>
      </w:r>
    </w:p>
    <w:p>
      <w:pPr>
        <w:spacing w:line="500" w:lineRule="exact"/>
        <w:ind w:firstLine="560"/>
        <w:rPr>
          <w:rFonts w:ascii="方正仿宋_GBK" w:eastAsia="方正仿宋_GBK"/>
          <w:sz w:val="28"/>
        </w:rPr>
      </w:pPr>
      <w:r>
        <w:rPr>
          <w:rFonts w:ascii="方正仿宋_GBK" w:eastAsia="方正仿宋_GBK"/>
          <w:sz w:val="28"/>
        </w:rPr>
        <w:t>六、着重招商引资工作，力引亿元项目</w:t>
      </w:r>
    </w:p>
    <w:p>
      <w:pPr>
        <w:spacing w:line="500" w:lineRule="exact"/>
        <w:ind w:firstLine="560"/>
        <w:rPr>
          <w:rFonts w:ascii="方正仿宋_GBK" w:eastAsia="方正仿宋_GBK"/>
          <w:sz w:val="28"/>
        </w:rPr>
      </w:pPr>
      <w:r>
        <w:rPr>
          <w:rFonts w:ascii="方正仿宋_GBK" w:eastAsia="方正仿宋_GBK"/>
          <w:sz w:val="28"/>
        </w:rPr>
        <w:t>加大招商引资力度，下一步将继续做好牧原生猪养殖的服务工作，加快推进牧原二期落地。多渠道外出招商，并有针对性的对接与馆陶园区产业配套的项目，力争引进亿元以上的工业项目落地馆陶。搞好项目规划，做好服务招商，抓好协调服务和跟踪服务，确保引进来、留得住、出效益。</w:t>
      </w:r>
    </w:p>
    <w:p>
      <w:pPr>
        <w:spacing w:line="500" w:lineRule="exact"/>
        <w:ind w:firstLine="560"/>
        <w:rPr>
          <w:rFonts w:ascii="方正仿宋_GBK" w:eastAsia="方正仿宋_GBK"/>
          <w:sz w:val="28"/>
        </w:rPr>
      </w:pPr>
      <w:r>
        <w:rPr>
          <w:rFonts w:ascii="方正仿宋_GBK" w:eastAsia="方正仿宋_GBK"/>
          <w:sz w:val="28"/>
        </w:rPr>
        <w:t>七、信访稳定工作再上新台阶</w:t>
      </w:r>
    </w:p>
    <w:p>
      <w:pPr>
        <w:spacing w:line="500" w:lineRule="exact"/>
        <w:ind w:firstLine="560"/>
        <w:rPr>
          <w:rFonts w:ascii="方正仿宋_GBK" w:eastAsia="方正仿宋_GBK"/>
          <w:sz w:val="28"/>
        </w:rPr>
      </w:pPr>
      <w:r>
        <w:rPr>
          <w:rFonts w:ascii="方正仿宋_GBK" w:eastAsia="方正仿宋_GBK"/>
          <w:sz w:val="28"/>
        </w:rPr>
        <w:t>在过来信访稳定良好的基层上，进一步加大信访隐患排查力度，把矛盾纠纷化解在基层，确保2018年全乡信访隐患再上新台阶。</w:t>
      </w:r>
    </w:p>
    <w:p>
      <w:pPr>
        <w:spacing w:line="500" w:lineRule="exact"/>
        <w:ind w:firstLine="560"/>
        <w:rPr>
          <w:rFonts w:ascii="方正仿宋_GBK" w:eastAsia="方正仿宋_GBK"/>
          <w:sz w:val="28"/>
        </w:rPr>
      </w:pPr>
      <w:r>
        <w:rPr>
          <w:rFonts w:ascii="方正仿宋_GBK" w:eastAsia="方正仿宋_GBK"/>
          <w:sz w:val="28"/>
        </w:rPr>
        <w:t>八、抓好农业产业结构调整</w:t>
      </w:r>
    </w:p>
    <w:p>
      <w:pPr>
        <w:spacing w:line="500" w:lineRule="exact"/>
        <w:ind w:firstLine="560"/>
        <w:rPr>
          <w:rFonts w:ascii="方正仿宋_GBK" w:eastAsia="方正仿宋_GBK"/>
          <w:sz w:val="28"/>
        </w:rPr>
      </w:pPr>
      <w:r>
        <w:rPr>
          <w:rFonts w:ascii="方正仿宋_GBK" w:eastAsia="方正仿宋_GBK"/>
          <w:sz w:val="28"/>
        </w:rPr>
        <w:t>以黄瓜等绿色蔬菜种植、林果、小麦良种、中药材、苗圃基地为依托，辐射带动周边各村的经济发展。以农民增收为核心，大力发展农村经济，多途径、多渠道增加农民的收入。</w:t>
      </w:r>
    </w:p>
    <w:p>
      <w:pPr>
        <w:spacing w:line="500" w:lineRule="exact"/>
        <w:ind w:firstLine="560"/>
        <w:rPr>
          <w:rFonts w:ascii="方正仿宋_GBK" w:eastAsia="方正仿宋_GBK"/>
          <w:sz w:val="28"/>
        </w:rPr>
      </w:pPr>
      <w:r>
        <w:rPr>
          <w:rFonts w:ascii="方正仿宋_GBK" w:eastAsia="方正仿宋_GBK"/>
          <w:sz w:val="28"/>
        </w:rPr>
        <w:t>九、继续搞好基础设施的报建工作</w:t>
      </w:r>
    </w:p>
    <w:p>
      <w:pPr>
        <w:spacing w:line="500" w:lineRule="exact"/>
        <w:ind w:firstLine="560"/>
        <w:rPr>
          <w:rFonts w:ascii="方正仿宋_GBK" w:eastAsia="方正仿宋_GBK"/>
          <w:sz w:val="28"/>
        </w:rPr>
      </w:pPr>
      <w:r>
        <w:rPr>
          <w:rFonts w:ascii="方正仿宋_GBK" w:eastAsia="方正仿宋_GBK"/>
          <w:sz w:val="28"/>
        </w:rPr>
        <w:t>抓好乡级公路的拓宽改造升级工作，做好危桥修建、村村通公路建设、街道硬化、田间道路硬化等。</w:t>
      </w:r>
    </w:p>
    <w:p>
      <w:pPr>
        <w:spacing w:line="500" w:lineRule="exact"/>
        <w:ind w:firstLine="560"/>
        <w:rPr>
          <w:rFonts w:ascii="方正仿宋_GBK" w:eastAsia="方正仿宋_GBK"/>
          <w:sz w:val="28"/>
        </w:rPr>
      </w:pPr>
      <w:r>
        <w:rPr>
          <w:rFonts w:ascii="方正仿宋_GBK" w:eastAsia="方正仿宋_GBK"/>
          <w:sz w:val="28"/>
        </w:rPr>
        <w:t>十、继续加大廉政工作力度</w:t>
      </w:r>
    </w:p>
    <w:p>
      <w:pPr>
        <w:spacing w:line="500" w:lineRule="exact"/>
        <w:ind w:firstLine="560"/>
        <w:rPr>
          <w:rFonts w:ascii="方正仿宋_GBK" w:eastAsia="方正仿宋_GBK"/>
          <w:sz w:val="28"/>
        </w:rPr>
      </w:pPr>
      <w:r>
        <w:rPr>
          <w:rFonts w:ascii="方正仿宋_GBK" w:eastAsia="方正仿宋_GBK"/>
          <w:sz w:val="28"/>
        </w:rPr>
        <w:t>稳步推进反腐倡廉工作，进一步健全机关各项工作轨制，增强进修，全力抓好组织培植，着力改变机关工作作风，提高平易近人处事的效率和能力。</w:t>
      </w:r>
    </w:p>
    <w:p>
      <w:pPr>
        <w:spacing w:line="500" w:lineRule="exact"/>
        <w:ind w:firstLine="560"/>
        <w:rPr>
          <w:rFonts w:ascii="方正仿宋_GBK" w:eastAsia="方正仿宋_GBK"/>
          <w:sz w:val="28"/>
        </w:rPr>
      </w:pPr>
      <w:r>
        <w:rPr>
          <w:rFonts w:ascii="方正仿宋_GBK" w:eastAsia="方正仿宋_GBK"/>
          <w:sz w:val="28"/>
        </w:rPr>
        <w:t xml:space="preserve"> 十一、继续加大对计划生育、安全生产、综治维稳、基层党建等工作的推进力度，确保新的一年再上新台阶。</w:t>
      </w:r>
    </w:p>
    <w:p>
      <w:pPr>
        <w:spacing w:line="500" w:lineRule="exact"/>
        <w:ind w:firstLine="560"/>
        <w:rPr>
          <w:rFonts w:ascii="方正仿宋_GBK" w:eastAsia="方正仿宋_GBK"/>
          <w:sz w:val="28"/>
        </w:rPr>
      </w:pPr>
      <w:r>
        <w:rPr>
          <w:rFonts w:ascii="方正仿宋_GBK" w:eastAsia="方正仿宋_GBK"/>
          <w:sz w:val="28"/>
        </w:rPr>
        <w:t>同志们，好风凭借力、扬帆正当时。特别是党的十九大为我们点亮了明灯、明确了方法和目标，我们必须继续保持不气不馁、不骄不躁、谦虚谨慎、艰苦奋斗的工作作风；携起手来为开创路桥跨越发展新局面而共同努力拼搏；为建设宜居宜业宜游的生态旅游健康路桥的宏伟蓝图而努力奋斗！</w:t>
      </w:r>
    </w:p>
    <w:p>
      <w:pPr>
        <w:autoSpaceDE w:val="0"/>
        <w:autoSpaceDN w:val="0"/>
        <w:adjustRightInd w:val="0"/>
        <w:ind w:left="198" w:firstLine="640" w:firstLineChars="200"/>
        <w:jc w:val="left"/>
        <w:rPr>
          <w:rFonts w:ascii="Times New Roman" w:hAnsi="Times New Roman" w:eastAsia="方正仿宋_GBK"/>
          <w:b/>
          <w:sz w:val="32"/>
          <w:szCs w:val="32"/>
        </w:rPr>
      </w:pPr>
      <w:r>
        <w:rPr>
          <w:rFonts w:hint="eastAsia" w:ascii="Times New Roman" w:hAnsi="Times New Roman" w:eastAsia="方正仿宋_GBK"/>
          <w:b/>
          <w:sz w:val="32"/>
          <w:szCs w:val="32"/>
        </w:rPr>
        <w:t>（二）分项绩效目标</w:t>
      </w:r>
    </w:p>
    <w:p>
      <w:pPr>
        <w:autoSpaceDE w:val="0"/>
        <w:autoSpaceDN w:val="0"/>
        <w:adjustRightInd w:val="0"/>
        <w:ind w:left="198" w:firstLine="643" w:firstLineChars="200"/>
        <w:jc w:val="left"/>
        <w:rPr>
          <w:rFonts w:ascii="Times New Roman" w:hAnsi="Times New Roman" w:eastAsia="方正仿宋_GBK"/>
          <w:b/>
          <w:sz w:val="32"/>
          <w:szCs w:val="32"/>
        </w:rPr>
      </w:pPr>
      <w:r>
        <w:rPr>
          <w:rFonts w:hint="eastAsia" w:ascii="新宋体" w:hAnsi="新宋体" w:eastAsia="新宋体"/>
          <w:b/>
          <w:sz w:val="32"/>
        </w:rPr>
        <w:t>1、政务管理。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firstLineChars="196"/>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承办党委交办的其他事项，协调各办公室的工作关系。依法依规履行机关日常管理事务，确保机关工作正常运行。</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ascii="Times New Roman" w:hAnsi="Times New Roman" w:eastAsia="仿宋"/>
          <w:kern w:val="0"/>
          <w:sz w:val="32"/>
          <w:szCs w:val="32"/>
        </w:rPr>
      </w:pPr>
      <w:r>
        <w:rPr>
          <w:rFonts w:hint="eastAsia" w:ascii="新宋体" w:hAnsi="新宋体" w:eastAsia="新宋体"/>
          <w:b/>
          <w:sz w:val="32"/>
        </w:rPr>
        <w:t>绩效指标</w:t>
      </w:r>
      <w:r>
        <w:rPr>
          <w:rFonts w:hint="eastAsia" w:ascii="Times New Roman" w:hAnsi="Times New Roman" w:eastAsia="仿宋"/>
          <w:sz w:val="32"/>
          <w:szCs w:val="32"/>
        </w:rPr>
        <w:t>：日常事务完成率，党委事务完成率。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新宋体" w:hAnsi="新宋体" w:eastAsia="新宋体"/>
          <w:b/>
          <w:sz w:val="32"/>
        </w:rPr>
      </w:pPr>
      <w:r>
        <w:rPr>
          <w:rFonts w:hint="eastAsia" w:ascii="新宋体" w:hAnsi="新宋体" w:eastAsia="新宋体"/>
          <w:b/>
          <w:sz w:val="32"/>
        </w:rPr>
        <w:t>2、推动经济发展，完善基础设施，惠及民生。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社会救助政策及管理。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动态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ascii="Times New Roman" w:hAnsi="Times New Roman" w:eastAsia="仿宋"/>
          <w:kern w:val="0"/>
          <w:sz w:val="32"/>
          <w:szCs w:val="32"/>
        </w:rPr>
      </w:pPr>
      <w:r>
        <w:rPr>
          <w:rFonts w:hint="eastAsia" w:ascii="新宋体" w:hAnsi="新宋体" w:eastAsia="新宋体"/>
          <w:b/>
          <w:sz w:val="32"/>
        </w:rPr>
        <w:t>绩效指标</w:t>
      </w:r>
      <w:r>
        <w:rPr>
          <w:rFonts w:hint="eastAsia" w:ascii="Times New Roman" w:hAnsi="Times New Roman" w:eastAsia="仿宋"/>
          <w:sz w:val="32"/>
          <w:szCs w:val="32"/>
        </w:rPr>
        <w:t>：农村居民各项补贴发放完成率，安全生产达标率。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新宋体" w:hAnsi="新宋体" w:eastAsia="新宋体"/>
          <w:b/>
          <w:sz w:val="32"/>
        </w:rPr>
      </w:pPr>
      <w:r>
        <w:rPr>
          <w:rFonts w:hint="eastAsia" w:ascii="新宋体" w:hAnsi="新宋体" w:eastAsia="新宋体"/>
          <w:b/>
          <w:sz w:val="32"/>
        </w:rPr>
        <w:t>3、政策落实。提供各类计划生育技术服务，建立利益导向机制，开展出生人口性别比治理以及流动人口计划生育管理等各项工作。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60"/>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稳定适度的低生育水平，有效保障计划生育家庭生活水平，提高妇女生殖健康水平，降低出生缺陷的发生，有效遏制出生人口性别比偏高问题。</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rPr>
          <w:rFonts w:ascii="仿宋_GB2312" w:hAnsi="仿宋_GB2312" w:eastAsia="仿宋" w:cs="仿宋_GB2312"/>
          <w:kern w:val="0"/>
          <w:sz w:val="32"/>
          <w:szCs w:val="32"/>
        </w:rPr>
      </w:pPr>
      <w:r>
        <w:rPr>
          <w:rFonts w:hint="eastAsia" w:ascii="新宋体" w:hAnsi="新宋体" w:eastAsia="新宋体"/>
          <w:b/>
          <w:sz w:val="32"/>
        </w:rPr>
        <w:t>绩效指标</w:t>
      </w:r>
      <w:r>
        <w:rPr>
          <w:rFonts w:hint="eastAsia" w:ascii="Times New Roman" w:hAnsi="Times New Roman" w:eastAsia="仿宋"/>
          <w:sz w:val="32"/>
          <w:szCs w:val="32"/>
        </w:rPr>
        <w:t>：人口性别比率</w:t>
      </w:r>
      <w:r>
        <w:rPr>
          <w:rFonts w:hint="eastAsia" w:ascii="仿宋_GB2312" w:hAnsi="仿宋_GB2312" w:eastAsia="仿宋" w:cs="仿宋_GB2312"/>
          <w:kern w:val="0"/>
          <w:sz w:val="32"/>
          <w:szCs w:val="32"/>
        </w:rPr>
        <w:t>。</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新宋体" w:hAnsi="新宋体" w:eastAsia="新宋体"/>
          <w:sz w:val="32"/>
        </w:rPr>
      </w:pPr>
      <w:r>
        <w:rPr>
          <w:rFonts w:hint="eastAsia" w:ascii="新宋体" w:hAnsi="新宋体" w:eastAsia="新宋体"/>
          <w:b/>
          <w:sz w:val="32"/>
        </w:rPr>
        <w:t>维护社会稳定和国家安全，负责本乡建设的总体规划。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643" w:firstLine="643" w:firstLineChars="200"/>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285" w:firstLineChars="400"/>
        <w:rPr>
          <w:rFonts w:ascii="仿宋_GB2312" w:hAnsi="仿宋_GB2312" w:eastAsia="仿宋_GB2312" w:cs="仿宋_GB2312"/>
          <w:kern w:val="0"/>
          <w:sz w:val="32"/>
          <w:szCs w:val="32"/>
        </w:rPr>
      </w:pPr>
      <w:r>
        <w:rPr>
          <w:rFonts w:hint="eastAsia" w:ascii="新宋体" w:hAnsi="新宋体" w:eastAsia="新宋体"/>
          <w:b/>
          <w:sz w:val="32"/>
        </w:rPr>
        <w:t>绩效指标</w:t>
      </w:r>
      <w:r>
        <w:rPr>
          <w:rFonts w:hint="eastAsia" w:ascii="Times New Roman" w:hAnsi="Times New Roman" w:eastAsia="仿宋"/>
          <w:sz w:val="32"/>
          <w:szCs w:val="32"/>
        </w:rPr>
        <w:t>：</w:t>
      </w:r>
      <w:r>
        <w:rPr>
          <w:rFonts w:hint="eastAsia" w:ascii="仿宋_GB2312" w:hAnsi="仿宋_GB2312" w:eastAsia="仿宋_GB2312" w:cs="仿宋_GB2312"/>
          <w:kern w:val="0"/>
          <w:sz w:val="32"/>
          <w:szCs w:val="32"/>
        </w:rPr>
        <w:t>不稳定隐患、群体性事件和突发事件发生率。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285" w:firstLineChars="400"/>
        <w:rPr>
          <w:rFonts w:ascii="仿宋_GB2312" w:hAnsi="仿宋_GB2312" w:eastAsia="仿宋_GB2312" w:cs="仿宋_GB2312"/>
          <w:kern w:val="0"/>
          <w:sz w:val="32"/>
          <w:szCs w:val="32"/>
        </w:rPr>
      </w:pPr>
      <w:r>
        <w:rPr>
          <w:rFonts w:ascii="新宋体" w:hAnsi="新宋体" w:eastAsia="新宋体"/>
          <w:b/>
          <w:sz w:val="32"/>
        </w:rPr>
        <w:t>5</w:t>
      </w:r>
      <w:r>
        <w:rPr>
          <w:rFonts w:hint="eastAsia" w:ascii="新宋体" w:hAnsi="新宋体" w:eastAsia="新宋体"/>
          <w:b/>
          <w:sz w:val="32"/>
        </w:rPr>
        <w:t>、财政业务管理。财政财务预算、涉农资金及项目管理等。</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643" w:firstLine="643" w:firstLineChars="200"/>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保证镇机关正常运转，合理安排支出，规范村级财务管理，监督管理涉农资金兑付落实，加强国有资产管理，杜绝增加政府债务，提高预算完整性，做好项目绩效评价。</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285" w:firstLineChars="400"/>
        <w:rPr>
          <w:rFonts w:ascii="仿宋_GB2312" w:hAnsi="仿宋_GB2312" w:eastAsia="仿宋" w:cs="仿宋_GB2312"/>
          <w:kern w:val="0"/>
          <w:sz w:val="32"/>
          <w:szCs w:val="32"/>
        </w:rPr>
      </w:pPr>
      <w:r>
        <w:rPr>
          <w:rFonts w:hint="eastAsia" w:ascii="新宋体" w:hAnsi="新宋体" w:eastAsia="新宋体"/>
          <w:b/>
          <w:sz w:val="32"/>
        </w:rPr>
        <w:t>绩效指标</w:t>
      </w:r>
      <w:r>
        <w:rPr>
          <w:rFonts w:hint="eastAsia" w:ascii="Times New Roman" w:hAnsi="Times New Roman" w:eastAsia="仿宋"/>
          <w:sz w:val="32"/>
          <w:szCs w:val="32"/>
        </w:rPr>
        <w:t>：项目建设完成率，项目建设质量达标率。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285" w:firstLineChars="400"/>
        <w:rPr>
          <w:rFonts w:ascii="仿宋_GB2312" w:hAnsi="仿宋_GB2312" w:eastAsia="仿宋" w:cs="仿宋_GB2312"/>
          <w:kern w:val="0"/>
          <w:sz w:val="32"/>
          <w:szCs w:val="32"/>
        </w:rPr>
      </w:pPr>
      <w:r>
        <w:rPr>
          <w:rFonts w:hint="eastAsia" w:ascii="新宋体" w:hAnsi="新宋体" w:eastAsia="新宋体"/>
          <w:b/>
          <w:sz w:val="32"/>
        </w:rPr>
        <w:t>6、农业科技支撑和公共服务，推动文化发展。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643" w:firstLine="643" w:firstLineChars="200"/>
        <w:rPr>
          <w:rFonts w:ascii="新宋体" w:hAnsi="新宋体" w:eastAsia="新宋体"/>
          <w:sz w:val="32"/>
        </w:rPr>
      </w:pPr>
      <w:r>
        <w:rPr>
          <w:rFonts w:hint="eastAsia" w:ascii="新宋体" w:hAnsi="新宋体" w:eastAsia="新宋体"/>
          <w:b/>
          <w:sz w:val="32"/>
        </w:rPr>
        <w:t>绩效目标：</w:t>
      </w:r>
      <w:r>
        <w:rPr>
          <w:rFonts w:hint="eastAsia" w:ascii="新宋体" w:hAnsi="新宋体" w:eastAsia="新宋体"/>
          <w:sz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1285" w:firstLineChars="400"/>
        <w:rPr>
          <w:rFonts w:ascii="Times New Roman" w:hAnsi="Times New Roman" w:eastAsia="方正仿宋_GBK"/>
          <w:b/>
          <w:sz w:val="32"/>
          <w:szCs w:val="32"/>
        </w:rPr>
      </w:pPr>
      <w:r>
        <w:rPr>
          <w:rFonts w:hint="eastAsia" w:ascii="新宋体" w:hAnsi="新宋体" w:eastAsia="新宋体"/>
          <w:b/>
          <w:sz w:val="32"/>
        </w:rPr>
        <w:t>绩效指标</w:t>
      </w:r>
      <w:r>
        <w:rPr>
          <w:rFonts w:hint="eastAsia" w:ascii="Times New Roman" w:hAnsi="Times New Roman" w:eastAsia="仿宋"/>
          <w:sz w:val="32"/>
          <w:szCs w:val="32"/>
        </w:rPr>
        <w:t>：</w:t>
      </w:r>
      <w:r>
        <w:rPr>
          <w:rFonts w:hint="eastAsia" w:ascii="仿宋_GB2312" w:hAnsi="仿宋_GB2312" w:eastAsia="仿宋_GB2312" w:cs="仿宋_GB2312"/>
          <w:kern w:val="0"/>
          <w:sz w:val="32"/>
          <w:szCs w:val="32"/>
        </w:rPr>
        <w:t>农业劳动生产率</w:t>
      </w:r>
    </w:p>
    <w:p>
      <w:pPr>
        <w:autoSpaceDE w:val="0"/>
        <w:autoSpaceDN w:val="0"/>
        <w:adjustRightInd w:val="0"/>
        <w:ind w:firstLine="467" w:firstLineChars="146"/>
        <w:jc w:val="left"/>
        <w:rPr>
          <w:rFonts w:ascii="Times New Roman" w:hAnsi="Times New Roman" w:eastAsia="方正仿宋_GBK"/>
          <w:b/>
          <w:sz w:val="32"/>
          <w:szCs w:val="32"/>
        </w:rPr>
      </w:pPr>
      <w:r>
        <w:rPr>
          <w:rFonts w:hint="eastAsia" w:ascii="Times New Roman" w:hAnsi="Times New Roman" w:eastAsia="方正仿宋_GBK"/>
          <w:b/>
          <w:sz w:val="32"/>
          <w:szCs w:val="32"/>
        </w:rPr>
        <w:t>（三）工作保障措施</w:t>
      </w:r>
      <w:r>
        <w:fldChar w:fldCharType="begin"/>
      </w:r>
      <w:r>
        <w:rPr>
          <w:rFonts w:ascii="Times New Roman" w:hAnsi="Times New Roman" w:eastAsia="方正仿宋_GBK"/>
          <w:b/>
          <w:sz w:val="32"/>
          <w:szCs w:val="32"/>
        </w:rPr>
        <w:instrText xml:space="preserve"> TC </w:instrText>
      </w:r>
      <w:bookmarkStart w:id="1" w:name="_Toc29484630"/>
      <w:r>
        <w:rPr>
          <w:rFonts w:hint="eastAsia" w:ascii="Times New Roman" w:hAnsi="Times New Roman" w:eastAsia="方正仿宋_GBK"/>
          <w:b/>
          <w:sz w:val="32"/>
          <w:szCs w:val="32"/>
        </w:rPr>
        <w:instrText xml:space="preserve">工作保障措施</w:instrText>
      </w:r>
      <w:bookmarkEnd w:id="1"/>
      <w:r>
        <w:rPr>
          <w:rFonts w:ascii="Times New Roman" w:hAnsi="Times New Roman" w:eastAsia="方正仿宋_GBK"/>
          <w:b/>
          <w:sz w:val="32"/>
          <w:szCs w:val="32"/>
        </w:rPr>
        <w:instrText xml:space="preserve"> \f A \l 1 </w:instrText>
      </w:r>
      <w:r>
        <w:rPr>
          <w:rFonts w:ascii="Times New Roman" w:hAnsi="Times New Roman" w:eastAsia="方正仿宋_GBK"/>
          <w:b/>
          <w:sz w:val="32"/>
          <w:szCs w:val="32"/>
        </w:rPr>
        <w:fldChar w:fldCharType="end"/>
      </w:r>
    </w:p>
    <w:p>
      <w:pPr>
        <w:pStyle w:val="18"/>
        <w:spacing w:line="600" w:lineRule="exact"/>
        <w:ind w:firstLine="800" w:firstLineChars="250"/>
        <w:rPr>
          <w:rFonts w:ascii="仿宋_GB2312" w:hAnsi="仿宋_GB2312" w:eastAsia="仿宋_GB2312"/>
          <w:sz w:val="32"/>
          <w:lang w:eastAsia="zh-CN"/>
        </w:rPr>
      </w:pPr>
      <w:r>
        <w:rPr>
          <w:rFonts w:ascii="黑体" w:hAnsi="黑体" w:eastAsia="黑体"/>
          <w:sz w:val="32"/>
          <w:lang w:eastAsia="zh-CN"/>
        </w:rPr>
        <w:t>（一）加强组织领导。</w:t>
      </w:r>
      <w:r>
        <w:rPr>
          <w:rFonts w:hint="eastAsia" w:ascii="仿宋_GB2312" w:hAnsi="仿宋_GB2312" w:eastAsia="仿宋_GB2312"/>
          <w:sz w:val="32"/>
          <w:lang w:eastAsia="zh-CN"/>
        </w:rPr>
        <w:t>路桥</w:t>
      </w:r>
      <w:r>
        <w:rPr>
          <w:rFonts w:ascii="仿宋_GB2312" w:hAnsi="仿宋_GB2312" w:eastAsia="仿宋_GB2312"/>
          <w:sz w:val="32"/>
          <w:lang w:eastAsia="zh-CN"/>
        </w:rPr>
        <w:t>乡人民政府要严格落实对本乡居民的安全负责的要求，纳入当地国民经济和社会发展规划，合理确定相关部门建设任务，及时研究解决保障体系建设中的重大问题，明确任务分工和进度安排，按计划、由步骤地抓好各项工作落实。</w:t>
      </w:r>
    </w:p>
    <w:p>
      <w:pPr>
        <w:pStyle w:val="18"/>
        <w:spacing w:line="600" w:lineRule="exact"/>
        <w:rPr>
          <w:rFonts w:ascii="仿宋_GB2312" w:hAnsi="仿宋_GB2312" w:eastAsia="仿宋_GB2312"/>
          <w:sz w:val="32"/>
          <w:lang w:eastAsia="zh-CN"/>
        </w:rPr>
      </w:pPr>
      <w:r>
        <w:rPr>
          <w:rFonts w:ascii="黑体" w:hAnsi="黑体" w:eastAsia="黑体"/>
          <w:sz w:val="32"/>
          <w:lang w:eastAsia="zh-CN"/>
        </w:rPr>
        <w:t>（二）保障经费投入。</w:t>
      </w:r>
      <w:r>
        <w:rPr>
          <w:rFonts w:ascii="仿宋_GB2312" w:hAnsi="仿宋_GB2312" w:eastAsia="仿宋_GB2312"/>
          <w:sz w:val="32"/>
          <w:lang w:eastAsia="zh-CN"/>
        </w:rPr>
        <w:t>科学划分监管事权与支出责任，研究制定保障体系建设的投入分担比例和具体办法，及时落实配套资金；建立安全投入稳定机制，重点加强监管项目建设。</w:t>
      </w:r>
    </w:p>
    <w:p>
      <w:pPr>
        <w:pStyle w:val="18"/>
        <w:spacing w:line="600" w:lineRule="exact"/>
        <w:rPr>
          <w:rFonts w:ascii="仿宋_GB2312" w:hAnsi="仿宋_GB2312" w:eastAsia="仿宋_GB2312"/>
          <w:sz w:val="32"/>
          <w:lang w:eastAsia="zh-CN"/>
        </w:rPr>
      </w:pPr>
      <w:r>
        <w:rPr>
          <w:rFonts w:ascii="黑体" w:hAnsi="黑体" w:eastAsia="黑体"/>
          <w:sz w:val="32"/>
          <w:lang w:eastAsia="zh-CN"/>
        </w:rPr>
        <w:t>（三）完善政策措施。</w:t>
      </w:r>
      <w:r>
        <w:rPr>
          <w:rFonts w:ascii="仿宋_GB2312" w:hAnsi="仿宋_GB2312" w:eastAsia="仿宋_GB2312"/>
          <w:sz w:val="32"/>
          <w:lang w:eastAsia="zh-CN"/>
        </w:rPr>
        <w:t xml:space="preserve">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    </w:t>
      </w:r>
    </w:p>
    <w:p>
      <w:pPr>
        <w:pStyle w:val="18"/>
        <w:spacing w:line="600" w:lineRule="exact"/>
        <w:rPr>
          <w:rFonts w:ascii="仿宋_GB2312" w:eastAsia="仿宋_GB2312"/>
          <w:color w:val="333333"/>
          <w:sz w:val="32"/>
          <w:szCs w:val="32"/>
        </w:rPr>
      </w:pPr>
      <w:r>
        <w:rPr>
          <w:rFonts w:ascii="黑体" w:hAnsi="黑体" w:eastAsia="黑体"/>
          <w:sz w:val="32"/>
          <w:lang w:eastAsia="zh-CN"/>
        </w:rPr>
        <w:t>（四）加强督导工作。</w:t>
      </w:r>
      <w:r>
        <w:rPr>
          <w:rFonts w:ascii="仿宋_GB2312" w:hAnsi="仿宋_GB2312" w:eastAsia="仿宋_GB2312"/>
          <w:sz w:val="32"/>
          <w:lang w:eastAsia="zh-CN"/>
        </w:rPr>
        <w:t>切实发挥本规划对我镇职能的指导作用，督促检查各项建设任务全面落实。</w:t>
      </w:r>
    </w:p>
    <w:p>
      <w:pPr>
        <w:outlineLvl w:val="0"/>
        <w:rPr>
          <w:rFonts w:ascii="黑体" w:hAnsi="黑体" w:eastAsia="黑体"/>
          <w:b/>
          <w:sz w:val="32"/>
          <w:szCs w:val="32"/>
        </w:rPr>
      </w:pPr>
      <w:r>
        <w:rPr>
          <w:rFonts w:hint="eastAsia" w:ascii="黑体" w:hAnsi="黑体" w:eastAsia="黑体"/>
          <w:b/>
          <w:sz w:val="32"/>
          <w:szCs w:val="32"/>
        </w:rPr>
        <w:t>部门职责及工作活动绩效目标指标：</w:t>
      </w:r>
      <w:bookmarkStart w:id="2" w:name="_Toc510096851"/>
    </w:p>
    <w:p>
      <w:pPr>
        <w:jc w:val="center"/>
        <w:outlineLvl w:val="0"/>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2"/>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548</w:t>
            </w:r>
            <w:r>
              <w:rPr>
                <w:rFonts w:hint="eastAsia" w:ascii="方正小标宋_GBK" w:eastAsia="方正小标宋_GBK"/>
                <w:sz w:val="24"/>
              </w:rPr>
              <w:t>路桥乡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一、作风建设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大力弘扬党的优良作风，持续贯彻落实中央八项规定精神，巩固群众路线教育实践活动成果，坚持和完善密切联系职工群众的各项任务。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扎实开展党性党风党纪教育，</w:t>
            </w:r>
          </w:p>
          <w:p>
            <w:pPr>
              <w:spacing w:line="300" w:lineRule="exact"/>
              <w:jc w:val="left"/>
              <w:rPr>
                <w:rFonts w:ascii="方正书宋_GBK" w:eastAsia="方正书宋_GBK"/>
              </w:rPr>
            </w:pPr>
            <w:r>
              <w:rPr>
                <w:rFonts w:hint="eastAsia" w:ascii="方正书宋_GBK" w:eastAsia="方正书宋_GBK"/>
              </w:rPr>
              <w:t>宣传典型，弘扬正气和优良传统，推进集团廉洁文化建设，不断增强广大党员干部和企业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、党风廉政建设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认真贯彻落实党风廉政建设责任制，加强对反腐倡廉建设有关规定的学习，提高廉洁从政意识和拒腐防变能力。</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二、对权力的监督制约</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加强党内监督，严格落实民主集中制、</w:t>
            </w:r>
            <w:r>
              <w:rPr>
                <w:rFonts w:hint="cs" w:ascii="方正书宋_GBK" w:eastAsia="方正书宋_GBK"/>
              </w:rPr>
              <w:t>“</w:t>
            </w:r>
            <w:r>
              <w:rPr>
                <w:rFonts w:hint="eastAsia" w:ascii="方正书宋_GBK" w:eastAsia="方正书宋_GBK"/>
              </w:rPr>
              <w:t>三重一大</w:t>
            </w:r>
            <w:r>
              <w:rPr>
                <w:rFonts w:hint="cs" w:ascii="方正书宋_GBK" w:eastAsia="方正书宋_GBK"/>
              </w:rPr>
              <w:t>”</w:t>
            </w:r>
            <w:r>
              <w:rPr>
                <w:rFonts w:hint="eastAsia" w:ascii="方正书宋_GBK" w:eastAsia="方正书宋_GBK"/>
              </w:rPr>
              <w:t>集体决策制度和个人重大事项报告制度，开展述职述廉</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坚持民主集中制，健全党委议事规则，严格执行</w:t>
            </w:r>
            <w:r>
              <w:rPr>
                <w:rFonts w:hint="cs" w:ascii="方正书宋_GBK" w:eastAsia="方正书宋_GBK"/>
              </w:rPr>
              <w:t>“</w:t>
            </w:r>
            <w:r>
              <w:rPr>
                <w:rFonts w:hint="eastAsia" w:ascii="方正书宋_GBK" w:eastAsia="方正书宋_GBK"/>
              </w:rPr>
              <w:t>三重</w:t>
            </w:r>
          </w:p>
          <w:p>
            <w:pPr>
              <w:spacing w:line="300" w:lineRule="exact"/>
              <w:jc w:val="left"/>
              <w:rPr>
                <w:rFonts w:ascii="方正书宋_GBK" w:eastAsia="方正书宋_GBK"/>
              </w:rPr>
            </w:pPr>
            <w:r>
              <w:rPr>
                <w:rFonts w:hint="eastAsia" w:ascii="方正书宋_GBK" w:eastAsia="方正书宋_GBK"/>
              </w:rPr>
              <w:t>一大</w:t>
            </w:r>
            <w:r>
              <w:rPr>
                <w:rFonts w:hint="cs" w:ascii="方正书宋_GBK" w:eastAsia="方正书宋_GBK"/>
              </w:rPr>
              <w:t>”</w:t>
            </w:r>
            <w:r>
              <w:rPr>
                <w:rFonts w:hint="eastAsia" w:ascii="方正书宋_GBK" w:eastAsia="方正书宋_GBK"/>
              </w:rPr>
              <w:t>集体决策制度</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、落实民主集中制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坚持民主集中制，健全党委议事规则，严格执行</w:t>
            </w:r>
            <w:r>
              <w:rPr>
                <w:rFonts w:hint="cs" w:ascii="方正书宋_GBK" w:eastAsia="方正书宋_GBK"/>
              </w:rPr>
              <w:t>“</w:t>
            </w:r>
            <w:r>
              <w:rPr>
                <w:rFonts w:hint="eastAsia" w:ascii="方正书宋_GBK" w:eastAsia="方正书宋_GBK"/>
              </w:rPr>
              <w:t>三重</w:t>
            </w:r>
          </w:p>
          <w:p>
            <w:pPr>
              <w:spacing w:line="300" w:lineRule="exact"/>
              <w:jc w:val="left"/>
              <w:rPr>
                <w:rFonts w:ascii="方正书宋_GBK" w:eastAsia="方正书宋_GBK"/>
              </w:rPr>
            </w:pPr>
            <w:r>
              <w:rPr>
                <w:rFonts w:hint="eastAsia" w:ascii="方正书宋_GBK" w:eastAsia="方正书宋_GBK"/>
              </w:rPr>
              <w:t>一大</w:t>
            </w:r>
            <w:r>
              <w:rPr>
                <w:rFonts w:hint="cs" w:ascii="方正书宋_GBK" w:eastAsia="方正书宋_GBK"/>
              </w:rPr>
              <w:t>”</w:t>
            </w:r>
            <w:r>
              <w:rPr>
                <w:rFonts w:hint="eastAsia" w:ascii="方正书宋_GBK" w:eastAsia="方正书宋_GBK"/>
              </w:rPr>
              <w:t>集体决策制度</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三、社会事务管理与服务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负责系统综合业务管理和机关综合事务管理。强化社会管理和公共服务。完成上级交办的各项任务。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确保各项业务工作谋划到位、顺利开展。保障机关工作正常高效运转。</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改善管理和发展硬件、软件水平；加强队伍和教育建设；加快科研和信息化建设，保障机关运转。</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四、防灾减灾救灾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组织协调县级防灾减灾救灾工作。组织核查并统一发布灾情。组织指导救灾捐赠工作，负责国内外救灾捐赠款物的接收管理和分配使用。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建设完善全县自然灾害救助应急体系。实施分类救助，保障受灾群众基本生活。</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、统计、汇总、核查、会商灾情，统一发布灾情；组织协调紧急转移安置灾民；承办救灾款物分配和监管，物资调运，组织民房恢复重建及灾民生活救助。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五、义务教育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、发展农村义务教育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推进农村义务教育经费保障机制改革，提高农村中小学公用经费水平，完善校舍维修改造长效机制，补助贫困寄宿生活生活费，为农村学生免费提供教科书。</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六、环境污染综合防治</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负责制定大气、水体、固体废物、化学品、机动车等污染防治管理制度并组织实施，会同有关部门监督管理饮用水水源地环境保护。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、大气污染防治</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、二氧化硫等大气污染物进行综合防治，推动城市环境空气质量改善。</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、水体污染防治</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加强河流湖泊水污染防治、地下水污染防治、近岸海域水污染防治、饮用水源保护、污染水体整治、水污染源监督管理、水污染防治和水环境保护工程。</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七、自然生态保护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加强自然生态保护</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、农村环境综合整治</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八、宣传思想工作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指导园区宣传工作；规划组织思想政治工作；指导协调宣传思想文化事业和外宣事业发展；加强舆论舆情引导管理；协调互联网宣传和信息内容管理；加强精神文明建设。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牢牢掌握意识形态工作领导权、管理权、话语权，弘扬主旋律，汇聚正能量，为经济社会发展提供有力的思想保证、精神动力、舆论支持。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、精神文明建设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部署精神文明创建工作，组织指导园区群众性精神文明创建活动。</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九、推进新农村建设，加快农村基础设施建设。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、农村面貌改造提升，农村基础设施建设。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按照统筹城乡发展要求，组织实施农村面貌改造提升行动。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围绕农村改造</w:t>
            </w:r>
            <w:r>
              <w:rPr>
                <w:rFonts w:ascii="方正书宋_GBK" w:eastAsia="方正书宋_GBK"/>
              </w:rPr>
              <w:t>15</w:t>
            </w:r>
            <w:r>
              <w:rPr>
                <w:rFonts w:hint="eastAsia" w:ascii="方正书宋_GBK" w:eastAsia="方正书宋_GBK"/>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重点村改造提升完成率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十、维护社会稳定和安全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指导、协调和督导各部门排查、化解影响社会稳定的重大不稳定隐患、群体性事件和突发事件。贯彻实施安全战略，推进安全法制建设，贯彻落实安全工作方针，研究解决涉及安全工作的重大问题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预防减少不稳定因素的发生，有效化解不稳定隐患、群体性事件和突发事件，维护安全工作。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、协调维护社会稳定和安全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指导、协调和督导各级各部门排查、化解影响社会稳定的重大不稳定隐患、群体性事件和突发事件及影响安全的事件。</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十一、社会救助政策及管理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承担社会救助体系建设，负责城乡居民最低生活保障、五保供养、医疗救助。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、城乡居民最低生活保障</w:t>
            </w:r>
            <w:r>
              <w:rPr>
                <w:rFonts w:ascii="方正书宋_GBK" w:eastAsia="方正书宋_GBK"/>
                <w:b/>
              </w:rPr>
              <w:t>,</w:t>
            </w:r>
            <w:r>
              <w:rPr>
                <w:rFonts w:hint="eastAsia" w:ascii="方正书宋_GBK" w:eastAsia="方正书宋_GBK"/>
                <w:b/>
              </w:rPr>
              <w:t>农村五保供养</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负责符合条件的城乡居民最低生活保障工作</w:t>
            </w:r>
            <w:r>
              <w:rPr>
                <w:rFonts w:ascii="方正书宋_GBK" w:eastAsia="方正书宋_GBK"/>
              </w:rPr>
              <w:t>,</w:t>
            </w:r>
            <w:r>
              <w:rPr>
                <w:rFonts w:hint="eastAsia" w:ascii="方正书宋_GBK" w:eastAsia="方正书宋_GBK"/>
              </w:rPr>
              <w:t>负责农村五保户的集中供养和分散供养工作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实行动态管理，做到应保尽保、应退尽退。农村五保供养标准、集中供养能力逐步提高。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十二、招商引资</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技术引进、拟订易发展规划并组织实施；负责对外贸易相关行政审批。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促进对外贸易稳定增长，优化产品结构。</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、招商引资</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组织实施投资贸易洽谈会等活动。组织企业走出去，开展贸易洽谈、招商合作等活动，促进贸易往来。</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十三、支持新型工业化发展</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加大工业转型升级步伐，提升工业发展的质量和效益。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、扶持企业技术创新</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组织实施工业行业技术基础工作，加快以企业为主体的技术创新体系建设。对于小微企业给予适当资金扶持。</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十四、食品安全管理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通过对食品各个环节的强力监管，及时发现食品监管中存在的问题，重点突出食品安全建设以及做好重大活动和暑期食品安全保障</w:t>
            </w:r>
            <w:r>
              <w:rPr>
                <w:rFonts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、食品安全监管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十五、综合事务管理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综合事务管理新闻宣传和机关信息化建设与维护；机关日常管理事务；信访工作。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确保新闻宣传工作正常开展，信息系统运行正常，机关基础设施运转良好，信访工作平稳。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机关文书档案印信管理和保密，机关人事、离退休人员服务、基建、后勤服务；领导交办的其他工作。</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十六、计划生育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提供各类计划生育技术服务，建立利益导向机制，开展出生人口性别比治理以及流动人口计划生育管理等各项工作。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、计划生育奖励扶持政策</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采取奖励、扶助、社会保障等机制，引导家庭和个人计划生育措施，提高计划生育家庭发展能力。</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、出生人口性别比治理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做好出生人口性别比治理工作的组织领导、宣传倡导、利益导向、全程服务、严查</w:t>
            </w:r>
            <w:r>
              <w:rPr>
                <w:rFonts w:hint="cs" w:ascii="方正书宋_GBK" w:eastAsia="方正书宋_GBK"/>
              </w:rPr>
              <w:t>“</w:t>
            </w:r>
            <w:r>
              <w:rPr>
                <w:rFonts w:hint="eastAsia" w:ascii="方正书宋_GBK" w:eastAsia="方正书宋_GBK"/>
              </w:rPr>
              <w:t>两非</w:t>
            </w:r>
            <w:r>
              <w:rPr>
                <w:rFonts w:hint="cs" w:ascii="方正书宋_GBK" w:eastAsia="方正书宋_GBK"/>
              </w:rPr>
              <w:t>”</w:t>
            </w:r>
            <w:r>
              <w:rPr>
                <w:rFonts w:hint="eastAsia" w:ascii="方正书宋_GBK" w:eastAsia="方正书宋_GBK"/>
              </w:rPr>
              <w:t>、统计监测、考核评估等重点工作。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有效遏制我县出生人口性别比偏高的严峻形势，尽早实现出生人口性别比的自然平衡。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、计划生育群众工作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协助政府开展群众自治、亲情关爱及幸福工程等工作，动员广大群众自觉参与和实行各项计划生育政策。</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十七、农业资源保护和生态建设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按照可持续发展和建设生态农业的要求，保护农业资源，改善和保护农村环境。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建设生态农业，改善农村环境，实现农业可持续发展。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、农业信息服务</w:t>
            </w:r>
            <w:r>
              <w:rPr>
                <w:rFonts w:ascii="方正书宋_GBK" w:eastAsia="方正书宋_GBK"/>
                <w:b/>
              </w:rPr>
              <w:t>,</w:t>
            </w:r>
            <w:r>
              <w:rPr>
                <w:rFonts w:hint="eastAsia" w:ascii="方正书宋_GBK" w:eastAsia="方正书宋_GBK"/>
                <w:b/>
              </w:rPr>
              <w:t>农业教育与技能培训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组织开展农业统计，监测分析农业和农村经济运行，发布农业和农村经济信息，建设农业信息管理体系，指导农业信息服务。按照国家、省部署，组织开展职业教育和新型职业农民教育培训。</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十八、林业生态建设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省、关于林业及其生态建设的方针、政策和法律法规；拟定林业及其生态环境建设、森林资源保护、林业产业发展的规定和方法，并组织实施监督和检查，组织开展森林资源、承担林业生态文明建设的有关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完成政府制定的造林任务及森林覆盖率考核目标。有效改善生态环境。</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、造林绿化</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增加有林地面积，提高全县绿化水平和森林覆盖率，改善生态环境。</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十九、财政收入管理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深化税收制度改革，规范税收优惠政策，监督检查税政政策执行情况。确保及时，足额入库。</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确保税收收入及时、足额入库</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、财政收入征收管理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贯彻国家税收政策，负责制定财政和预算收入计划，管理和监督各项财政收入；管理财政票据。</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二十、预算管理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制定完善的预算政策体系，提高预算管理的科学化水平。统筹园区财力，强化绩效管理，科学编制政府绩效预算。规范预算执行，合理组织财政各项支出，促进社会事业发展。推进预算公开，实施全面规范、公开透明的预算制度。</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拟定预算政策和改革方案，并组织实施。分析预测宏观经济形势，参与制定各项宏观经济政策，起草财政预算、资金管理、财务会计管理的草案，制定有关规章制度并监督实施。</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、预算编制及决算编制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支出预算指标登记与核算，预算单位资金垫付、系统内划转等事项审批，预算资金审核拨付与监管；按旬、月汇总统计园区预算执行情况，提交分析报告；财政经济形势分析预测，提供预算执行信息及分析资料。编制本级财政总决算，提交并按程序审批报送财政总决算报告和部门决算报告</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二十一、财政资源配置管理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通过对财政收支以及相应的财政税收政策，调整和引导现有社会经济资源的流向和流量，以达到资源的优化配置和充分利用，实现最大的经济效益和社会效益的功能。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根据实际情况需要，按照相关法规政策对预算进行适时调整，确保全年预算平衡和社会事业发展需要。在做好财政资金执行分配的同时，加强财政资金绩效管理，提高其使用效率和效益。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、财政资金安排与使用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按照法定程序审查和批准的财政预算，通过规范的预算执行程序，落实各项财政收入，依法分配各项预算支出。随时监控财政收支预算的执行过程，</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机关财务、后勤服务；领导交办的其他工作。</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二十二、人大监督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rPr>
              <w:t>“</w:t>
            </w:r>
            <w:r>
              <w:rPr>
                <w:rFonts w:hint="eastAsia" w:ascii="方正书宋_GBK" w:eastAsia="方正书宋_GBK"/>
              </w:rPr>
              <w:t>政府</w:t>
            </w:r>
            <w:r>
              <w:rPr>
                <w:rFonts w:hint="cs" w:ascii="方正书宋_GBK" w:eastAsia="方正书宋_GBK"/>
              </w:rPr>
              <w:t>”</w:t>
            </w:r>
            <w:r>
              <w:rPr>
                <w:rFonts w:hint="eastAsia" w:ascii="方正书宋_GBK" w:eastAsia="方正书宋_GBK"/>
              </w:rPr>
              <w:t>进行监督。</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、监督宪法和法律在我镇行政区域内正确实施。</w:t>
            </w:r>
            <w:r>
              <w:rPr>
                <w:rFonts w:ascii="方正书宋_GBK" w:eastAsia="方正书宋_GBK"/>
              </w:rPr>
              <w:t>2</w:t>
            </w:r>
            <w:r>
              <w:rPr>
                <w:rFonts w:hint="eastAsia" w:ascii="方正书宋_GBK" w:eastAsia="方正书宋_GBK"/>
              </w:rPr>
              <w:t>、监督政府依法开展工作。</w:t>
            </w:r>
            <w:r>
              <w:rPr>
                <w:rFonts w:ascii="方正书宋_GBK" w:eastAsia="方正书宋_GBK"/>
              </w:rPr>
              <w:t>3</w:t>
            </w:r>
            <w:r>
              <w:rPr>
                <w:rFonts w:hint="eastAsia" w:ascii="方正书宋_GBK" w:eastAsia="方正书宋_GBK"/>
              </w:rPr>
              <w:t>、监督镇本级预算按照镇人代会通过的预算有效实施。</w:t>
            </w:r>
            <w:r>
              <w:rPr>
                <w:rFonts w:ascii="方正书宋_GBK" w:eastAsia="方正书宋_GBK"/>
              </w:rPr>
              <w:t>4</w:t>
            </w:r>
            <w:r>
              <w:rPr>
                <w:rFonts w:hint="eastAsia" w:ascii="方正书宋_GBK" w:eastAsia="方正书宋_GBK"/>
              </w:rPr>
              <w:t>、监督经济和社会发展计划有效实施。</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、专门委员会及人大代表活动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组织专门委员会委员对法律实施情况进行检查；组织镇人大委员及镇人大代表进行执法检查和集中视察；开展代表建议督办；组织对委员及代表培训。</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、专门委员会、常委及人大代表活动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专门委员会委员、各工作委员会及特聘专家进行立法执法、立法调研、立法后评估工作及立法培训活动，对法律实施情况进行检查；组织县人大常委会委员及县人大代表进行执法检查和集中视察；开展代表建议督办；组织对常委及代表培训。</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、专门委员会、常委及人大代表活动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专门委员会委员、各工作委员会及特聘专家进行立法执法、立法调研、立法后评估工作及立法培训活动，对法律实施情况进行检查；组织县人大常委会委员及县人大代表进行执法检查和集中视察；开展代表建议督办；组织对常委及代表培训。</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二十三、人大会议</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镇人民代表大会各种会议的筹备、会务工作，负责文件起草、审核把关，会议决定事项、工作部署、重要文件及领导批示的传达和督办。</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、在人大代表充分发表审议意见的基础上，作出我镇经济社会发展计划、镇总预算和镇本级预算等决议。</w:t>
            </w:r>
            <w:r>
              <w:rPr>
                <w:rFonts w:ascii="方正书宋_GBK" w:eastAsia="方正书宋_GBK"/>
              </w:rPr>
              <w:t>2</w:t>
            </w:r>
            <w:r>
              <w:rPr>
                <w:rFonts w:hint="eastAsia" w:ascii="方正书宋_GBK" w:eastAsia="方正书宋_GBK"/>
              </w:rPr>
              <w:t>、通过听取和审议政府工作报告，作出有关报告的决议。</w:t>
            </w:r>
            <w:r>
              <w:rPr>
                <w:rFonts w:ascii="方正书宋_GBK" w:eastAsia="方正书宋_GBK"/>
              </w:rPr>
              <w:t>3</w:t>
            </w:r>
            <w:r>
              <w:rPr>
                <w:rFonts w:hint="eastAsia" w:ascii="方正书宋_GBK" w:eastAsia="方正书宋_GBK"/>
              </w:rPr>
              <w:t>、通过质询、专题询问和工作评议的方式就政府的工作进行监督。</w:t>
            </w:r>
            <w:r>
              <w:rPr>
                <w:rFonts w:ascii="方正书宋_GBK" w:eastAsia="方正书宋_GBK"/>
              </w:rPr>
              <w:t>4</w:t>
            </w:r>
            <w:r>
              <w:rPr>
                <w:rFonts w:hint="eastAsia" w:ascii="方正书宋_GBK" w:eastAsia="方正书宋_GBK"/>
              </w:rPr>
              <w:t>、为保证我镇重大决策的科学性和法定性，实施作出有关我镇重大问题的决定。</w:t>
            </w:r>
            <w:r>
              <w:rPr>
                <w:rFonts w:ascii="方正书宋_GBK" w:eastAsia="方正书宋_GBK"/>
              </w:rPr>
              <w:t>5</w:t>
            </w:r>
            <w:r>
              <w:rPr>
                <w:rFonts w:hint="eastAsia" w:ascii="方正书宋_GBK" w:eastAsia="方正书宋_GBK"/>
              </w:rPr>
              <w:t>、高效、精细的筹备镇人大会。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、人大会议</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承担镇人民代表大会和常务委员会各种会议的筹备、会务工作，负责常委会文件起草、审核把关，常委会会议、主任会议及常委会党组会议决定事项、工作部署、重要文件及领导批示的传达和督办。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86" w:type="dxa"/>
            <w:gridSpan w:val="5"/>
            <w:shd w:val="clear" w:color="auto" w:fill="auto"/>
            <w:vAlign w:val="center"/>
          </w:tcPr>
          <w:p>
            <w:pPr>
              <w:spacing w:line="300" w:lineRule="exact"/>
              <w:jc w:val="left"/>
              <w:rPr>
                <w:rFonts w:ascii="方正书宋_GBK" w:eastAsia="方正书宋_GBK"/>
              </w:rPr>
            </w:pPr>
            <w:r>
              <w:rPr>
                <w:rFonts w:ascii="方正小标宋_GBK" w:eastAsia="方正小标宋_GBK"/>
                <w:sz w:val="24"/>
              </w:rPr>
              <w:t>548</w:t>
            </w:r>
            <w:r>
              <w:rPr>
                <w:rFonts w:hint="eastAsia" w:ascii="方正小标宋_GBK" w:eastAsia="方正小标宋_GBK"/>
                <w:sz w:val="24"/>
              </w:rPr>
              <w:t>路桥乡</w:t>
            </w:r>
          </w:p>
        </w:tc>
        <w:tc>
          <w:tcPr>
            <w:tcW w:w="2948" w:type="dxa"/>
            <w:gridSpan w:val="4"/>
            <w:shd w:val="clear" w:color="auto" w:fill="auto"/>
            <w:vAlign w:val="center"/>
          </w:tcPr>
          <w:p>
            <w:pPr>
              <w:spacing w:line="300" w:lineRule="exact"/>
              <w:jc w:val="right"/>
              <w:rPr>
                <w:rFonts w:ascii="方正书宋_GBK" w:eastAsia="方正书宋_GBK"/>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b/>
              </w:rPr>
              <w:t>年度预算数</w:t>
            </w:r>
          </w:p>
        </w:tc>
        <w:tc>
          <w:tcPr>
            <w:tcW w:w="29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b/>
              </w:rPr>
              <w:t>内容描述</w:t>
            </w:r>
          </w:p>
        </w:tc>
        <w:tc>
          <w:tcPr>
            <w:tcW w:w="29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b/>
              </w:rPr>
              <w:t>绩效目标</w:t>
            </w:r>
          </w:p>
        </w:tc>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rPr>
            </w:pPr>
            <w:r>
              <w:rPr>
                <w:rFonts w:hint="eastAsia" w:ascii="方正书宋_GBK" w:eastAsia="方正书宋_GBK"/>
                <w:b/>
              </w:rPr>
              <w:t>评价标准</w:t>
            </w:r>
          </w:p>
        </w:tc>
      </w:tr>
    </w:tbl>
    <w:p>
      <w:pPr>
        <w:ind w:firstLine="560"/>
        <w:rPr>
          <w:rFonts w:ascii="楷体_GB2312" w:hAnsi="黑体" w:eastAsia="楷体_GB2312"/>
          <w:b/>
          <w:sz w:val="32"/>
          <w:szCs w:val="32"/>
        </w:rPr>
      </w:pPr>
    </w:p>
    <w:bookmarkEnd w:id="0"/>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autoSpaceDE w:val="0"/>
        <w:autoSpaceDN w:val="0"/>
        <w:adjustRightInd w:val="0"/>
        <w:ind w:firstLine="640" w:firstLineChars="200"/>
        <w:jc w:val="left"/>
        <w:rPr>
          <w:rFonts w:ascii="仿宋_GB2312" w:hAnsi="Times New Roman" w:eastAsia="仿宋_GB2312"/>
          <w:sz w:val="32"/>
          <w:szCs w:val="24"/>
        </w:rPr>
      </w:pPr>
      <w:bookmarkStart w:id="3" w:name="_Toc471398468"/>
      <w:r>
        <w:rPr>
          <w:rFonts w:ascii="仿宋_GB2312" w:hAnsi="Times New Roman" w:eastAsia="仿宋_GB2312"/>
          <w:sz w:val="32"/>
          <w:szCs w:val="24"/>
        </w:rPr>
        <w:t>201</w:t>
      </w:r>
      <w:r>
        <w:rPr>
          <w:rFonts w:hint="eastAsia" w:ascii="仿宋_GB2312" w:hAnsi="Times New Roman" w:eastAsia="仿宋_GB2312"/>
          <w:sz w:val="32"/>
          <w:szCs w:val="24"/>
        </w:rPr>
        <w:t>9年，我单位无安排政府采购预算</w:t>
      </w:r>
      <w:bookmarkEnd w:id="3"/>
    </w:p>
    <w:p>
      <w:pPr>
        <w:jc w:val="center"/>
        <w:outlineLvl w:val="0"/>
        <w:rPr>
          <w:rFonts w:ascii="方正小标宋_GBK" w:eastAsia="方正小标宋_GBK"/>
          <w:sz w:val="32"/>
        </w:rPr>
      </w:pPr>
      <w:bookmarkStart w:id="4" w:name="_Toc504489153"/>
      <w:r>
        <w:rPr>
          <w:rFonts w:hint="eastAsia" w:ascii="方正小标宋_GBK" w:eastAsia="方正小标宋_GBK"/>
          <w:sz w:val="32"/>
        </w:rPr>
        <w:t>部门政府采购预算</w:t>
      </w:r>
      <w:bookmarkEnd w:id="4"/>
    </w:p>
    <w:tbl>
      <w:tblPr>
        <w:tblStyle w:val="9"/>
        <w:tblW w:w="132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6"/>
        <w:gridCol w:w="971"/>
        <w:gridCol w:w="1005"/>
        <w:gridCol w:w="1129"/>
        <w:gridCol w:w="661"/>
        <w:gridCol w:w="661"/>
        <w:gridCol w:w="833"/>
        <w:gridCol w:w="846"/>
        <w:gridCol w:w="846"/>
        <w:gridCol w:w="846"/>
        <w:gridCol w:w="846"/>
        <w:gridCol w:w="849"/>
        <w:gridCol w:w="861"/>
        <w:gridCol w:w="816"/>
        <w:gridCol w:w="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731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548路桥乡</w:t>
            </w:r>
          </w:p>
        </w:tc>
        <w:tc>
          <w:tcPr>
            <w:tcW w:w="5944" w:type="dxa"/>
            <w:gridSpan w:val="8"/>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533" w:hRule="atLeast"/>
          <w:tblHeader/>
          <w:jc w:val="center"/>
        </w:trPr>
        <w:tc>
          <w:tcPr>
            <w:tcW w:w="302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005"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129"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6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66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33"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910"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533" w:hRule="atLeast"/>
          <w:tblHeader/>
          <w:jc w:val="center"/>
        </w:trPr>
        <w:tc>
          <w:tcPr>
            <w:tcW w:w="2056"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71"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005" w:type="dxa"/>
            <w:vMerge w:val="continue"/>
            <w:vAlign w:val="center"/>
          </w:tcPr>
          <w:p>
            <w:pPr>
              <w:spacing w:line="300" w:lineRule="exact"/>
              <w:jc w:val="left"/>
              <w:outlineLvl w:val="0"/>
            </w:pPr>
          </w:p>
        </w:tc>
        <w:tc>
          <w:tcPr>
            <w:tcW w:w="1129"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833" w:type="dxa"/>
            <w:vMerge w:val="continue"/>
            <w:vAlign w:val="center"/>
          </w:tcPr>
          <w:p>
            <w:pPr>
              <w:spacing w:line="300" w:lineRule="exact"/>
              <w:jc w:val="left"/>
              <w:outlineLvl w:val="0"/>
            </w:pPr>
          </w:p>
        </w:tc>
        <w:tc>
          <w:tcPr>
            <w:tcW w:w="846"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248"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16"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1631" w:hRule="atLeast"/>
          <w:tblHeader/>
          <w:jc w:val="center"/>
        </w:trPr>
        <w:tc>
          <w:tcPr>
            <w:tcW w:w="2056" w:type="dxa"/>
            <w:vMerge w:val="continue"/>
            <w:vAlign w:val="center"/>
          </w:tcPr>
          <w:p>
            <w:pPr>
              <w:spacing w:line="300" w:lineRule="exact"/>
              <w:jc w:val="left"/>
              <w:outlineLvl w:val="0"/>
            </w:pPr>
          </w:p>
        </w:tc>
        <w:tc>
          <w:tcPr>
            <w:tcW w:w="971" w:type="dxa"/>
            <w:vMerge w:val="continue"/>
            <w:vAlign w:val="center"/>
          </w:tcPr>
          <w:p>
            <w:pPr>
              <w:spacing w:line="300" w:lineRule="exact"/>
              <w:jc w:val="left"/>
              <w:outlineLvl w:val="0"/>
            </w:pPr>
          </w:p>
        </w:tc>
        <w:tc>
          <w:tcPr>
            <w:tcW w:w="1005" w:type="dxa"/>
            <w:vMerge w:val="continue"/>
            <w:vAlign w:val="center"/>
          </w:tcPr>
          <w:p>
            <w:pPr>
              <w:spacing w:line="300" w:lineRule="exact"/>
              <w:jc w:val="left"/>
              <w:outlineLvl w:val="0"/>
            </w:pPr>
          </w:p>
        </w:tc>
        <w:tc>
          <w:tcPr>
            <w:tcW w:w="1129"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833" w:type="dxa"/>
            <w:vMerge w:val="continue"/>
            <w:vAlign w:val="center"/>
          </w:tcPr>
          <w:p>
            <w:pPr>
              <w:spacing w:line="300" w:lineRule="exact"/>
              <w:jc w:val="left"/>
              <w:outlineLvl w:val="0"/>
            </w:pPr>
          </w:p>
        </w:tc>
        <w:tc>
          <w:tcPr>
            <w:tcW w:w="846" w:type="dxa"/>
            <w:vMerge w:val="continue"/>
            <w:vAlign w:val="center"/>
          </w:tcPr>
          <w:p>
            <w:pPr>
              <w:spacing w:line="300" w:lineRule="exact"/>
              <w:jc w:val="left"/>
              <w:outlineLvl w:val="0"/>
            </w:pPr>
          </w:p>
        </w:tc>
        <w:tc>
          <w:tcPr>
            <w:tcW w:w="846"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46"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46"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49"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61"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16"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533" w:hRule="atLeast"/>
          <w:jc w:val="center"/>
        </w:trPr>
        <w:tc>
          <w:tcPr>
            <w:tcW w:w="2056"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71" w:type="dxa"/>
            <w:vAlign w:val="center"/>
          </w:tcPr>
          <w:p>
            <w:pPr>
              <w:spacing w:line="300" w:lineRule="exact"/>
              <w:jc w:val="center"/>
              <w:rPr>
                <w:rFonts w:ascii="Times New Roman" w:hAnsi="Times New Roman" w:eastAsia="方正书宋_GBK"/>
              </w:rPr>
            </w:pPr>
          </w:p>
        </w:tc>
        <w:tc>
          <w:tcPr>
            <w:tcW w:w="1005" w:type="dxa"/>
            <w:vAlign w:val="center"/>
          </w:tcPr>
          <w:p>
            <w:pPr>
              <w:spacing w:line="300" w:lineRule="exact"/>
              <w:jc w:val="left"/>
              <w:rPr>
                <w:rFonts w:ascii="Times New Roman" w:hAnsi="Times New Roman" w:eastAsia="方正书宋_GBK"/>
              </w:rPr>
            </w:pPr>
          </w:p>
        </w:tc>
        <w:tc>
          <w:tcPr>
            <w:tcW w:w="1129" w:type="dxa"/>
            <w:vAlign w:val="center"/>
          </w:tcPr>
          <w:p>
            <w:pPr>
              <w:spacing w:line="300" w:lineRule="exact"/>
              <w:jc w:val="left"/>
              <w:rPr>
                <w:rFonts w:ascii="Times New Roman" w:hAnsi="Times New Roman" w:eastAsia="方正书宋_GBK"/>
              </w:rPr>
            </w:pPr>
          </w:p>
        </w:tc>
        <w:tc>
          <w:tcPr>
            <w:tcW w:w="661" w:type="dxa"/>
            <w:vAlign w:val="center"/>
          </w:tcPr>
          <w:p>
            <w:pPr>
              <w:spacing w:line="300" w:lineRule="exact"/>
              <w:jc w:val="left"/>
              <w:rPr>
                <w:rFonts w:ascii="Times New Roman" w:hAnsi="Times New Roman" w:eastAsia="方正书宋_GBK"/>
              </w:rPr>
            </w:pPr>
          </w:p>
        </w:tc>
        <w:tc>
          <w:tcPr>
            <w:tcW w:w="661" w:type="dxa"/>
            <w:vAlign w:val="center"/>
          </w:tcPr>
          <w:p>
            <w:pPr>
              <w:spacing w:line="300" w:lineRule="exact"/>
              <w:jc w:val="right"/>
              <w:rPr>
                <w:rFonts w:ascii="Times New Roman" w:hAnsi="Times New Roman" w:eastAsia="方正书宋_GBK"/>
              </w:rPr>
            </w:pPr>
          </w:p>
        </w:tc>
        <w:tc>
          <w:tcPr>
            <w:tcW w:w="833" w:type="dxa"/>
            <w:vAlign w:val="center"/>
          </w:tcPr>
          <w:p>
            <w:pPr>
              <w:spacing w:line="300" w:lineRule="exact"/>
              <w:jc w:val="right"/>
              <w:rPr>
                <w:rFonts w:ascii="Times New Roman" w:hAnsi="Times New Roman" w:eastAsia="方正书宋_GBK"/>
              </w:rPr>
            </w:pPr>
          </w:p>
        </w:tc>
        <w:tc>
          <w:tcPr>
            <w:tcW w:w="846" w:type="dxa"/>
            <w:vAlign w:val="center"/>
          </w:tcPr>
          <w:p>
            <w:pPr>
              <w:spacing w:line="300" w:lineRule="exact"/>
              <w:jc w:val="center"/>
              <w:rPr>
                <w:rFonts w:ascii="Times New Roman" w:hAnsi="Times New Roman" w:eastAsia="方正书宋_GBK"/>
              </w:rPr>
            </w:pPr>
          </w:p>
        </w:tc>
        <w:tc>
          <w:tcPr>
            <w:tcW w:w="846" w:type="dxa"/>
            <w:vAlign w:val="center"/>
          </w:tcPr>
          <w:p>
            <w:pPr>
              <w:spacing w:line="300" w:lineRule="exact"/>
              <w:jc w:val="center"/>
              <w:rPr>
                <w:rFonts w:ascii="Times New Roman" w:hAnsi="Times New Roman" w:eastAsia="方正书宋_GBK"/>
              </w:rPr>
            </w:pPr>
          </w:p>
        </w:tc>
        <w:tc>
          <w:tcPr>
            <w:tcW w:w="846" w:type="dxa"/>
            <w:vAlign w:val="center"/>
          </w:tcPr>
          <w:p>
            <w:pPr>
              <w:spacing w:line="300" w:lineRule="exact"/>
              <w:jc w:val="center"/>
              <w:rPr>
                <w:rFonts w:ascii="Times New Roman" w:hAnsi="Times New Roman" w:eastAsia="方正书宋_GBK"/>
              </w:rPr>
            </w:pPr>
          </w:p>
        </w:tc>
        <w:tc>
          <w:tcPr>
            <w:tcW w:w="846" w:type="dxa"/>
            <w:vAlign w:val="center"/>
          </w:tcPr>
          <w:p>
            <w:pPr>
              <w:spacing w:line="300" w:lineRule="exact"/>
              <w:rPr>
                <w:rFonts w:ascii="Times New Roman" w:hAnsi="Times New Roman" w:eastAsia="方正书宋_GBK"/>
              </w:rPr>
            </w:pPr>
          </w:p>
        </w:tc>
        <w:tc>
          <w:tcPr>
            <w:tcW w:w="849" w:type="dxa"/>
            <w:vAlign w:val="center"/>
          </w:tcPr>
          <w:p>
            <w:pPr>
              <w:spacing w:line="300" w:lineRule="exact"/>
              <w:rPr>
                <w:rFonts w:ascii="Times New Roman" w:hAnsi="Times New Roman" w:eastAsia="方正书宋_GBK"/>
              </w:rPr>
            </w:pPr>
          </w:p>
        </w:tc>
        <w:tc>
          <w:tcPr>
            <w:tcW w:w="861" w:type="dxa"/>
            <w:vAlign w:val="center"/>
          </w:tcPr>
          <w:p>
            <w:pPr>
              <w:spacing w:line="300" w:lineRule="exact"/>
              <w:jc w:val="center"/>
              <w:rPr>
                <w:rFonts w:ascii="Times New Roman" w:hAnsi="Times New Roman" w:eastAsia="方正书宋_GBK"/>
              </w:rPr>
            </w:pPr>
          </w:p>
        </w:tc>
        <w:tc>
          <w:tcPr>
            <w:tcW w:w="816"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4" w:type="dxa"/>
          <w:trHeight w:val="2102" w:hRule="atLeast"/>
          <w:jc w:val="center"/>
        </w:trPr>
        <w:tc>
          <w:tcPr>
            <w:tcW w:w="2056" w:type="dxa"/>
            <w:vAlign w:val="center"/>
          </w:tcPr>
          <w:p>
            <w:pPr>
              <w:spacing w:line="300" w:lineRule="exact"/>
              <w:jc w:val="center"/>
              <w:rPr>
                <w:rFonts w:ascii="方正书宋_GBK" w:eastAsia="方正书宋_GBK"/>
              </w:rPr>
            </w:pPr>
            <w:r>
              <w:rPr>
                <w:rFonts w:hint="eastAsia" w:ascii="方正书宋_GBK" w:eastAsia="方正书宋_GBK"/>
                <w:b/>
              </w:rPr>
              <w:t>日常公用</w:t>
            </w:r>
          </w:p>
        </w:tc>
        <w:tc>
          <w:tcPr>
            <w:tcW w:w="971" w:type="dxa"/>
            <w:vAlign w:val="center"/>
          </w:tcPr>
          <w:p>
            <w:pPr>
              <w:spacing w:line="300" w:lineRule="exact"/>
              <w:jc w:val="center"/>
              <w:rPr>
                <w:rFonts w:ascii="Times New Roman" w:hAnsi="Times New Roman" w:eastAsia="方正书宋_GBK"/>
              </w:rPr>
            </w:pPr>
          </w:p>
        </w:tc>
        <w:tc>
          <w:tcPr>
            <w:tcW w:w="1005" w:type="dxa"/>
            <w:vAlign w:val="center"/>
          </w:tcPr>
          <w:p>
            <w:pPr>
              <w:spacing w:line="300" w:lineRule="exact"/>
              <w:jc w:val="left"/>
              <w:rPr>
                <w:rFonts w:ascii="方正书宋_GBK" w:eastAsia="方正书宋_GBK"/>
                <w:b/>
              </w:rPr>
            </w:pPr>
          </w:p>
        </w:tc>
        <w:tc>
          <w:tcPr>
            <w:tcW w:w="1129" w:type="dxa"/>
            <w:vAlign w:val="center"/>
          </w:tcPr>
          <w:p>
            <w:pPr>
              <w:spacing w:line="300" w:lineRule="exact"/>
              <w:jc w:val="center"/>
              <w:rPr>
                <w:rFonts w:ascii="方正书宋_GBK" w:eastAsia="方正书宋_GBK"/>
                <w:b/>
              </w:rPr>
            </w:pPr>
          </w:p>
        </w:tc>
        <w:tc>
          <w:tcPr>
            <w:tcW w:w="661" w:type="dxa"/>
            <w:vAlign w:val="center"/>
          </w:tcPr>
          <w:p>
            <w:pPr>
              <w:spacing w:line="300" w:lineRule="exact"/>
              <w:jc w:val="left"/>
              <w:rPr>
                <w:rFonts w:ascii="方正书宋_GBK" w:eastAsia="方正书宋_GBK"/>
                <w:b/>
              </w:rPr>
            </w:pPr>
          </w:p>
        </w:tc>
        <w:tc>
          <w:tcPr>
            <w:tcW w:w="661" w:type="dxa"/>
            <w:vAlign w:val="center"/>
          </w:tcPr>
          <w:p>
            <w:pPr>
              <w:spacing w:line="300" w:lineRule="exact"/>
              <w:jc w:val="left"/>
              <w:rPr>
                <w:rFonts w:ascii="方正书宋_GBK" w:eastAsia="方正书宋_GBK"/>
              </w:rPr>
            </w:pPr>
          </w:p>
        </w:tc>
        <w:tc>
          <w:tcPr>
            <w:tcW w:w="833" w:type="dxa"/>
            <w:vAlign w:val="center"/>
          </w:tcPr>
          <w:p>
            <w:pPr>
              <w:spacing w:line="300" w:lineRule="exact"/>
              <w:jc w:val="left"/>
              <w:rPr>
                <w:rFonts w:ascii="方正书宋_GBK" w:eastAsia="方正书宋_GBK"/>
              </w:rPr>
            </w:pPr>
          </w:p>
        </w:tc>
        <w:tc>
          <w:tcPr>
            <w:tcW w:w="846" w:type="dxa"/>
            <w:vAlign w:val="center"/>
          </w:tcPr>
          <w:p>
            <w:pPr>
              <w:spacing w:line="300" w:lineRule="exact"/>
              <w:jc w:val="center"/>
              <w:rPr>
                <w:rFonts w:ascii="方正书宋_GBK" w:eastAsia="方正书宋_GBK"/>
              </w:rPr>
            </w:pPr>
          </w:p>
        </w:tc>
        <w:tc>
          <w:tcPr>
            <w:tcW w:w="846" w:type="dxa"/>
            <w:vAlign w:val="center"/>
          </w:tcPr>
          <w:p>
            <w:pPr>
              <w:spacing w:line="300" w:lineRule="exact"/>
              <w:jc w:val="center"/>
              <w:rPr>
                <w:rFonts w:ascii="方正书宋_GBK" w:eastAsia="方正书宋_GBK"/>
              </w:rPr>
            </w:pPr>
          </w:p>
        </w:tc>
        <w:tc>
          <w:tcPr>
            <w:tcW w:w="846" w:type="dxa"/>
            <w:vAlign w:val="center"/>
          </w:tcPr>
          <w:p>
            <w:pPr>
              <w:spacing w:line="300" w:lineRule="exact"/>
              <w:jc w:val="center"/>
              <w:rPr>
                <w:rFonts w:ascii="方正书宋_GBK" w:eastAsia="方正书宋_GBK"/>
              </w:rPr>
            </w:pPr>
          </w:p>
        </w:tc>
        <w:tc>
          <w:tcPr>
            <w:tcW w:w="846" w:type="dxa"/>
            <w:vAlign w:val="center"/>
          </w:tcPr>
          <w:p>
            <w:pPr>
              <w:spacing w:line="300" w:lineRule="exact"/>
              <w:jc w:val="left"/>
              <w:rPr>
                <w:rFonts w:ascii="方正书宋_GBK" w:eastAsia="方正书宋_GBK"/>
              </w:rPr>
            </w:pPr>
          </w:p>
        </w:tc>
        <w:tc>
          <w:tcPr>
            <w:tcW w:w="849" w:type="dxa"/>
            <w:vAlign w:val="center"/>
          </w:tcPr>
          <w:p>
            <w:pPr>
              <w:spacing w:line="300" w:lineRule="exact"/>
              <w:jc w:val="right"/>
              <w:rPr>
                <w:rFonts w:ascii="方正书宋_GBK" w:eastAsia="方正书宋_GBK"/>
              </w:rPr>
            </w:pPr>
          </w:p>
        </w:tc>
        <w:tc>
          <w:tcPr>
            <w:tcW w:w="861" w:type="dxa"/>
            <w:vAlign w:val="center"/>
          </w:tcPr>
          <w:p>
            <w:pPr>
              <w:spacing w:line="300" w:lineRule="exact"/>
              <w:jc w:val="right"/>
              <w:rPr>
                <w:rFonts w:ascii="方正书宋_GBK" w:eastAsia="方正书宋_GBK"/>
              </w:rPr>
            </w:pPr>
          </w:p>
        </w:tc>
        <w:tc>
          <w:tcPr>
            <w:tcW w:w="816"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仿宋_GB2312" w:hAnsi="Times New Roman" w:eastAsia="仿宋_GB2312"/>
          <w:sz w:val="32"/>
          <w:szCs w:val="24"/>
        </w:rPr>
      </w:pPr>
    </w:p>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路桥乡人民政府上年末固定资产金额为</w:t>
      </w:r>
      <w:r>
        <w:rPr>
          <w:rFonts w:hint="eastAsia" w:ascii="仿宋_GB2312" w:hAnsi="Times New Roman" w:eastAsia="仿宋_GB2312"/>
          <w:sz w:val="32"/>
          <w:szCs w:val="32"/>
        </w:rPr>
        <w:t>74</w:t>
      </w:r>
      <w:r>
        <w:rPr>
          <w:rFonts w:ascii="仿宋_GB2312" w:hAnsi="Times New Roman" w:eastAsia="仿宋_GB2312"/>
          <w:sz w:val="32"/>
          <w:szCs w:val="32"/>
        </w:rPr>
        <w:t>.5</w:t>
      </w:r>
      <w:r>
        <w:rPr>
          <w:rFonts w:hint="eastAsia" w:ascii="仿宋_GB2312" w:hAnsi="黑体" w:eastAsia="仿宋_GB2312"/>
          <w:sz w:val="32"/>
          <w:szCs w:val="32"/>
        </w:rPr>
        <w:t>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本年度我单位无购置固定资产。</w:t>
      </w:r>
    </w:p>
    <w:tbl>
      <w:tblPr>
        <w:tblStyle w:val="9"/>
        <w:tblW w:w="12642" w:type="dxa"/>
        <w:jc w:val="center"/>
        <w:tblLayout w:type="fixed"/>
        <w:tblCellMar>
          <w:top w:w="15" w:type="dxa"/>
          <w:left w:w="15" w:type="dxa"/>
          <w:bottom w:w="15" w:type="dxa"/>
          <w:right w:w="15" w:type="dxa"/>
        </w:tblCellMar>
      </w:tblPr>
      <w:tblGrid>
        <w:gridCol w:w="1347"/>
        <w:gridCol w:w="3601"/>
        <w:gridCol w:w="496"/>
        <w:gridCol w:w="1484"/>
        <w:gridCol w:w="1483"/>
        <w:gridCol w:w="1352"/>
        <w:gridCol w:w="1352"/>
        <w:gridCol w:w="1527"/>
      </w:tblGrid>
      <w:tr>
        <w:tblPrEx>
          <w:tblCellMar>
            <w:top w:w="15" w:type="dxa"/>
            <w:left w:w="15" w:type="dxa"/>
            <w:bottom w:w="15" w:type="dxa"/>
            <w:right w:w="15" w:type="dxa"/>
          </w:tblCellMar>
        </w:tblPrEx>
        <w:trPr>
          <w:gridBefore w:val="1"/>
          <w:wBefore w:w="1347" w:type="dxa"/>
          <w:trHeight w:val="540" w:hRule="atLeast"/>
          <w:jc w:val="center"/>
        </w:trPr>
        <w:tc>
          <w:tcPr>
            <w:tcW w:w="11295" w:type="dxa"/>
            <w:gridSpan w:val="7"/>
            <w:vAlign w:val="bottom"/>
          </w:tcPr>
          <w:p>
            <w:pPr>
              <w:widowControl/>
              <w:jc w:val="center"/>
              <w:textAlignment w:val="bottom"/>
              <w:rPr>
                <w:rFonts w:ascii="宋体" w:cs="宋体"/>
                <w:b/>
                <w:color w:val="000000"/>
                <w:sz w:val="32"/>
                <w:szCs w:val="32"/>
              </w:rPr>
            </w:pPr>
            <w:r>
              <w:rPr>
                <w:rFonts w:hint="eastAsia" w:ascii="宋体" w:hAnsi="宋体" w:cs="宋体"/>
                <w:b/>
                <w:color w:val="000000"/>
                <w:kern w:val="0"/>
                <w:sz w:val="32"/>
                <w:szCs w:val="32"/>
              </w:rPr>
              <w:t>部门固定资产占用情况表</w:t>
            </w:r>
          </w:p>
        </w:tc>
      </w:tr>
      <w:tr>
        <w:tblPrEx>
          <w:tblCellMar>
            <w:top w:w="15" w:type="dxa"/>
            <w:left w:w="15" w:type="dxa"/>
            <w:bottom w:w="15" w:type="dxa"/>
            <w:right w:w="15" w:type="dxa"/>
          </w:tblCellMar>
        </w:tblPrEx>
        <w:trPr>
          <w:gridAfter w:val="1"/>
          <w:wAfter w:w="1527" w:type="dxa"/>
          <w:trHeight w:val="286" w:hRule="atLeast"/>
          <w:jc w:val="center"/>
        </w:trPr>
        <w:tc>
          <w:tcPr>
            <w:tcW w:w="4948" w:type="dxa"/>
            <w:gridSpan w:val="2"/>
            <w:shd w:val="clear" w:color="auto" w:fill="auto"/>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rPr>
              <w:t>编制单位：馆陶县路桥乡人民政府</w:t>
            </w:r>
          </w:p>
        </w:tc>
        <w:tc>
          <w:tcPr>
            <w:tcW w:w="496" w:type="dxa"/>
            <w:shd w:val="clear" w:color="auto" w:fill="auto"/>
            <w:vAlign w:val="bottom"/>
          </w:tcPr>
          <w:p>
            <w:pPr>
              <w:rPr>
                <w:rFonts w:ascii="Arial" w:hAnsi="Arial" w:cs="Arial"/>
                <w:color w:val="000000"/>
                <w:sz w:val="20"/>
                <w:szCs w:val="20"/>
              </w:rPr>
            </w:pPr>
          </w:p>
        </w:tc>
        <w:tc>
          <w:tcPr>
            <w:tcW w:w="1484" w:type="dxa"/>
            <w:shd w:val="clear" w:color="auto" w:fill="auto"/>
            <w:vAlign w:val="bottom"/>
          </w:tcPr>
          <w:p>
            <w:pPr>
              <w:rPr>
                <w:rFonts w:ascii="Arial" w:hAnsi="Arial" w:cs="Arial"/>
                <w:color w:val="000000"/>
                <w:sz w:val="20"/>
                <w:szCs w:val="20"/>
              </w:rPr>
            </w:pPr>
          </w:p>
        </w:tc>
        <w:tc>
          <w:tcPr>
            <w:tcW w:w="1483" w:type="dxa"/>
            <w:shd w:val="clear" w:color="auto" w:fill="auto"/>
            <w:vAlign w:val="bottom"/>
          </w:tcPr>
          <w:p>
            <w:pPr>
              <w:rPr>
                <w:rFonts w:ascii="Arial" w:hAnsi="Arial" w:cs="Arial"/>
                <w:color w:val="000000"/>
                <w:sz w:val="20"/>
                <w:szCs w:val="20"/>
              </w:rPr>
            </w:pPr>
          </w:p>
        </w:tc>
        <w:tc>
          <w:tcPr>
            <w:tcW w:w="1352" w:type="dxa"/>
            <w:shd w:val="clear" w:color="auto" w:fill="auto"/>
            <w:vAlign w:val="bottom"/>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rPr>
              <w:t>2018年度</w:t>
            </w:r>
          </w:p>
        </w:tc>
        <w:tc>
          <w:tcPr>
            <w:tcW w:w="1352" w:type="dxa"/>
            <w:shd w:val="clear" w:color="auto" w:fill="auto"/>
            <w:vAlign w:val="bottom"/>
          </w:tcPr>
          <w:p>
            <w:pPr>
              <w:rPr>
                <w:rFonts w:ascii="Arial" w:hAnsi="Arial" w:cs="Arial"/>
                <w:color w:val="000000"/>
                <w:sz w:val="20"/>
                <w:szCs w:val="20"/>
              </w:rPr>
            </w:pPr>
          </w:p>
        </w:tc>
      </w:tr>
      <w:tr>
        <w:tblPrEx>
          <w:tblCellMar>
            <w:top w:w="15" w:type="dxa"/>
            <w:left w:w="15" w:type="dxa"/>
            <w:bottom w:w="15" w:type="dxa"/>
            <w:right w:w="15" w:type="dxa"/>
          </w:tblCellMar>
        </w:tblPrEx>
        <w:trPr>
          <w:gridAfter w:val="1"/>
          <w:wAfter w:w="1527" w:type="dxa"/>
          <w:trHeight w:val="390" w:hRule="atLeast"/>
          <w:jc w:val="center"/>
        </w:trPr>
        <w:tc>
          <w:tcPr>
            <w:tcW w:w="4948"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项　　目</w:t>
            </w:r>
          </w:p>
        </w:tc>
        <w:tc>
          <w:tcPr>
            <w:tcW w:w="496"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行次</w:t>
            </w:r>
          </w:p>
        </w:tc>
        <w:tc>
          <w:tcPr>
            <w:tcW w:w="2967"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数量</w:t>
            </w:r>
          </w:p>
        </w:tc>
        <w:tc>
          <w:tcPr>
            <w:tcW w:w="2704"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价值</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rPr>
            </w:pPr>
          </w:p>
        </w:tc>
        <w:tc>
          <w:tcPr>
            <w:tcW w:w="49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rPr>
            </w:pPr>
          </w:p>
        </w:tc>
        <w:tc>
          <w:tcPr>
            <w:tcW w:w="1484"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年初数</w:t>
            </w:r>
          </w:p>
        </w:tc>
        <w:tc>
          <w:tcPr>
            <w:tcW w:w="1483"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年末数</w:t>
            </w:r>
          </w:p>
        </w:tc>
        <w:tc>
          <w:tcPr>
            <w:tcW w:w="1352"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年初数</w:t>
            </w:r>
          </w:p>
        </w:tc>
        <w:tc>
          <w:tcPr>
            <w:tcW w:w="1352"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年末数</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栏　　次</w:t>
            </w:r>
          </w:p>
        </w:tc>
        <w:tc>
          <w:tcPr>
            <w:tcW w:w="496" w:type="dxa"/>
            <w:tcBorders>
              <w:bottom w:val="single" w:color="000000" w:sz="4" w:space="0"/>
              <w:right w:val="single" w:color="000000" w:sz="4" w:space="0"/>
            </w:tcBorders>
            <w:shd w:val="clear" w:color="FFFFFF" w:fill="C0C0C0"/>
            <w:vAlign w:val="center"/>
          </w:tcPr>
          <w:p>
            <w:pPr>
              <w:jc w:val="center"/>
              <w:rPr>
                <w:rFonts w:ascii="宋体" w:hAnsi="宋体" w:cs="宋体"/>
                <w:color w:val="000000"/>
                <w:sz w:val="22"/>
              </w:rPr>
            </w:pPr>
          </w:p>
        </w:tc>
        <w:tc>
          <w:tcPr>
            <w:tcW w:w="1484"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483"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352"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352"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资产总额</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484"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483"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2,231,179.48</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1,308,986.00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一、流动资产</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484"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483"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1,486,179.48</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563,986.00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二、固定资产</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484"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483"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745,000.00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745,000.00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（一）房屋（平方米）</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4</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2,460.00</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2,460.00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615,000.00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615,000.00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1.办公用房</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2,460.00</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2,460.00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615,000.00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615,000.00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2.业务用房</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6</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3.其他（不含构筑物）</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（二）车辆（台、辆）</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8</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40,000.00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40,000.00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1.轿车</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2</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1</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40,000.00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40,000.00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2.越野车</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3.小型载客汽车</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11</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4.大中型载客汽车</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12</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5.其他车型</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（三）单价50万元（含）以上的通用设备（台、套…）</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14</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（四）单价100万元（含）以上的专用设备（台、套…）</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15</w:t>
            </w:r>
          </w:p>
        </w:tc>
        <w:tc>
          <w:tcPr>
            <w:tcW w:w="1484"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483"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  （五）其他固定资产</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16</w:t>
            </w:r>
          </w:p>
        </w:tc>
        <w:tc>
          <w:tcPr>
            <w:tcW w:w="1484"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483"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90,000.00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90,000.00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减：累计折旧及减值准备</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17</w:t>
            </w:r>
          </w:p>
        </w:tc>
        <w:tc>
          <w:tcPr>
            <w:tcW w:w="1484"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483"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三、长期投资</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18</w:t>
            </w:r>
          </w:p>
        </w:tc>
        <w:tc>
          <w:tcPr>
            <w:tcW w:w="1484"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483"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四、在建工程</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19</w:t>
            </w:r>
          </w:p>
        </w:tc>
        <w:tc>
          <w:tcPr>
            <w:tcW w:w="1484"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483"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五、无形资产</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20</w:t>
            </w:r>
          </w:p>
        </w:tc>
        <w:tc>
          <w:tcPr>
            <w:tcW w:w="1484"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483"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减：累计摊销</w:t>
            </w:r>
          </w:p>
        </w:tc>
        <w:tc>
          <w:tcPr>
            <w:tcW w:w="496"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21</w:t>
            </w:r>
          </w:p>
        </w:tc>
        <w:tc>
          <w:tcPr>
            <w:tcW w:w="1484"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483"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r>
        <w:tblPrEx>
          <w:tblCellMar>
            <w:top w:w="15" w:type="dxa"/>
            <w:left w:w="15" w:type="dxa"/>
            <w:bottom w:w="15" w:type="dxa"/>
            <w:right w:w="15" w:type="dxa"/>
          </w:tblCellMar>
        </w:tblPrEx>
        <w:trPr>
          <w:gridAfter w:val="1"/>
          <w:wAfter w:w="1527" w:type="dxa"/>
          <w:trHeight w:val="300" w:hRule="atLeast"/>
          <w:jc w:val="center"/>
        </w:trPr>
        <w:tc>
          <w:tcPr>
            <w:tcW w:w="4948" w:type="dxa"/>
            <w:gridSpan w:val="2"/>
            <w:tcBorders>
              <w:left w:val="single" w:color="000000" w:sz="4" w:space="0"/>
              <w:bottom w:val="single" w:color="000000" w:sz="12" w:space="0"/>
              <w:right w:val="single" w:color="000000" w:sz="4" w:space="0"/>
            </w:tcBorders>
            <w:shd w:val="clear" w:color="FFFFFF" w:fill="C0C0C0"/>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六、其他资产</w:t>
            </w:r>
          </w:p>
        </w:tc>
        <w:tc>
          <w:tcPr>
            <w:tcW w:w="496" w:type="dxa"/>
            <w:tcBorders>
              <w:bottom w:val="single" w:color="000000" w:sz="12" w:space="0"/>
              <w:right w:val="single" w:color="000000" w:sz="4" w:space="0"/>
            </w:tcBorders>
            <w:shd w:val="clear" w:color="FFFFFF" w:fill="C0C0C0"/>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22</w:t>
            </w:r>
          </w:p>
        </w:tc>
        <w:tc>
          <w:tcPr>
            <w:tcW w:w="1484" w:type="dxa"/>
            <w:tcBorders>
              <w:bottom w:val="single" w:color="000000" w:sz="12"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483" w:type="dxa"/>
            <w:tcBorders>
              <w:bottom w:val="single" w:color="000000" w:sz="12"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w:t>
            </w:r>
          </w:p>
        </w:tc>
        <w:tc>
          <w:tcPr>
            <w:tcW w:w="1352" w:type="dxa"/>
            <w:tcBorders>
              <w:bottom w:val="single" w:color="000000" w:sz="12"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c>
          <w:tcPr>
            <w:tcW w:w="1352" w:type="dxa"/>
            <w:tcBorders>
              <w:bottom w:val="single" w:color="000000" w:sz="12" w:space="0"/>
              <w:right w:val="single" w:color="000000" w:sz="4" w:space="0"/>
            </w:tcBorders>
            <w:shd w:val="clear" w:color="auto" w:fill="auto"/>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rPr>
              <w:t>0.00</w:t>
            </w:r>
          </w:p>
        </w:tc>
      </w:tr>
    </w:tbl>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八、名词解释</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1</w:t>
      </w:r>
      <w:r>
        <w:rPr>
          <w:rFonts w:hint="eastAsia" w:asciiTheme="majorEastAsia" w:hAnsiTheme="majorEastAsia" w:eastAsiaTheme="majorEastAsia"/>
          <w:b/>
          <w:sz w:val="32"/>
          <w:szCs w:val="32"/>
        </w:rPr>
        <w:t>、一般公共预算拨款收入：</w:t>
      </w:r>
      <w:r>
        <w:rPr>
          <w:rFonts w:hint="eastAsia" w:asciiTheme="majorEastAsia" w:hAnsiTheme="majorEastAsia" w:eastAsiaTheme="majorEastAsia"/>
          <w:sz w:val="32"/>
          <w:szCs w:val="32"/>
        </w:rPr>
        <w:t>指县级财政当年拨付的资金。</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2</w:t>
      </w:r>
      <w:r>
        <w:rPr>
          <w:rFonts w:hint="eastAsia" w:asciiTheme="majorEastAsia" w:hAnsiTheme="majorEastAsia" w:eastAsiaTheme="majorEastAsia"/>
          <w:b/>
          <w:sz w:val="32"/>
          <w:szCs w:val="32"/>
        </w:rPr>
        <w:t>、事业收入：</w:t>
      </w:r>
      <w:r>
        <w:rPr>
          <w:rFonts w:hint="eastAsia" w:asciiTheme="majorEastAsia" w:hAnsiTheme="majorEastAsia" w:eastAsiaTheme="majorEastAsia"/>
          <w:sz w:val="32"/>
          <w:szCs w:val="32"/>
        </w:rPr>
        <w:t>指事业单位开展专业业务活动及辅助活动所取得的收入。</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3</w:t>
      </w:r>
      <w:r>
        <w:rPr>
          <w:rFonts w:hint="eastAsia" w:asciiTheme="majorEastAsia" w:hAnsiTheme="majorEastAsia" w:eastAsiaTheme="majorEastAsia"/>
          <w:b/>
          <w:sz w:val="32"/>
          <w:szCs w:val="32"/>
        </w:rPr>
        <w:t>、其他收入：</w:t>
      </w:r>
      <w:r>
        <w:rPr>
          <w:rFonts w:hint="eastAsia" w:asciiTheme="majorEastAsia" w:hAnsiTheme="majorEastAsia" w:eastAsiaTheme="majorEastAsia"/>
          <w:sz w:val="32"/>
          <w:szCs w:val="32"/>
        </w:rPr>
        <w:t>指除</w:t>
      </w:r>
      <w:r>
        <w:rPr>
          <w:rFonts w:asciiTheme="majorEastAsia" w:hAnsiTheme="majorEastAsia" w:eastAsiaTheme="majorEastAsia"/>
          <w:sz w:val="32"/>
          <w:szCs w:val="32"/>
        </w:rPr>
        <w:t>“</w:t>
      </w:r>
      <w:r>
        <w:rPr>
          <w:rFonts w:hint="eastAsia" w:asciiTheme="majorEastAsia" w:hAnsiTheme="majorEastAsia" w:eastAsiaTheme="majorEastAsia"/>
          <w:sz w:val="32"/>
          <w:szCs w:val="32"/>
        </w:rPr>
        <w:t>一般公共预算拨款收入</w:t>
      </w:r>
      <w:r>
        <w:rPr>
          <w:rFonts w:asciiTheme="majorEastAsia" w:hAnsiTheme="majorEastAsia" w:eastAsiaTheme="majorEastAsia"/>
          <w:sz w:val="32"/>
          <w:szCs w:val="32"/>
        </w:rPr>
        <w:t>”</w:t>
      </w:r>
      <w:r>
        <w:rPr>
          <w:rFonts w:hint="eastAsia" w:asciiTheme="majorEastAsia" w:hAnsiTheme="majorEastAsia" w:eastAsiaTheme="majorEastAsia"/>
          <w:sz w:val="32"/>
          <w:szCs w:val="32"/>
        </w:rPr>
        <w:t>、</w:t>
      </w:r>
      <w:r>
        <w:rPr>
          <w:rFonts w:asciiTheme="majorEastAsia" w:hAnsiTheme="majorEastAsia" w:eastAsiaTheme="majorEastAsia"/>
          <w:sz w:val="32"/>
          <w:szCs w:val="32"/>
        </w:rPr>
        <w:t>“</w:t>
      </w:r>
      <w:r>
        <w:rPr>
          <w:rFonts w:hint="eastAsia" w:asciiTheme="majorEastAsia" w:hAnsiTheme="majorEastAsia" w:eastAsiaTheme="majorEastAsia"/>
          <w:sz w:val="32"/>
          <w:szCs w:val="32"/>
        </w:rPr>
        <w:t>事业收入</w:t>
      </w:r>
      <w:r>
        <w:rPr>
          <w:rFonts w:asciiTheme="majorEastAsia" w:hAnsiTheme="majorEastAsia" w:eastAsiaTheme="majorEastAsia"/>
          <w:sz w:val="32"/>
          <w:szCs w:val="32"/>
        </w:rPr>
        <w:t>”</w:t>
      </w:r>
      <w:r>
        <w:rPr>
          <w:rFonts w:hint="eastAsia" w:asciiTheme="majorEastAsia" w:hAnsiTheme="majorEastAsia" w:eastAsiaTheme="majorEastAsia"/>
          <w:sz w:val="32"/>
          <w:szCs w:val="32"/>
        </w:rPr>
        <w:t>等以外的收入。主要是按规定动用的租房收入、存款利息收入等。</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4</w:t>
      </w:r>
      <w:r>
        <w:rPr>
          <w:rFonts w:hint="eastAsia" w:asciiTheme="majorEastAsia" w:hAnsiTheme="majorEastAsia" w:eastAsiaTheme="majorEastAsia"/>
          <w:b/>
          <w:sz w:val="32"/>
          <w:szCs w:val="32"/>
        </w:rPr>
        <w:t>、基本支出：</w:t>
      </w:r>
      <w:r>
        <w:rPr>
          <w:rFonts w:hint="eastAsia" w:asciiTheme="majorEastAsia" w:hAnsiTheme="majorEastAsia" w:eastAsiaTheme="majorEastAsia"/>
          <w:sz w:val="32"/>
          <w:szCs w:val="32"/>
        </w:rPr>
        <w:t>指为保障机构正常运转、完成日常工作任务而发生的人员支出和公用支出。</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5</w:t>
      </w:r>
      <w:r>
        <w:rPr>
          <w:rFonts w:hint="eastAsia" w:asciiTheme="majorEastAsia" w:hAnsiTheme="majorEastAsia" w:eastAsiaTheme="majorEastAsia"/>
          <w:b/>
          <w:sz w:val="32"/>
          <w:szCs w:val="32"/>
        </w:rPr>
        <w:t>、项目支出：</w:t>
      </w:r>
      <w:r>
        <w:rPr>
          <w:rFonts w:hint="eastAsia" w:asciiTheme="majorEastAsia" w:hAnsiTheme="majorEastAsia" w:eastAsiaTheme="majorEastAsia"/>
          <w:sz w:val="32"/>
          <w:szCs w:val="32"/>
        </w:rPr>
        <w:t>指在基本支出之外为完成特定行政任务和事业发展目标所发生的支出。</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6</w:t>
      </w:r>
      <w:r>
        <w:rPr>
          <w:rFonts w:hint="eastAsia" w:asciiTheme="majorEastAsia" w:hAnsiTheme="majorEastAsia" w:eastAsiaTheme="majorEastAsia"/>
          <w:b/>
          <w:sz w:val="32"/>
          <w:szCs w:val="32"/>
        </w:rPr>
        <w:t>、</w:t>
      </w:r>
      <w:r>
        <w:rPr>
          <w:rFonts w:asciiTheme="majorEastAsia" w:hAnsiTheme="majorEastAsia" w:eastAsiaTheme="majorEastAsia"/>
          <w:b/>
          <w:sz w:val="32"/>
          <w:szCs w:val="32"/>
        </w:rPr>
        <w:t>“</w:t>
      </w:r>
      <w:r>
        <w:rPr>
          <w:rFonts w:hint="eastAsia" w:asciiTheme="majorEastAsia" w:hAnsiTheme="majorEastAsia" w:eastAsiaTheme="majorEastAsia"/>
          <w:b/>
          <w:sz w:val="32"/>
          <w:szCs w:val="32"/>
        </w:rPr>
        <w:t>三公</w:t>
      </w:r>
      <w:r>
        <w:rPr>
          <w:rFonts w:asciiTheme="majorEastAsia" w:hAnsiTheme="majorEastAsia" w:eastAsiaTheme="majorEastAsia"/>
          <w:b/>
          <w:sz w:val="32"/>
          <w:szCs w:val="32"/>
        </w:rPr>
        <w:t>”</w:t>
      </w:r>
      <w:r>
        <w:rPr>
          <w:rFonts w:hint="eastAsia" w:asciiTheme="majorEastAsia" w:hAnsiTheme="majorEastAsia" w:eastAsiaTheme="majorEastAsia"/>
          <w:b/>
          <w:sz w:val="32"/>
          <w:szCs w:val="32"/>
        </w:rPr>
        <w:t>经费：</w:t>
      </w:r>
      <w:r>
        <w:rPr>
          <w:rFonts w:hint="eastAsia" w:asciiTheme="majorEastAsia" w:hAnsiTheme="majorEastAsia" w:eastAsiaTheme="majorEastAsia"/>
          <w:sz w:val="32"/>
          <w:szCs w:val="32"/>
        </w:rPr>
        <w:t>纳入县级财政预算管理的</w:t>
      </w:r>
      <w:r>
        <w:rPr>
          <w:rFonts w:asciiTheme="majorEastAsia" w:hAnsiTheme="majorEastAsia" w:eastAsiaTheme="majorEastAsia"/>
          <w:sz w:val="32"/>
          <w:szCs w:val="32"/>
        </w:rPr>
        <w:t>“</w:t>
      </w:r>
      <w:r>
        <w:rPr>
          <w:rFonts w:hint="eastAsia" w:asciiTheme="majorEastAsia" w:hAnsiTheme="majorEastAsia" w:eastAsiaTheme="majorEastAsia"/>
          <w:sz w:val="32"/>
          <w:szCs w:val="32"/>
        </w:rPr>
        <w:t>三公</w:t>
      </w:r>
      <w:r>
        <w:rPr>
          <w:rFonts w:asciiTheme="majorEastAsia" w:hAnsiTheme="majorEastAsia" w:eastAsiaTheme="majorEastAsia"/>
          <w:sz w:val="32"/>
          <w:szCs w:val="32"/>
        </w:rPr>
        <w:t>”</w:t>
      </w:r>
      <w:r>
        <w:rPr>
          <w:rFonts w:hint="eastAsia" w:asciiTheme="majorEastAsia" w:hAnsiTheme="majorEastAsia" w:eastAsiaTheme="majorEastAsia"/>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7</w:t>
      </w:r>
      <w:r>
        <w:rPr>
          <w:rFonts w:hint="eastAsia" w:asciiTheme="majorEastAsia" w:hAnsiTheme="majorEastAsia" w:eastAsiaTheme="majorEastAsia"/>
          <w:b/>
          <w:sz w:val="32"/>
          <w:szCs w:val="32"/>
        </w:rPr>
        <w:t>、机关运行费：</w:t>
      </w:r>
      <w:r>
        <w:rPr>
          <w:rFonts w:hint="eastAsia" w:asciiTheme="majorEastAsia" w:hAnsiTheme="majorEastAsia" w:eastAsiaTheme="majorEastAsia"/>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8</w:t>
      </w:r>
      <w:r>
        <w:rPr>
          <w:rFonts w:hint="eastAsia" w:asciiTheme="majorEastAsia" w:hAnsiTheme="majorEastAsia" w:eastAsiaTheme="majorEastAsia"/>
          <w:b/>
          <w:sz w:val="32"/>
          <w:szCs w:val="32"/>
        </w:rPr>
        <w:t>、上年结转：</w:t>
      </w:r>
      <w:r>
        <w:rPr>
          <w:rFonts w:hint="eastAsia" w:asciiTheme="majorEastAsia" w:hAnsiTheme="majorEastAsia" w:eastAsiaTheme="majorEastAsia"/>
          <w:sz w:val="32"/>
          <w:szCs w:val="32"/>
        </w:rPr>
        <w:t>指以前年度尚未完成、结转到本年仍按原规定用途继续使用的资金。</w:t>
      </w:r>
    </w:p>
    <w:p>
      <w:pPr>
        <w:tabs>
          <w:tab w:val="left" w:pos="11490"/>
        </w:tabs>
        <w:ind w:firstLine="643" w:firstLineChars="200"/>
        <w:rPr>
          <w:rFonts w:asciiTheme="majorEastAsia" w:hAnsiTheme="majorEastAsia" w:eastAsiaTheme="majorEastAsia"/>
          <w:sz w:val="32"/>
          <w:szCs w:val="32"/>
        </w:rPr>
      </w:pPr>
      <w:r>
        <w:rPr>
          <w:rFonts w:asciiTheme="majorEastAsia" w:hAnsiTheme="majorEastAsia" w:eastAsiaTheme="majorEastAsia"/>
          <w:b/>
          <w:sz w:val="32"/>
          <w:szCs w:val="32"/>
        </w:rPr>
        <w:t>9</w:t>
      </w:r>
      <w:r>
        <w:rPr>
          <w:rFonts w:hint="eastAsia" w:asciiTheme="majorEastAsia" w:hAnsiTheme="majorEastAsia" w:eastAsiaTheme="majorEastAsia"/>
          <w:b/>
          <w:sz w:val="32"/>
          <w:szCs w:val="32"/>
        </w:rPr>
        <w:t>、事业单位经营支出：</w:t>
      </w:r>
      <w:r>
        <w:rPr>
          <w:rFonts w:hint="eastAsia" w:asciiTheme="majorEastAsia" w:hAnsiTheme="majorEastAsia" w:eastAsiaTheme="majorEastAsia"/>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九、其他需要说明的事项</w:t>
      </w:r>
    </w:p>
    <w:p>
      <w:pPr>
        <w:ind w:firstLine="800" w:firstLineChars="250"/>
        <w:rPr>
          <w:rFonts w:asciiTheme="majorEastAsia" w:hAnsiTheme="majorEastAsia" w:eastAsiaTheme="majorEastAsia"/>
          <w:sz w:val="32"/>
          <w:szCs w:val="32"/>
        </w:rPr>
      </w:pPr>
      <w:r>
        <w:rPr>
          <w:rFonts w:hint="eastAsia" w:asciiTheme="majorEastAsia" w:hAnsiTheme="majorEastAsia" w:eastAsiaTheme="majorEastAsia"/>
          <w:sz w:val="32"/>
          <w:szCs w:val="32"/>
        </w:rPr>
        <w:t>我部门无其他需要说明的事项。</w:t>
      </w:r>
    </w:p>
    <w:sectPr>
      <w:headerReference r:id="rId3" w:type="default"/>
      <w:footerReference r:id="rId4"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25</w:t>
    </w:r>
    <w:r>
      <w:rPr>
        <w:lang w:val="zh-CN"/>
      </w:rPr>
      <w:fldChar w:fldCharType="end"/>
    </w:r>
    <w: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10C10"/>
    <w:multiLevelType w:val="multilevel"/>
    <w:tmpl w:val="2BA10C10"/>
    <w:lvl w:ilvl="0" w:tentative="0">
      <w:start w:val="4"/>
      <w:numFmt w:val="decimal"/>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ABD1509"/>
    <w:multiLevelType w:val="singleLevel"/>
    <w:tmpl w:val="5ABD1509"/>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F66032"/>
    <w:rsid w:val="00002CFD"/>
    <w:rsid w:val="000053CC"/>
    <w:rsid w:val="0000636E"/>
    <w:rsid w:val="00037AF6"/>
    <w:rsid w:val="0004565F"/>
    <w:rsid w:val="00072187"/>
    <w:rsid w:val="00072412"/>
    <w:rsid w:val="00075D5F"/>
    <w:rsid w:val="000A7850"/>
    <w:rsid w:val="000B529B"/>
    <w:rsid w:val="000C24E6"/>
    <w:rsid w:val="000C3A19"/>
    <w:rsid w:val="000D5C0F"/>
    <w:rsid w:val="000E719C"/>
    <w:rsid w:val="001245BB"/>
    <w:rsid w:val="001251A3"/>
    <w:rsid w:val="001643E8"/>
    <w:rsid w:val="001919C4"/>
    <w:rsid w:val="0019723B"/>
    <w:rsid w:val="001E0757"/>
    <w:rsid w:val="001E1CEE"/>
    <w:rsid w:val="001E6DDC"/>
    <w:rsid w:val="001F7873"/>
    <w:rsid w:val="00241FD4"/>
    <w:rsid w:val="00247EED"/>
    <w:rsid w:val="00251B12"/>
    <w:rsid w:val="00265318"/>
    <w:rsid w:val="0027011F"/>
    <w:rsid w:val="002835D7"/>
    <w:rsid w:val="00290FD6"/>
    <w:rsid w:val="00296113"/>
    <w:rsid w:val="002A673A"/>
    <w:rsid w:val="002C1737"/>
    <w:rsid w:val="002C465F"/>
    <w:rsid w:val="002C5E13"/>
    <w:rsid w:val="002C62BC"/>
    <w:rsid w:val="002C63FE"/>
    <w:rsid w:val="002E0EB8"/>
    <w:rsid w:val="002F3E58"/>
    <w:rsid w:val="0030542C"/>
    <w:rsid w:val="00311B7A"/>
    <w:rsid w:val="00313D9C"/>
    <w:rsid w:val="00407AA1"/>
    <w:rsid w:val="00424943"/>
    <w:rsid w:val="0042727E"/>
    <w:rsid w:val="0043175C"/>
    <w:rsid w:val="00437296"/>
    <w:rsid w:val="00451590"/>
    <w:rsid w:val="00451871"/>
    <w:rsid w:val="004706DE"/>
    <w:rsid w:val="00472923"/>
    <w:rsid w:val="00486DCD"/>
    <w:rsid w:val="0048783F"/>
    <w:rsid w:val="004B0C3A"/>
    <w:rsid w:val="004C49A8"/>
    <w:rsid w:val="004D5788"/>
    <w:rsid w:val="004E3066"/>
    <w:rsid w:val="004E419C"/>
    <w:rsid w:val="004E74CD"/>
    <w:rsid w:val="004F6729"/>
    <w:rsid w:val="00524EFD"/>
    <w:rsid w:val="00552597"/>
    <w:rsid w:val="00572067"/>
    <w:rsid w:val="00573562"/>
    <w:rsid w:val="00584CF8"/>
    <w:rsid w:val="00590ECE"/>
    <w:rsid w:val="005F5714"/>
    <w:rsid w:val="00600A07"/>
    <w:rsid w:val="00611D03"/>
    <w:rsid w:val="00614A29"/>
    <w:rsid w:val="00636BDF"/>
    <w:rsid w:val="00643882"/>
    <w:rsid w:val="00673214"/>
    <w:rsid w:val="00673D76"/>
    <w:rsid w:val="006854F0"/>
    <w:rsid w:val="006920B9"/>
    <w:rsid w:val="006B1C4A"/>
    <w:rsid w:val="006B610D"/>
    <w:rsid w:val="006E49F5"/>
    <w:rsid w:val="007013C8"/>
    <w:rsid w:val="00753836"/>
    <w:rsid w:val="0075393C"/>
    <w:rsid w:val="00754592"/>
    <w:rsid w:val="00776C08"/>
    <w:rsid w:val="007910F0"/>
    <w:rsid w:val="007A31EF"/>
    <w:rsid w:val="007C219A"/>
    <w:rsid w:val="007E1DA8"/>
    <w:rsid w:val="007F6C26"/>
    <w:rsid w:val="00813208"/>
    <w:rsid w:val="00817533"/>
    <w:rsid w:val="008334AE"/>
    <w:rsid w:val="00836FED"/>
    <w:rsid w:val="0083724E"/>
    <w:rsid w:val="00841D53"/>
    <w:rsid w:val="00845CD2"/>
    <w:rsid w:val="00852B0D"/>
    <w:rsid w:val="00864B7F"/>
    <w:rsid w:val="00867445"/>
    <w:rsid w:val="00870D6B"/>
    <w:rsid w:val="00881692"/>
    <w:rsid w:val="008A6576"/>
    <w:rsid w:val="008B3CC5"/>
    <w:rsid w:val="008B52CD"/>
    <w:rsid w:val="008C7C4D"/>
    <w:rsid w:val="008E4261"/>
    <w:rsid w:val="008E70D4"/>
    <w:rsid w:val="008E7630"/>
    <w:rsid w:val="008F29FA"/>
    <w:rsid w:val="008F4662"/>
    <w:rsid w:val="00905D08"/>
    <w:rsid w:val="00925753"/>
    <w:rsid w:val="009425F4"/>
    <w:rsid w:val="00943BD8"/>
    <w:rsid w:val="00954B2C"/>
    <w:rsid w:val="00966C5C"/>
    <w:rsid w:val="00973104"/>
    <w:rsid w:val="00995BF0"/>
    <w:rsid w:val="009A16D5"/>
    <w:rsid w:val="009A353D"/>
    <w:rsid w:val="009B0B77"/>
    <w:rsid w:val="009B511E"/>
    <w:rsid w:val="009D37D3"/>
    <w:rsid w:val="00A16E6C"/>
    <w:rsid w:val="00A40F60"/>
    <w:rsid w:val="00A44E3D"/>
    <w:rsid w:val="00A455B8"/>
    <w:rsid w:val="00A72D2E"/>
    <w:rsid w:val="00A74447"/>
    <w:rsid w:val="00A74CE5"/>
    <w:rsid w:val="00A77500"/>
    <w:rsid w:val="00A911E7"/>
    <w:rsid w:val="00A939D9"/>
    <w:rsid w:val="00AC6620"/>
    <w:rsid w:val="00AD5259"/>
    <w:rsid w:val="00B01D36"/>
    <w:rsid w:val="00B078CD"/>
    <w:rsid w:val="00B20712"/>
    <w:rsid w:val="00B3715A"/>
    <w:rsid w:val="00B43238"/>
    <w:rsid w:val="00B45DD3"/>
    <w:rsid w:val="00B67C2D"/>
    <w:rsid w:val="00B73582"/>
    <w:rsid w:val="00B75216"/>
    <w:rsid w:val="00B755A2"/>
    <w:rsid w:val="00B9104C"/>
    <w:rsid w:val="00B91D52"/>
    <w:rsid w:val="00B9490F"/>
    <w:rsid w:val="00BA1ACD"/>
    <w:rsid w:val="00BD09F8"/>
    <w:rsid w:val="00BE240E"/>
    <w:rsid w:val="00C005B2"/>
    <w:rsid w:val="00C04A29"/>
    <w:rsid w:val="00C277AB"/>
    <w:rsid w:val="00C4486E"/>
    <w:rsid w:val="00CA7176"/>
    <w:rsid w:val="00CC075E"/>
    <w:rsid w:val="00CC75B0"/>
    <w:rsid w:val="00CD2773"/>
    <w:rsid w:val="00CE01BA"/>
    <w:rsid w:val="00CE143B"/>
    <w:rsid w:val="00D07DBA"/>
    <w:rsid w:val="00D11DF5"/>
    <w:rsid w:val="00D23B49"/>
    <w:rsid w:val="00D27003"/>
    <w:rsid w:val="00D9307A"/>
    <w:rsid w:val="00E167C7"/>
    <w:rsid w:val="00E426E7"/>
    <w:rsid w:val="00E55B78"/>
    <w:rsid w:val="00E76361"/>
    <w:rsid w:val="00EC47F6"/>
    <w:rsid w:val="00ED1984"/>
    <w:rsid w:val="00EF08C9"/>
    <w:rsid w:val="00EF188F"/>
    <w:rsid w:val="00EF535E"/>
    <w:rsid w:val="00F00165"/>
    <w:rsid w:val="00F14A62"/>
    <w:rsid w:val="00F26EB5"/>
    <w:rsid w:val="00F41371"/>
    <w:rsid w:val="00F471F7"/>
    <w:rsid w:val="00F66032"/>
    <w:rsid w:val="00F7173A"/>
    <w:rsid w:val="00F83B96"/>
    <w:rsid w:val="00F8441D"/>
    <w:rsid w:val="00F87C1E"/>
    <w:rsid w:val="00F958C2"/>
    <w:rsid w:val="00FA740E"/>
    <w:rsid w:val="00FC06C7"/>
    <w:rsid w:val="00FD2A4D"/>
    <w:rsid w:val="00FD5DB4"/>
    <w:rsid w:val="00FE1724"/>
    <w:rsid w:val="04BC0F8F"/>
    <w:rsid w:val="0A2023C6"/>
    <w:rsid w:val="0B331B7E"/>
    <w:rsid w:val="0C044491"/>
    <w:rsid w:val="0DB32BBD"/>
    <w:rsid w:val="0FB56335"/>
    <w:rsid w:val="11C37B1A"/>
    <w:rsid w:val="13DB36DD"/>
    <w:rsid w:val="18ED09BC"/>
    <w:rsid w:val="1CE13873"/>
    <w:rsid w:val="1F220D50"/>
    <w:rsid w:val="1FC1447C"/>
    <w:rsid w:val="21613782"/>
    <w:rsid w:val="22DF7B19"/>
    <w:rsid w:val="307927F9"/>
    <w:rsid w:val="31907403"/>
    <w:rsid w:val="31E15395"/>
    <w:rsid w:val="33E1154D"/>
    <w:rsid w:val="3473676B"/>
    <w:rsid w:val="38781EB8"/>
    <w:rsid w:val="405109A3"/>
    <w:rsid w:val="43274E58"/>
    <w:rsid w:val="45FE5EEA"/>
    <w:rsid w:val="4A657D63"/>
    <w:rsid w:val="53071741"/>
    <w:rsid w:val="56733828"/>
    <w:rsid w:val="57814894"/>
    <w:rsid w:val="5D5A3361"/>
    <w:rsid w:val="60315DEE"/>
    <w:rsid w:val="60466121"/>
    <w:rsid w:val="62AC6848"/>
    <w:rsid w:val="63756E47"/>
    <w:rsid w:val="64FF07E7"/>
    <w:rsid w:val="66047C9F"/>
    <w:rsid w:val="69C822D4"/>
    <w:rsid w:val="6FA90EE9"/>
    <w:rsid w:val="71051481"/>
    <w:rsid w:val="7E242906"/>
    <w:rsid w:val="7FD70BB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6"/>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Hyperlink"/>
    <w:basedOn w:val="10"/>
    <w:unhideWhenUsed/>
    <w:qFormat/>
    <w:uiPriority w:val="99"/>
    <w:rPr>
      <w:color w:val="0000FF"/>
      <w:u w:val="single"/>
    </w:rPr>
  </w:style>
  <w:style w:type="character" w:styleId="12">
    <w:name w:val="footnote reference"/>
    <w:basedOn w:val="10"/>
    <w:qFormat/>
    <w:uiPriority w:val="99"/>
    <w:rPr>
      <w:rFonts w:cs="Times New Roman"/>
      <w:vertAlign w:val="superscript"/>
    </w:rPr>
  </w:style>
  <w:style w:type="character" w:customStyle="1" w:styleId="13">
    <w:name w:val="批注框文本 Char"/>
    <w:basedOn w:val="10"/>
    <w:link w:val="2"/>
    <w:semiHidden/>
    <w:qFormat/>
    <w:locked/>
    <w:uiPriority w:val="99"/>
    <w:rPr>
      <w:rFonts w:cs="Times New Roman"/>
      <w:sz w:val="18"/>
      <w:szCs w:val="18"/>
    </w:rPr>
  </w:style>
  <w:style w:type="character" w:customStyle="1" w:styleId="14">
    <w:name w:val="页脚 Char"/>
    <w:basedOn w:val="10"/>
    <w:link w:val="3"/>
    <w:qFormat/>
    <w:locked/>
    <w:uiPriority w:val="99"/>
    <w:rPr>
      <w:rFonts w:ascii="Times New Roman" w:hAnsi="Times New Roman" w:eastAsia="宋体" w:cs="Times New Roman"/>
      <w:sz w:val="18"/>
      <w:szCs w:val="18"/>
    </w:rPr>
  </w:style>
  <w:style w:type="character" w:customStyle="1" w:styleId="15">
    <w:name w:val="页眉 Char"/>
    <w:basedOn w:val="10"/>
    <w:link w:val="4"/>
    <w:qFormat/>
    <w:locked/>
    <w:uiPriority w:val="99"/>
    <w:rPr>
      <w:rFonts w:ascii="Times New Roman" w:hAnsi="Times New Roman" w:eastAsia="宋体" w:cs="Times New Roman"/>
      <w:sz w:val="18"/>
      <w:szCs w:val="18"/>
    </w:rPr>
  </w:style>
  <w:style w:type="character" w:customStyle="1" w:styleId="16">
    <w:name w:val="脚注文本 Char"/>
    <w:basedOn w:val="10"/>
    <w:link w:val="6"/>
    <w:semiHidden/>
    <w:qFormat/>
    <w:locked/>
    <w:uiPriority w:val="99"/>
    <w:rPr>
      <w:rFonts w:ascii="Calibri" w:hAnsi="Calibri" w:eastAsia="宋体" w:cs="Times New Roman"/>
      <w:sz w:val="18"/>
      <w:szCs w:val="18"/>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11413</Words>
  <Characters>11811</Characters>
  <Lines>91</Lines>
  <Paragraphs>25</Paragraphs>
  <TotalTime>2</TotalTime>
  <ScaleCrop>false</ScaleCrop>
  <LinksUpToDate>false</LinksUpToDate>
  <CharactersWithSpaces>11964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2024-05-24T08:48:32Z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52A7BE18A6CC45889C55942BBD9548A5</vt:lpwstr>
  </property>
</Properties>
</file>