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一、馆陶县美丽乡村发展服务中心本级收支预算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一、馆陶县美丽乡村发展服务中心本级收支预算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90.00</w:t>
            </w:r>
          </w:p>
        </w:tc>
        <w:tc>
          <w:tcPr>
            <w:tcW w:w="4535" w:type="dxa"/>
            <w:vAlign w:val="center"/>
          </w:tcPr>
          <w:p>
            <w:pPr>
              <w:pStyle w:val="12"/>
            </w:pPr>
            <w:r>
              <w:t>一、一般公共服务支出</w:t>
            </w:r>
          </w:p>
        </w:tc>
        <w:tc>
          <w:tcPr>
            <w:tcW w:w="2126"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256.50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346.50</w:t>
            </w:r>
          </w:p>
        </w:tc>
        <w:tc>
          <w:tcPr>
            <w:tcW w:w="4535" w:type="dxa"/>
            <w:vAlign w:val="center"/>
          </w:tcPr>
          <w:p>
            <w:pPr>
              <w:pStyle w:val="14"/>
            </w:pPr>
            <w:r>
              <w:t>本年支出合计</w:t>
            </w:r>
          </w:p>
        </w:tc>
        <w:tc>
          <w:tcPr>
            <w:tcW w:w="2126" w:type="dxa"/>
            <w:vAlign w:val="center"/>
          </w:tcPr>
          <w:p>
            <w:pPr>
              <w:pStyle w:val="15"/>
            </w:pPr>
            <w:r>
              <w:t>346.50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346.50</w:t>
            </w:r>
          </w:p>
        </w:tc>
        <w:tc>
          <w:tcPr>
            <w:tcW w:w="4535" w:type="dxa"/>
            <w:vAlign w:val="center"/>
          </w:tcPr>
          <w:p>
            <w:pPr>
              <w:pStyle w:val="14"/>
            </w:pPr>
            <w:r>
              <w:t>支出总计</w:t>
            </w:r>
          </w:p>
        </w:tc>
        <w:tc>
          <w:tcPr>
            <w:tcW w:w="2126" w:type="dxa"/>
            <w:vAlign w:val="center"/>
          </w:tcPr>
          <w:p>
            <w:pPr>
              <w:pStyle w:val="15"/>
            </w:pPr>
            <w:r>
              <w:t>346.50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346.50</w:t>
            </w:r>
          </w:p>
        </w:tc>
        <w:tc>
          <w:tcPr>
            <w:tcW w:w="1134" w:type="dxa"/>
            <w:vAlign w:val="center"/>
          </w:tcPr>
          <w:p>
            <w:pPr>
              <w:pStyle w:val="15"/>
            </w:pPr>
            <w:r>
              <w:t>346.50</w:t>
            </w:r>
          </w:p>
        </w:tc>
        <w:tc>
          <w:tcPr>
            <w:tcW w:w="1134" w:type="dxa"/>
            <w:vAlign w:val="center"/>
          </w:tcPr>
          <w:p>
            <w:pPr>
              <w:pStyle w:val="15"/>
            </w:pPr>
            <w:r>
              <w:t>346.50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72.00</w:t>
            </w:r>
          </w:p>
        </w:tc>
        <w:tc>
          <w:tcPr>
            <w:tcW w:w="1134" w:type="dxa"/>
            <w:vAlign w:val="center"/>
          </w:tcPr>
          <w:p>
            <w:pPr>
              <w:pStyle w:val="11"/>
            </w:pPr>
            <w:r>
              <w:t>72.00</w:t>
            </w:r>
          </w:p>
        </w:tc>
        <w:tc>
          <w:tcPr>
            <w:tcW w:w="1134" w:type="dxa"/>
            <w:vAlign w:val="center"/>
          </w:tcPr>
          <w:p>
            <w:pPr>
              <w:pStyle w:val="11"/>
            </w:pPr>
            <w:r>
              <w:t>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256.50</w:t>
            </w:r>
          </w:p>
        </w:tc>
        <w:tc>
          <w:tcPr>
            <w:tcW w:w="1134" w:type="dxa"/>
            <w:vAlign w:val="center"/>
          </w:tcPr>
          <w:p>
            <w:pPr>
              <w:pStyle w:val="11"/>
            </w:pPr>
            <w:r>
              <w:t>256.50</w:t>
            </w:r>
          </w:p>
        </w:tc>
        <w:tc>
          <w:tcPr>
            <w:tcW w:w="1134" w:type="dxa"/>
            <w:vAlign w:val="center"/>
          </w:tcPr>
          <w:p>
            <w:pPr>
              <w:pStyle w:val="11"/>
            </w:pPr>
            <w:r>
              <w:t>256.50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256.50</w:t>
            </w:r>
          </w:p>
        </w:tc>
        <w:tc>
          <w:tcPr>
            <w:tcW w:w="1134" w:type="dxa"/>
            <w:vAlign w:val="center"/>
          </w:tcPr>
          <w:p>
            <w:pPr>
              <w:pStyle w:val="11"/>
            </w:pPr>
            <w:r>
              <w:t>256.50</w:t>
            </w:r>
          </w:p>
        </w:tc>
        <w:tc>
          <w:tcPr>
            <w:tcW w:w="1134" w:type="dxa"/>
            <w:vAlign w:val="center"/>
          </w:tcPr>
          <w:p>
            <w:pPr>
              <w:pStyle w:val="11"/>
            </w:pPr>
            <w:r>
              <w:t>256.50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56.50</w:t>
            </w:r>
          </w:p>
        </w:tc>
        <w:tc>
          <w:tcPr>
            <w:tcW w:w="1134" w:type="dxa"/>
            <w:vAlign w:val="center"/>
          </w:tcPr>
          <w:p>
            <w:pPr>
              <w:pStyle w:val="11"/>
            </w:pPr>
            <w:r>
              <w:t>56.50</w:t>
            </w:r>
          </w:p>
        </w:tc>
        <w:tc>
          <w:tcPr>
            <w:tcW w:w="1134" w:type="dxa"/>
            <w:vAlign w:val="center"/>
          </w:tcPr>
          <w:p>
            <w:pPr>
              <w:pStyle w:val="11"/>
            </w:pPr>
            <w:r>
              <w:t>56.50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346.50</w:t>
            </w:r>
          </w:p>
        </w:tc>
        <w:tc>
          <w:tcPr>
            <w:tcW w:w="1361" w:type="dxa"/>
            <w:vAlign w:val="center"/>
          </w:tcPr>
          <w:p>
            <w:pPr>
              <w:pStyle w:val="15"/>
            </w:pPr>
            <w:r>
              <w:t>18.00</w:t>
            </w:r>
          </w:p>
        </w:tc>
        <w:tc>
          <w:tcPr>
            <w:tcW w:w="1361" w:type="dxa"/>
            <w:vAlign w:val="center"/>
          </w:tcPr>
          <w:p>
            <w:pPr>
              <w:pStyle w:val="15"/>
            </w:pPr>
            <w:r>
              <w:t>328.50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90.00</w:t>
            </w:r>
          </w:p>
        </w:tc>
        <w:tc>
          <w:tcPr>
            <w:tcW w:w="1361" w:type="dxa"/>
            <w:vAlign w:val="center"/>
          </w:tcPr>
          <w:p>
            <w:pPr>
              <w:pStyle w:val="11"/>
            </w:pPr>
            <w:r>
              <w:t>18.00</w:t>
            </w:r>
          </w:p>
        </w:tc>
        <w:tc>
          <w:tcPr>
            <w:tcW w:w="1361" w:type="dxa"/>
            <w:vAlign w:val="center"/>
          </w:tcPr>
          <w:p>
            <w:pPr>
              <w:pStyle w:val="11"/>
            </w:pPr>
            <w:r>
              <w:t>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90.00</w:t>
            </w:r>
          </w:p>
        </w:tc>
        <w:tc>
          <w:tcPr>
            <w:tcW w:w="1361" w:type="dxa"/>
            <w:vAlign w:val="center"/>
          </w:tcPr>
          <w:p>
            <w:pPr>
              <w:pStyle w:val="11"/>
            </w:pPr>
            <w:r>
              <w:t>18.00</w:t>
            </w:r>
          </w:p>
        </w:tc>
        <w:tc>
          <w:tcPr>
            <w:tcW w:w="1361" w:type="dxa"/>
            <w:vAlign w:val="center"/>
          </w:tcPr>
          <w:p>
            <w:pPr>
              <w:pStyle w:val="11"/>
            </w:pPr>
            <w:r>
              <w:t>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18.00</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72.00</w:t>
            </w:r>
          </w:p>
        </w:tc>
        <w:tc>
          <w:tcPr>
            <w:tcW w:w="1361" w:type="dxa"/>
            <w:vAlign w:val="center"/>
          </w:tcPr>
          <w:p>
            <w:pPr>
              <w:pStyle w:val="11"/>
            </w:pPr>
          </w:p>
        </w:tc>
        <w:tc>
          <w:tcPr>
            <w:tcW w:w="1361" w:type="dxa"/>
            <w:vAlign w:val="center"/>
          </w:tcPr>
          <w:p>
            <w:pPr>
              <w:pStyle w:val="11"/>
            </w:pPr>
            <w:r>
              <w:t>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256.50</w:t>
            </w:r>
          </w:p>
        </w:tc>
        <w:tc>
          <w:tcPr>
            <w:tcW w:w="1361" w:type="dxa"/>
            <w:vAlign w:val="center"/>
          </w:tcPr>
          <w:p>
            <w:pPr>
              <w:pStyle w:val="11"/>
            </w:pPr>
          </w:p>
        </w:tc>
        <w:tc>
          <w:tcPr>
            <w:tcW w:w="1361" w:type="dxa"/>
            <w:vAlign w:val="center"/>
          </w:tcPr>
          <w:p>
            <w:pPr>
              <w:pStyle w:val="11"/>
            </w:pPr>
            <w:r>
              <w:t>256.50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256.50</w:t>
            </w:r>
          </w:p>
        </w:tc>
        <w:tc>
          <w:tcPr>
            <w:tcW w:w="1361" w:type="dxa"/>
            <w:vAlign w:val="center"/>
          </w:tcPr>
          <w:p>
            <w:pPr>
              <w:pStyle w:val="11"/>
            </w:pPr>
          </w:p>
        </w:tc>
        <w:tc>
          <w:tcPr>
            <w:tcW w:w="1361" w:type="dxa"/>
            <w:vAlign w:val="center"/>
          </w:tcPr>
          <w:p>
            <w:pPr>
              <w:pStyle w:val="11"/>
            </w:pPr>
            <w:r>
              <w:t>256.50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56.50</w:t>
            </w:r>
          </w:p>
        </w:tc>
        <w:tc>
          <w:tcPr>
            <w:tcW w:w="1361" w:type="dxa"/>
            <w:vAlign w:val="center"/>
          </w:tcPr>
          <w:p>
            <w:pPr>
              <w:pStyle w:val="11"/>
            </w:pPr>
          </w:p>
        </w:tc>
        <w:tc>
          <w:tcPr>
            <w:tcW w:w="1361" w:type="dxa"/>
            <w:vAlign w:val="center"/>
          </w:tcPr>
          <w:p>
            <w:pPr>
              <w:pStyle w:val="11"/>
            </w:pPr>
            <w:r>
              <w:t>56.50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90.00</w:t>
            </w:r>
          </w:p>
        </w:tc>
        <w:tc>
          <w:tcPr>
            <w:tcW w:w="3402" w:type="dxa"/>
            <w:vAlign w:val="center"/>
          </w:tcPr>
          <w:p>
            <w:pPr>
              <w:pStyle w:val="12"/>
            </w:pPr>
            <w:r>
              <w:t>一、一般公共服务支出</w:t>
            </w:r>
          </w:p>
        </w:tc>
        <w:tc>
          <w:tcPr>
            <w:tcW w:w="1474" w:type="dxa"/>
            <w:vAlign w:val="center"/>
          </w:tcPr>
          <w:p>
            <w:pPr>
              <w:pStyle w:val="11"/>
            </w:pPr>
            <w:r>
              <w:t>90.00</w:t>
            </w:r>
          </w:p>
        </w:tc>
        <w:tc>
          <w:tcPr>
            <w:tcW w:w="1474" w:type="dxa"/>
            <w:vAlign w:val="center"/>
          </w:tcPr>
          <w:p>
            <w:pPr>
              <w:pStyle w:val="11"/>
            </w:pPr>
            <w:r>
              <w:t>90.00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256.50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256.50</w:t>
            </w:r>
          </w:p>
        </w:tc>
        <w:tc>
          <w:tcPr>
            <w:tcW w:w="1474" w:type="dxa"/>
            <w:vAlign w:val="center"/>
          </w:tcPr>
          <w:p>
            <w:pPr>
              <w:pStyle w:val="11"/>
            </w:pPr>
          </w:p>
        </w:tc>
        <w:tc>
          <w:tcPr>
            <w:tcW w:w="1474" w:type="dxa"/>
            <w:vAlign w:val="center"/>
          </w:tcPr>
          <w:p>
            <w:pPr>
              <w:pStyle w:val="11"/>
            </w:pPr>
            <w:r>
              <w:t>256.50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346.50</w:t>
            </w:r>
          </w:p>
        </w:tc>
        <w:tc>
          <w:tcPr>
            <w:tcW w:w="3402" w:type="dxa"/>
            <w:vAlign w:val="center"/>
          </w:tcPr>
          <w:p>
            <w:pPr>
              <w:pStyle w:val="14"/>
            </w:pPr>
            <w:r>
              <w:t>本年支出合计</w:t>
            </w:r>
          </w:p>
        </w:tc>
        <w:tc>
          <w:tcPr>
            <w:tcW w:w="1474" w:type="dxa"/>
            <w:vAlign w:val="center"/>
          </w:tcPr>
          <w:p>
            <w:pPr>
              <w:pStyle w:val="15"/>
            </w:pPr>
            <w:r>
              <w:t>346.50</w:t>
            </w:r>
          </w:p>
        </w:tc>
        <w:tc>
          <w:tcPr>
            <w:tcW w:w="1474" w:type="dxa"/>
            <w:vAlign w:val="center"/>
          </w:tcPr>
          <w:p>
            <w:pPr>
              <w:pStyle w:val="15"/>
            </w:pPr>
            <w:r>
              <w:t>90.00</w:t>
            </w:r>
          </w:p>
        </w:tc>
        <w:tc>
          <w:tcPr>
            <w:tcW w:w="1474" w:type="dxa"/>
            <w:vAlign w:val="center"/>
          </w:tcPr>
          <w:p>
            <w:pPr>
              <w:pStyle w:val="15"/>
            </w:pPr>
            <w:r>
              <w:t>256.50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346.50</w:t>
            </w:r>
          </w:p>
        </w:tc>
        <w:tc>
          <w:tcPr>
            <w:tcW w:w="3402" w:type="dxa"/>
            <w:vAlign w:val="center"/>
          </w:tcPr>
          <w:p>
            <w:pPr>
              <w:pStyle w:val="14"/>
            </w:pPr>
            <w:r>
              <w:t>支出总计</w:t>
            </w:r>
          </w:p>
        </w:tc>
        <w:tc>
          <w:tcPr>
            <w:tcW w:w="1474" w:type="dxa"/>
            <w:vAlign w:val="center"/>
          </w:tcPr>
          <w:p>
            <w:pPr>
              <w:pStyle w:val="15"/>
            </w:pPr>
            <w:r>
              <w:t>346.50</w:t>
            </w:r>
          </w:p>
        </w:tc>
        <w:tc>
          <w:tcPr>
            <w:tcW w:w="1474" w:type="dxa"/>
            <w:vAlign w:val="center"/>
          </w:tcPr>
          <w:p>
            <w:pPr>
              <w:pStyle w:val="15"/>
            </w:pPr>
            <w:r>
              <w:t>90.00</w:t>
            </w:r>
          </w:p>
        </w:tc>
        <w:tc>
          <w:tcPr>
            <w:tcW w:w="1474" w:type="dxa"/>
            <w:vAlign w:val="center"/>
          </w:tcPr>
          <w:p>
            <w:pPr>
              <w:pStyle w:val="15"/>
            </w:pPr>
            <w:r>
              <w:t>256.50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90.00</w:t>
            </w:r>
          </w:p>
        </w:tc>
        <w:tc>
          <w:tcPr>
            <w:tcW w:w="2551" w:type="dxa"/>
            <w:vAlign w:val="center"/>
          </w:tcPr>
          <w:p>
            <w:pPr>
              <w:pStyle w:val="15"/>
            </w:pPr>
            <w:r>
              <w:t>18.00</w:t>
            </w:r>
          </w:p>
        </w:tc>
        <w:tc>
          <w:tcPr>
            <w:tcW w:w="2551" w:type="dxa"/>
            <w:vAlign w:val="center"/>
          </w:tcPr>
          <w:p>
            <w:pPr>
              <w:pStyle w:val="15"/>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90.00</w:t>
            </w:r>
          </w:p>
        </w:tc>
        <w:tc>
          <w:tcPr>
            <w:tcW w:w="2551" w:type="dxa"/>
            <w:vAlign w:val="center"/>
          </w:tcPr>
          <w:p>
            <w:pPr>
              <w:pStyle w:val="11"/>
            </w:pPr>
            <w:r>
              <w:t>18.00</w:t>
            </w:r>
          </w:p>
        </w:tc>
        <w:tc>
          <w:tcPr>
            <w:tcW w:w="2551" w:type="dxa"/>
            <w:vAlign w:val="center"/>
          </w:tcPr>
          <w:p>
            <w:pPr>
              <w:pStyle w:val="11"/>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90.00</w:t>
            </w:r>
          </w:p>
        </w:tc>
        <w:tc>
          <w:tcPr>
            <w:tcW w:w="2551" w:type="dxa"/>
            <w:vAlign w:val="center"/>
          </w:tcPr>
          <w:p>
            <w:pPr>
              <w:pStyle w:val="11"/>
            </w:pPr>
            <w:r>
              <w:t>18.00</w:t>
            </w:r>
          </w:p>
        </w:tc>
        <w:tc>
          <w:tcPr>
            <w:tcW w:w="2551" w:type="dxa"/>
            <w:vAlign w:val="center"/>
          </w:tcPr>
          <w:p>
            <w:pPr>
              <w:pStyle w:val="11"/>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18.00</w:t>
            </w:r>
          </w:p>
        </w:tc>
        <w:tc>
          <w:tcPr>
            <w:tcW w:w="2551" w:type="dxa"/>
            <w:vAlign w:val="center"/>
          </w:tcPr>
          <w:p>
            <w:pPr>
              <w:pStyle w:val="11"/>
            </w:pPr>
            <w:r>
              <w:t>18.00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72.00</w:t>
            </w:r>
          </w:p>
        </w:tc>
        <w:tc>
          <w:tcPr>
            <w:tcW w:w="2551" w:type="dxa"/>
            <w:vAlign w:val="center"/>
          </w:tcPr>
          <w:p>
            <w:pPr>
              <w:pStyle w:val="11"/>
            </w:pPr>
          </w:p>
        </w:tc>
        <w:tc>
          <w:tcPr>
            <w:tcW w:w="2551" w:type="dxa"/>
            <w:vAlign w:val="center"/>
          </w:tcPr>
          <w:p>
            <w:pPr>
              <w:pStyle w:val="11"/>
            </w:pPr>
            <w:r>
              <w:t>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18.00</w:t>
            </w:r>
          </w:p>
        </w:tc>
        <w:tc>
          <w:tcPr>
            <w:tcW w:w="2551" w:type="dxa"/>
            <w:vAlign w:val="center"/>
          </w:tcPr>
          <w:p>
            <w:pPr>
              <w:pStyle w:val="15"/>
            </w:pPr>
          </w:p>
        </w:tc>
        <w:tc>
          <w:tcPr>
            <w:tcW w:w="2551"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17.20</w:t>
            </w:r>
          </w:p>
        </w:tc>
        <w:tc>
          <w:tcPr>
            <w:tcW w:w="2551" w:type="dxa"/>
            <w:vAlign w:val="center"/>
          </w:tcPr>
          <w:p>
            <w:pPr>
              <w:pStyle w:val="11"/>
            </w:pPr>
          </w:p>
        </w:tc>
        <w:tc>
          <w:tcPr>
            <w:tcW w:w="2551" w:type="dxa"/>
            <w:vAlign w:val="center"/>
          </w:tcPr>
          <w:p>
            <w:pPr>
              <w:pStyle w:val="11"/>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8.57</w:t>
            </w:r>
          </w:p>
        </w:tc>
        <w:tc>
          <w:tcPr>
            <w:tcW w:w="2551" w:type="dxa"/>
            <w:vAlign w:val="center"/>
          </w:tcPr>
          <w:p>
            <w:pPr>
              <w:pStyle w:val="11"/>
            </w:pPr>
          </w:p>
        </w:tc>
        <w:tc>
          <w:tcPr>
            <w:tcW w:w="2551" w:type="dxa"/>
            <w:vAlign w:val="center"/>
          </w:tcPr>
          <w:p>
            <w:pPr>
              <w:pStyle w:val="11"/>
            </w:pPr>
            <w:r>
              <w:t>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4.83</w:t>
            </w:r>
          </w:p>
        </w:tc>
        <w:tc>
          <w:tcPr>
            <w:tcW w:w="2551" w:type="dxa"/>
            <w:vAlign w:val="center"/>
          </w:tcPr>
          <w:p>
            <w:pPr>
              <w:pStyle w:val="11"/>
            </w:pPr>
          </w:p>
        </w:tc>
        <w:tc>
          <w:tcPr>
            <w:tcW w:w="2551" w:type="dxa"/>
            <w:vAlign w:val="center"/>
          </w:tcPr>
          <w:p>
            <w:pPr>
              <w:pStyle w:val="11"/>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256.50</w:t>
            </w:r>
          </w:p>
        </w:tc>
        <w:tc>
          <w:tcPr>
            <w:tcW w:w="2551" w:type="dxa"/>
            <w:vAlign w:val="center"/>
          </w:tcPr>
          <w:p>
            <w:pPr>
              <w:pStyle w:val="15"/>
            </w:pPr>
          </w:p>
        </w:tc>
        <w:tc>
          <w:tcPr>
            <w:tcW w:w="2551" w:type="dxa"/>
            <w:vAlign w:val="center"/>
          </w:tcPr>
          <w:p>
            <w:pPr>
              <w:pStyle w:val="15"/>
            </w:pPr>
            <w:r>
              <w:t>256.50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256.50</w:t>
            </w:r>
          </w:p>
        </w:tc>
        <w:tc>
          <w:tcPr>
            <w:tcW w:w="2551" w:type="dxa"/>
            <w:vAlign w:val="center"/>
          </w:tcPr>
          <w:p>
            <w:pPr>
              <w:pStyle w:val="11"/>
            </w:pPr>
          </w:p>
        </w:tc>
        <w:tc>
          <w:tcPr>
            <w:tcW w:w="2551" w:type="dxa"/>
            <w:vAlign w:val="center"/>
          </w:tcPr>
          <w:p>
            <w:pPr>
              <w:pStyle w:val="11"/>
            </w:pPr>
            <w:r>
              <w:t>256.50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256.50</w:t>
            </w:r>
          </w:p>
        </w:tc>
        <w:tc>
          <w:tcPr>
            <w:tcW w:w="2551" w:type="dxa"/>
            <w:vAlign w:val="center"/>
          </w:tcPr>
          <w:p>
            <w:pPr>
              <w:pStyle w:val="11"/>
            </w:pPr>
          </w:p>
        </w:tc>
        <w:tc>
          <w:tcPr>
            <w:tcW w:w="2551" w:type="dxa"/>
            <w:vAlign w:val="center"/>
          </w:tcPr>
          <w:p>
            <w:pPr>
              <w:pStyle w:val="11"/>
            </w:pPr>
            <w:r>
              <w:t>256.50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56.50</w:t>
            </w:r>
          </w:p>
        </w:tc>
        <w:tc>
          <w:tcPr>
            <w:tcW w:w="2551" w:type="dxa"/>
            <w:vAlign w:val="center"/>
          </w:tcPr>
          <w:p>
            <w:pPr>
              <w:pStyle w:val="11"/>
            </w:pPr>
          </w:p>
        </w:tc>
        <w:tc>
          <w:tcPr>
            <w:tcW w:w="2551" w:type="dxa"/>
            <w:vAlign w:val="center"/>
          </w:tcPr>
          <w:p>
            <w:pPr>
              <w:pStyle w:val="11"/>
            </w:pPr>
            <w:r>
              <w:t>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馆陶县美丽乡村发展服务中心本级2024年单位预算信息公开情况说明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按照《中华人民共和国预算法》、《地方预决算公开操作规程》和《关于进一步推进预算公开工作的实施意见》规定，现将馆陶县美丽乡村发展服务中心本级2024年单位预算公开如下：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p>
    <w:p>
      <w:pPr>
        <w:pStyle w:val="17"/>
      </w:pPr>
      <w:r>
        <w:t>（二）讨论和决定本镇经济建设、政治建设、文化建设</w:t>
      </w:r>
      <w:r>
        <w:rPr>
          <w:rFonts w:hint="eastAsia"/>
          <w:lang w:eastAsia="zh-CN"/>
        </w:rPr>
        <w:t>、</w:t>
      </w:r>
      <w:r>
        <w:t>社会建设、生态文明建设和党的建设以及乡村振兴中的重大问 题。</w:t>
      </w:r>
    </w:p>
    <w:p>
      <w:pPr>
        <w:pStyle w:val="17"/>
      </w:pPr>
      <w:r>
        <w:t xml:space="preserve">（三）组织召开本级人民代表大会，充分行使重大事项决 定权、监督权和任免权，做好人大代表工作，联系选民、反映 群众意见和要求。 </w:t>
      </w:r>
    </w:p>
    <w:p>
      <w:pPr>
        <w:pStyle w:val="17"/>
      </w:pPr>
      <w:r>
        <w:t xml:space="preserve">（四）执行本行政区域内的经济和社会发展计划、预算， 管理本行政区域内的经济、教育、科学、文化、卫生健康、体育事业和财政、统计、民政、司法行政等行政工作。落实本行政区域内发展规划、专项规划、区域规划、国土空间规划。 </w:t>
      </w:r>
    </w:p>
    <w:p>
      <w:pPr>
        <w:pStyle w:val="17"/>
      </w:pPr>
      <w:r>
        <w:t xml:space="preserve">（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 </w:t>
      </w:r>
    </w:p>
    <w:p>
      <w:pPr>
        <w:pStyle w:val="17"/>
      </w:pPr>
      <w:r>
        <w:t xml:space="preserve">（六）加强镇党委自身建设和村党组织建设，以及其他隶属镇党委的党组织建设，抓好发展党员工作，加强党员队伍建设。维护和执行党的纪律，监督党员干部和其他任何工作人员严格遵守国家法律法规。 </w:t>
      </w:r>
    </w:p>
    <w:p>
      <w:pPr>
        <w:pStyle w:val="17"/>
      </w:pPr>
      <w:r>
        <w:t xml:space="preserve">（七）按照干部管理权限，负责对干部的教育、培训、选拔、考核和监督工作。协助管理上级有关部门驻乡镇单位的干部。做好人才服务工作。 </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 xml:space="preserve">（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 </w:t>
      </w:r>
    </w:p>
    <w:p>
      <w:pPr>
        <w:pStyle w:val="17"/>
      </w:pPr>
      <w:r>
        <w:t xml:space="preserve">（十）承办上级党委、人大、政府交办的其他事项。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馆陶县美丽乡村发展服务中心本级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346.50万元，其中：一般公共预算收入90.00万元，基金预算收入256.50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美丽乡村发展服务中心本级年度单位预算中支出预算的总体情况。2024年支出预算346.50万元，其中基本支出18.00万元，包括人员经费0.00万元和日常公用经费18.00万元；项目支出328.50万元，主要为粮画小镇公共水费、小镇节日游活动宣传经费、粮画小镇迎4A景区复核审核、特色景点改造升级资金、粮画小镇维修维护资金、粮画小镇宅基占地补偿资金等项目。</w:t>
      </w:r>
    </w:p>
    <w:p>
      <w:pPr>
        <w:pStyle w:val="18"/>
      </w:pPr>
      <w:r>
        <w:t>3、比上年增减情况</w:t>
      </w:r>
    </w:p>
    <w:p>
      <w:pPr>
        <w:pStyle w:val="18"/>
      </w:pPr>
      <w:r>
        <w:t>2024年预算收支安排346.50万元，较2023年预算减少185.52万元，其中：基本支出减少108.07万元，主要为人员经费减少。项目支出减少77.45万元，主要为 三镜湖占地补偿项目减少。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2024年，我单位机关运行经费共计安排18.00万元，主要用于日常维修、办公用房水电费、办公用房取暖费、办公用房物业管理费等日常运行支出。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w:t>
      </w:r>
      <w:r>
        <w:rPr>
          <w:rFonts w:hint="eastAsia"/>
          <w:lang w:eastAsia="zh-CN"/>
        </w:rPr>
        <w:t>减少</w:t>
      </w:r>
      <w:r>
        <w:rPr>
          <w:rFonts w:hint="eastAsia"/>
          <w:lang w:val="en-US" w:eastAsia="zh-CN"/>
        </w:rPr>
        <w:t>1</w:t>
      </w:r>
      <w:r>
        <w:t>.</w:t>
      </w:r>
      <w:r>
        <w:rPr>
          <w:rFonts w:hint="eastAsia"/>
          <w:lang w:val="en-US" w:eastAsia="zh-CN"/>
        </w:rPr>
        <w:t>9</w:t>
      </w:r>
      <w:r>
        <w:t>0万元，主要原因是公务用车</w:t>
      </w:r>
      <w:r>
        <w:rPr>
          <w:rFonts w:hint="eastAsia"/>
          <w:lang w:eastAsia="zh-CN"/>
        </w:rPr>
        <w:t>运行维护费</w:t>
      </w:r>
      <w:r>
        <w:t>及公务接待减少。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1、粮画小镇党校、电视台、乡研所专项经费绩效目标表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13043324P00771710001K</w:t>
            </w:r>
          </w:p>
        </w:tc>
        <w:tc>
          <w:tcPr>
            <w:tcW w:w="2835" w:type="dxa"/>
            <w:vAlign w:val="center"/>
          </w:tcPr>
          <w:p>
            <w:pPr>
              <w:pStyle w:val="10"/>
            </w:pPr>
            <w:r>
              <w:t>项目名称</w:t>
            </w:r>
          </w:p>
        </w:tc>
        <w:tc>
          <w:tcPr>
            <w:tcW w:w="6094" w:type="dxa"/>
            <w:gridSpan w:val="3"/>
            <w:vAlign w:val="center"/>
          </w:tcPr>
          <w:p>
            <w:pPr>
              <w:pStyle w:val="12"/>
            </w:pPr>
            <w:r>
              <w:t>粮画小镇党校、电视台、乡研所专项经费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保障粮画小镇党校、电视台、乡研所水电工作正常运行。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1.保障粮画小镇党校、电视台、乡研所水电工作正常运行。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经费发放的科室数</w:t>
            </w:r>
          </w:p>
        </w:tc>
        <w:tc>
          <w:tcPr>
            <w:tcW w:w="5386" w:type="dxa"/>
            <w:vAlign w:val="center"/>
          </w:tcPr>
          <w:p>
            <w:pPr>
              <w:pStyle w:val="12"/>
            </w:pPr>
            <w:r>
              <w:t>经费发放的科室总数</w:t>
            </w:r>
          </w:p>
        </w:tc>
        <w:tc>
          <w:tcPr>
            <w:tcW w:w="2268" w:type="dxa"/>
            <w:vAlign w:val="center"/>
          </w:tcPr>
          <w:p>
            <w:pPr>
              <w:pStyle w:val="12"/>
            </w:pPr>
            <w:r>
              <w:t>3个</w:t>
            </w:r>
          </w:p>
        </w:tc>
        <w:tc>
          <w:tcPr>
            <w:tcW w:w="1276" w:type="dxa"/>
            <w:vAlign w:val="center"/>
          </w:tcPr>
          <w:p>
            <w:pPr>
              <w:pStyle w:val="12"/>
            </w:pPr>
            <w:r>
              <w:t>粮画小镇党校、电视台、乡研所专项经费测算表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经费发放覆盖率</w:t>
            </w:r>
          </w:p>
        </w:tc>
        <w:tc>
          <w:tcPr>
            <w:tcW w:w="5386" w:type="dxa"/>
            <w:vAlign w:val="center"/>
          </w:tcPr>
          <w:p>
            <w:pPr>
              <w:pStyle w:val="12"/>
            </w:pPr>
            <w:r>
              <w:t>经费发放科室数占总科室的比例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经费发放在上级规定时间内经费及时发放时间占计划发放时间的比例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发放专项经费金额</w:t>
            </w:r>
          </w:p>
        </w:tc>
        <w:tc>
          <w:tcPr>
            <w:tcW w:w="5386" w:type="dxa"/>
            <w:vAlign w:val="center"/>
          </w:tcPr>
          <w:p>
            <w:pPr>
              <w:pStyle w:val="12"/>
            </w:pPr>
            <w:r>
              <w:t>发放专项经费总金额</w:t>
            </w:r>
          </w:p>
        </w:tc>
        <w:tc>
          <w:tcPr>
            <w:tcW w:w="2268" w:type="dxa"/>
            <w:vAlign w:val="center"/>
          </w:tcPr>
          <w:p>
            <w:pPr>
              <w:pStyle w:val="12"/>
            </w:pPr>
            <w:r>
              <w:t>10万元</w:t>
            </w:r>
          </w:p>
        </w:tc>
        <w:tc>
          <w:tcPr>
            <w:tcW w:w="1276" w:type="dxa"/>
            <w:vAlign w:val="center"/>
          </w:tcPr>
          <w:p>
            <w:pPr>
              <w:pStyle w:val="12"/>
            </w:pPr>
            <w:r>
              <w:t>粮画小镇党校、电视台、乡研所专项经费测算表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促进小镇经济增长</w:t>
            </w:r>
          </w:p>
        </w:tc>
        <w:tc>
          <w:tcPr>
            <w:tcW w:w="5386" w:type="dxa"/>
            <w:vAlign w:val="center"/>
          </w:tcPr>
          <w:p>
            <w:pPr>
              <w:pStyle w:val="12"/>
            </w:pPr>
            <w:r>
              <w:t>促进小镇经济增长的总体水平</w:t>
            </w:r>
          </w:p>
          <w:p>
            <w:pPr>
              <w:pStyle w:val="12"/>
            </w:pP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提升小镇服务水平</w:t>
            </w:r>
          </w:p>
        </w:tc>
        <w:tc>
          <w:tcPr>
            <w:tcW w:w="5386" w:type="dxa"/>
            <w:vAlign w:val="center"/>
          </w:tcPr>
          <w:p>
            <w:pPr>
              <w:pStyle w:val="12"/>
            </w:pPr>
            <w:r>
              <w:t>提升小镇服务游客的总体水平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2、粮画小镇电费绩效目标表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13043324P00772410001R</w:t>
            </w:r>
          </w:p>
        </w:tc>
        <w:tc>
          <w:tcPr>
            <w:tcW w:w="2835" w:type="dxa"/>
            <w:vAlign w:val="center"/>
          </w:tcPr>
          <w:p>
            <w:pPr>
              <w:pStyle w:val="10"/>
            </w:pPr>
            <w:r>
              <w:t>项目名称</w:t>
            </w:r>
          </w:p>
        </w:tc>
        <w:tc>
          <w:tcPr>
            <w:tcW w:w="6094" w:type="dxa"/>
            <w:gridSpan w:val="3"/>
            <w:vAlign w:val="center"/>
          </w:tcPr>
          <w:p>
            <w:pPr>
              <w:pStyle w:val="12"/>
            </w:pPr>
            <w:r>
              <w:t>粮画小镇电费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及时支付粮画小镇景区电费，保障景区工作正常运行，提升小镇知名度。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1.及时支付粮画小镇景区电费，保障景区工作正常运行，提升小镇知名度。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缴纳数量</w:t>
            </w:r>
          </w:p>
        </w:tc>
        <w:tc>
          <w:tcPr>
            <w:tcW w:w="5386" w:type="dxa"/>
            <w:vAlign w:val="center"/>
          </w:tcPr>
          <w:p>
            <w:pPr>
              <w:pStyle w:val="12"/>
            </w:pPr>
            <w:r>
              <w:t>实际缴纳电费的千瓦时</w:t>
            </w:r>
          </w:p>
        </w:tc>
        <w:tc>
          <w:tcPr>
            <w:tcW w:w="2268" w:type="dxa"/>
            <w:vAlign w:val="center"/>
          </w:tcPr>
          <w:p>
            <w:pPr>
              <w:pStyle w:val="12"/>
            </w:pPr>
            <w:r>
              <w:t>≥400000千瓦时</w:t>
            </w:r>
          </w:p>
        </w:tc>
        <w:tc>
          <w:tcPr>
            <w:tcW w:w="1276" w:type="dxa"/>
            <w:vAlign w:val="center"/>
          </w:tcPr>
          <w:p>
            <w:pPr>
              <w:pStyle w:val="12"/>
            </w:pPr>
            <w:r>
              <w:t>电费发票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电费缴覆盖率</w:t>
            </w:r>
          </w:p>
        </w:tc>
        <w:tc>
          <w:tcPr>
            <w:tcW w:w="5386" w:type="dxa"/>
            <w:vAlign w:val="center"/>
          </w:tcPr>
          <w:p>
            <w:pPr>
              <w:pStyle w:val="12"/>
            </w:pPr>
            <w:r>
              <w:t>实际缴纳电费千瓦时占应缴纳电费千瓦时的比例</w:t>
            </w:r>
          </w:p>
        </w:tc>
        <w:tc>
          <w:tcPr>
            <w:tcW w:w="2268" w:type="dxa"/>
            <w:vAlign w:val="center"/>
          </w:tcPr>
          <w:p>
            <w:pPr>
              <w:pStyle w:val="12"/>
            </w:pPr>
            <w:r>
              <w:t>≥95%</w:t>
            </w:r>
          </w:p>
        </w:tc>
        <w:tc>
          <w:tcPr>
            <w:tcW w:w="1276" w:type="dxa"/>
            <w:vAlign w:val="center"/>
          </w:tcPr>
          <w:p>
            <w:pPr>
              <w:pStyle w:val="12"/>
            </w:pPr>
            <w:r>
              <w:t>电费发票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按时缴纳电费</w:t>
            </w:r>
          </w:p>
        </w:tc>
        <w:tc>
          <w:tcPr>
            <w:tcW w:w="5386" w:type="dxa"/>
            <w:vAlign w:val="center"/>
          </w:tcPr>
          <w:p>
            <w:pPr>
              <w:pStyle w:val="12"/>
            </w:pPr>
            <w:r>
              <w:t>按月及时缴纳电费</w:t>
            </w:r>
          </w:p>
        </w:tc>
        <w:tc>
          <w:tcPr>
            <w:tcW w:w="2268" w:type="dxa"/>
            <w:vAlign w:val="center"/>
          </w:tcPr>
          <w:p>
            <w:pPr>
              <w:pStyle w:val="12"/>
            </w:pPr>
            <w:r>
              <w:t>≤1月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缴费金额</w:t>
            </w:r>
          </w:p>
        </w:tc>
        <w:tc>
          <w:tcPr>
            <w:tcW w:w="5386" w:type="dxa"/>
            <w:vAlign w:val="center"/>
          </w:tcPr>
          <w:p>
            <w:pPr>
              <w:pStyle w:val="12"/>
            </w:pPr>
            <w:r>
              <w:t>缴纳电费的总成本</w:t>
            </w:r>
          </w:p>
        </w:tc>
        <w:tc>
          <w:tcPr>
            <w:tcW w:w="2268" w:type="dxa"/>
            <w:vAlign w:val="center"/>
          </w:tcPr>
          <w:p>
            <w:pPr>
              <w:pStyle w:val="12"/>
            </w:pPr>
            <w:r>
              <w:t>28万元</w:t>
            </w:r>
          </w:p>
        </w:tc>
        <w:tc>
          <w:tcPr>
            <w:tcW w:w="1276" w:type="dxa"/>
            <w:vAlign w:val="center"/>
          </w:tcPr>
          <w:p>
            <w:pPr>
              <w:pStyle w:val="12"/>
            </w:pPr>
            <w:r>
              <w:t>电费发票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促进小镇经济增长</w:t>
            </w:r>
          </w:p>
        </w:tc>
        <w:tc>
          <w:tcPr>
            <w:tcW w:w="5386" w:type="dxa"/>
            <w:vAlign w:val="center"/>
          </w:tcPr>
          <w:p>
            <w:pPr>
              <w:pStyle w:val="12"/>
            </w:pPr>
            <w:r>
              <w:t>促进小镇经济增长总体水平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提升景区服务水平</w:t>
            </w:r>
          </w:p>
        </w:tc>
        <w:tc>
          <w:tcPr>
            <w:tcW w:w="5386" w:type="dxa"/>
            <w:vAlign w:val="center"/>
          </w:tcPr>
          <w:p>
            <w:pPr>
              <w:pStyle w:val="12"/>
            </w:pPr>
            <w:r>
              <w:t>提升粮画小镇景区服务游客的水平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3、粮画小镇公共水费绩效目标表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13043324P007720100013</w:t>
            </w:r>
          </w:p>
        </w:tc>
        <w:tc>
          <w:tcPr>
            <w:tcW w:w="2835" w:type="dxa"/>
            <w:vAlign w:val="center"/>
          </w:tcPr>
          <w:p>
            <w:pPr>
              <w:pStyle w:val="10"/>
            </w:pPr>
            <w:r>
              <w:t>项目名称</w:t>
            </w:r>
          </w:p>
        </w:tc>
        <w:tc>
          <w:tcPr>
            <w:tcW w:w="6094" w:type="dxa"/>
            <w:gridSpan w:val="3"/>
            <w:vAlign w:val="center"/>
          </w:tcPr>
          <w:p>
            <w:pPr>
              <w:pStyle w:val="12"/>
            </w:pPr>
            <w:r>
              <w:t>粮画小镇公共水费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及时缴纳粮画小镇景区用水费用，保障景区工作正常运行，提升小镇知名度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1.及时缴纳粮画小镇景区用水费用，保障景区工作正常运行，提升小镇知名度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缴纳数量</w:t>
            </w:r>
          </w:p>
        </w:tc>
        <w:tc>
          <w:tcPr>
            <w:tcW w:w="5386" w:type="dxa"/>
            <w:vAlign w:val="center"/>
          </w:tcPr>
          <w:p>
            <w:pPr>
              <w:pStyle w:val="12"/>
            </w:pPr>
            <w:r>
              <w:t>实际缴纳水费的方数</w:t>
            </w:r>
          </w:p>
        </w:tc>
        <w:tc>
          <w:tcPr>
            <w:tcW w:w="2268" w:type="dxa"/>
            <w:vAlign w:val="center"/>
          </w:tcPr>
          <w:p>
            <w:pPr>
              <w:pStyle w:val="12"/>
            </w:pPr>
            <w:r>
              <w:t>≥18000方</w:t>
            </w:r>
          </w:p>
        </w:tc>
        <w:tc>
          <w:tcPr>
            <w:tcW w:w="1276" w:type="dxa"/>
            <w:vAlign w:val="center"/>
          </w:tcPr>
          <w:p>
            <w:pPr>
              <w:pStyle w:val="12"/>
            </w:pPr>
            <w:r>
              <w:t>水费发票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水费缴覆盖率</w:t>
            </w:r>
          </w:p>
        </w:tc>
        <w:tc>
          <w:tcPr>
            <w:tcW w:w="5386" w:type="dxa"/>
            <w:vAlign w:val="center"/>
          </w:tcPr>
          <w:p>
            <w:pPr>
              <w:pStyle w:val="12"/>
            </w:pPr>
            <w:r>
              <w:t>实际缴纳水费方数占应缴纳水费方数的比例</w:t>
            </w:r>
          </w:p>
        </w:tc>
        <w:tc>
          <w:tcPr>
            <w:tcW w:w="2268" w:type="dxa"/>
            <w:vAlign w:val="center"/>
          </w:tcPr>
          <w:p>
            <w:pPr>
              <w:pStyle w:val="12"/>
            </w:pPr>
            <w:r>
              <w:t>≥95%</w:t>
            </w:r>
          </w:p>
        </w:tc>
        <w:tc>
          <w:tcPr>
            <w:tcW w:w="1276" w:type="dxa"/>
            <w:vAlign w:val="center"/>
          </w:tcPr>
          <w:p>
            <w:pPr>
              <w:pStyle w:val="12"/>
            </w:pPr>
            <w:r>
              <w:t>水费发票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按时缴纳水费</w:t>
            </w:r>
          </w:p>
        </w:tc>
        <w:tc>
          <w:tcPr>
            <w:tcW w:w="5386" w:type="dxa"/>
            <w:vAlign w:val="center"/>
          </w:tcPr>
          <w:p>
            <w:pPr>
              <w:pStyle w:val="12"/>
            </w:pPr>
            <w:r>
              <w:t>按季度及时缴纳水费</w:t>
            </w:r>
          </w:p>
        </w:tc>
        <w:tc>
          <w:tcPr>
            <w:tcW w:w="2268" w:type="dxa"/>
            <w:vAlign w:val="center"/>
          </w:tcPr>
          <w:p>
            <w:pPr>
              <w:pStyle w:val="12"/>
            </w:pPr>
            <w:r>
              <w:t>≤1季度</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缴费金额</w:t>
            </w:r>
          </w:p>
        </w:tc>
        <w:tc>
          <w:tcPr>
            <w:tcW w:w="5386" w:type="dxa"/>
            <w:vAlign w:val="center"/>
          </w:tcPr>
          <w:p>
            <w:pPr>
              <w:pStyle w:val="12"/>
            </w:pPr>
            <w:r>
              <w:t>缴纳水费的总成本</w:t>
            </w:r>
          </w:p>
        </w:tc>
        <w:tc>
          <w:tcPr>
            <w:tcW w:w="2268" w:type="dxa"/>
            <w:vAlign w:val="center"/>
          </w:tcPr>
          <w:p>
            <w:pPr>
              <w:pStyle w:val="12"/>
            </w:pPr>
            <w:r>
              <w:t>6万元</w:t>
            </w:r>
          </w:p>
        </w:tc>
        <w:tc>
          <w:tcPr>
            <w:tcW w:w="1276" w:type="dxa"/>
            <w:vAlign w:val="center"/>
          </w:tcPr>
          <w:p>
            <w:pPr>
              <w:pStyle w:val="12"/>
            </w:pPr>
            <w:r>
              <w:t>水费发票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提升服务群众的水平</w:t>
            </w:r>
          </w:p>
        </w:tc>
        <w:tc>
          <w:tcPr>
            <w:tcW w:w="5386" w:type="dxa"/>
            <w:vAlign w:val="center"/>
          </w:tcPr>
          <w:p>
            <w:pPr>
              <w:pStyle w:val="12"/>
            </w:pPr>
            <w:r>
              <w:t>提升小镇服务群众的总体水平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4、粮画小镇景区日常电费绩效目标表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13043324P007721100030</w:t>
            </w:r>
          </w:p>
        </w:tc>
        <w:tc>
          <w:tcPr>
            <w:tcW w:w="2835" w:type="dxa"/>
            <w:vAlign w:val="center"/>
          </w:tcPr>
          <w:p>
            <w:pPr>
              <w:pStyle w:val="10"/>
            </w:pPr>
            <w:r>
              <w:t>项目名称</w:t>
            </w:r>
          </w:p>
        </w:tc>
        <w:tc>
          <w:tcPr>
            <w:tcW w:w="6094" w:type="dxa"/>
            <w:gridSpan w:val="3"/>
            <w:vAlign w:val="center"/>
          </w:tcPr>
          <w:p>
            <w:pPr>
              <w:pStyle w:val="12"/>
            </w:pPr>
            <w:r>
              <w:t>粮画小镇景区日常电费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按时支付粮画小镇景区电费，保障景区工作正常运行，提升小镇知名度。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1.按时支付粮画小镇景区电费，保障景区工作正常运行，提升小镇知名度。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电费缴纳数量</w:t>
            </w:r>
          </w:p>
        </w:tc>
        <w:tc>
          <w:tcPr>
            <w:tcW w:w="5386" w:type="dxa"/>
            <w:vAlign w:val="center"/>
          </w:tcPr>
          <w:p>
            <w:pPr>
              <w:pStyle w:val="12"/>
            </w:pPr>
            <w:r>
              <w:t>电费缴纳的数量</w:t>
            </w:r>
          </w:p>
        </w:tc>
        <w:tc>
          <w:tcPr>
            <w:tcW w:w="2268" w:type="dxa"/>
            <w:vAlign w:val="center"/>
          </w:tcPr>
          <w:p>
            <w:pPr>
              <w:pStyle w:val="12"/>
            </w:pPr>
            <w:r>
              <w:t>4季度</w:t>
            </w:r>
          </w:p>
        </w:tc>
        <w:tc>
          <w:tcPr>
            <w:tcW w:w="1276" w:type="dxa"/>
            <w:vAlign w:val="center"/>
          </w:tcPr>
          <w:p>
            <w:pPr>
              <w:pStyle w:val="12"/>
            </w:pPr>
            <w:r>
              <w:t>粮画小镇景区电费测算表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电费缴覆盖率</w:t>
            </w:r>
          </w:p>
        </w:tc>
        <w:tc>
          <w:tcPr>
            <w:tcW w:w="5386" w:type="dxa"/>
            <w:vAlign w:val="center"/>
          </w:tcPr>
          <w:p>
            <w:pPr>
              <w:pStyle w:val="12"/>
            </w:pPr>
            <w:r>
              <w:t>电费缴纳范围占应缴纳的比例</w:t>
            </w:r>
          </w:p>
        </w:tc>
        <w:tc>
          <w:tcPr>
            <w:tcW w:w="2268" w:type="dxa"/>
            <w:vAlign w:val="center"/>
          </w:tcPr>
          <w:p>
            <w:pPr>
              <w:pStyle w:val="12"/>
            </w:pPr>
            <w:r>
              <w:t>≥95%</w:t>
            </w:r>
          </w:p>
        </w:tc>
        <w:tc>
          <w:tcPr>
            <w:tcW w:w="1276" w:type="dxa"/>
            <w:vAlign w:val="center"/>
          </w:tcPr>
          <w:p>
            <w:pPr>
              <w:pStyle w:val="12"/>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电费缴纳及时率</w:t>
            </w:r>
          </w:p>
        </w:tc>
        <w:tc>
          <w:tcPr>
            <w:tcW w:w="5386" w:type="dxa"/>
            <w:vAlign w:val="center"/>
          </w:tcPr>
          <w:p>
            <w:pPr>
              <w:pStyle w:val="12"/>
            </w:pPr>
            <w:r>
              <w:t>到规定应缴纳电费时间时已缴电费占总金额的比例</w:t>
            </w:r>
          </w:p>
        </w:tc>
        <w:tc>
          <w:tcPr>
            <w:tcW w:w="2268" w:type="dxa"/>
            <w:vAlign w:val="center"/>
          </w:tcPr>
          <w:p>
            <w:pPr>
              <w:pStyle w:val="12"/>
            </w:pPr>
            <w:r>
              <w:t>≥95%</w:t>
            </w:r>
          </w:p>
        </w:tc>
        <w:tc>
          <w:tcPr>
            <w:tcW w:w="1276" w:type="dxa"/>
            <w:vAlign w:val="center"/>
          </w:tcPr>
          <w:p>
            <w:pPr>
              <w:pStyle w:val="12"/>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每年电费标准</w:t>
            </w:r>
          </w:p>
        </w:tc>
        <w:tc>
          <w:tcPr>
            <w:tcW w:w="5386" w:type="dxa"/>
            <w:vAlign w:val="center"/>
          </w:tcPr>
          <w:p>
            <w:pPr>
              <w:pStyle w:val="12"/>
            </w:pPr>
            <w:r>
              <w:t>根据实际用电度数，按时缴纳电费</w:t>
            </w:r>
          </w:p>
        </w:tc>
        <w:tc>
          <w:tcPr>
            <w:tcW w:w="2268" w:type="dxa"/>
            <w:vAlign w:val="center"/>
          </w:tcPr>
          <w:p>
            <w:pPr>
              <w:pStyle w:val="12"/>
            </w:pPr>
            <w:r>
              <w:t>3万元</w:t>
            </w:r>
          </w:p>
        </w:tc>
        <w:tc>
          <w:tcPr>
            <w:tcW w:w="1276" w:type="dxa"/>
            <w:vAlign w:val="center"/>
          </w:tcPr>
          <w:p>
            <w:pPr>
              <w:pStyle w:val="12"/>
            </w:pPr>
            <w:r>
              <w:t>粮画小镇景区电费测算表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促进小镇经济增长</w:t>
            </w:r>
          </w:p>
        </w:tc>
        <w:tc>
          <w:tcPr>
            <w:tcW w:w="5386" w:type="dxa"/>
            <w:vAlign w:val="center"/>
          </w:tcPr>
          <w:p>
            <w:pPr>
              <w:pStyle w:val="12"/>
            </w:pPr>
            <w:r>
              <w:t>缴纳电费，促进小镇经济增长总体水平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提升景区服务水平</w:t>
            </w:r>
          </w:p>
        </w:tc>
        <w:tc>
          <w:tcPr>
            <w:tcW w:w="5386" w:type="dxa"/>
            <w:vAlign w:val="center"/>
          </w:tcPr>
          <w:p>
            <w:pPr>
              <w:pStyle w:val="12"/>
            </w:pPr>
            <w:r>
              <w:t>及时缴纳电费，提升粮画小镇景区服务游客的水平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5、粮画小镇景区责任保险资金绩效目标表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13043324P00771910001Y</w:t>
            </w:r>
          </w:p>
        </w:tc>
        <w:tc>
          <w:tcPr>
            <w:tcW w:w="2835" w:type="dxa"/>
            <w:vAlign w:val="center"/>
          </w:tcPr>
          <w:p>
            <w:pPr>
              <w:pStyle w:val="10"/>
            </w:pPr>
            <w:r>
              <w:t>项目名称</w:t>
            </w:r>
          </w:p>
        </w:tc>
        <w:tc>
          <w:tcPr>
            <w:tcW w:w="6094" w:type="dxa"/>
            <w:gridSpan w:val="3"/>
            <w:vAlign w:val="center"/>
          </w:tcPr>
          <w:p>
            <w:pPr>
              <w:pStyle w:val="12"/>
            </w:pPr>
            <w:r>
              <w:t>粮画小镇景区责任保险资金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购买景区责任保险，保障粮画小镇景区游客及景区利益，提升小镇知名度。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1.购买景区责任保险，保障粮画小镇景区游客及景区利益，提升小镇知名度。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购买保险的次数</w:t>
            </w:r>
          </w:p>
        </w:tc>
        <w:tc>
          <w:tcPr>
            <w:tcW w:w="5386" w:type="dxa"/>
            <w:vAlign w:val="center"/>
          </w:tcPr>
          <w:p>
            <w:pPr>
              <w:pStyle w:val="12"/>
            </w:pPr>
            <w:r>
              <w:t>购买保险的总次数</w:t>
            </w:r>
          </w:p>
        </w:tc>
        <w:tc>
          <w:tcPr>
            <w:tcW w:w="2268" w:type="dxa"/>
            <w:vAlign w:val="center"/>
          </w:tcPr>
          <w:p>
            <w:pPr>
              <w:pStyle w:val="12"/>
            </w:pPr>
            <w:r>
              <w:t>1次</w:t>
            </w:r>
          </w:p>
        </w:tc>
        <w:tc>
          <w:tcPr>
            <w:tcW w:w="1276" w:type="dxa"/>
            <w:vAlign w:val="center"/>
          </w:tcPr>
          <w:p>
            <w:pPr>
              <w:pStyle w:val="12"/>
            </w:pPr>
            <w:r>
              <w:t>粮画小镇景区责任险保险资金测算表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保险责任覆盖率</w:t>
            </w:r>
          </w:p>
        </w:tc>
        <w:tc>
          <w:tcPr>
            <w:tcW w:w="5386" w:type="dxa"/>
            <w:vAlign w:val="center"/>
          </w:tcPr>
          <w:p>
            <w:pPr>
              <w:pStyle w:val="12"/>
            </w:pPr>
            <w:r>
              <w:t>保险责任覆盖范围占景区应覆盖范围的比例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保险支付及时率</w:t>
            </w:r>
          </w:p>
        </w:tc>
        <w:tc>
          <w:tcPr>
            <w:tcW w:w="5386" w:type="dxa"/>
            <w:vAlign w:val="center"/>
          </w:tcPr>
          <w:p>
            <w:pPr>
              <w:pStyle w:val="12"/>
            </w:pPr>
            <w:r>
              <w:t>保险支付在上级规定时间内保险支付占计划支付时间的比例</w:t>
            </w:r>
          </w:p>
        </w:tc>
        <w:tc>
          <w:tcPr>
            <w:tcW w:w="2268" w:type="dxa"/>
            <w:vAlign w:val="center"/>
          </w:tcPr>
          <w:p>
            <w:pPr>
              <w:pStyle w:val="12"/>
            </w:pPr>
            <w:r>
              <w:t>≥90%</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购买保险金额</w:t>
            </w:r>
          </w:p>
        </w:tc>
        <w:tc>
          <w:tcPr>
            <w:tcW w:w="5386" w:type="dxa"/>
            <w:vAlign w:val="center"/>
          </w:tcPr>
          <w:p>
            <w:pPr>
              <w:pStyle w:val="12"/>
            </w:pPr>
            <w:r>
              <w:t>购买保险的总金额</w:t>
            </w:r>
          </w:p>
        </w:tc>
        <w:tc>
          <w:tcPr>
            <w:tcW w:w="2268" w:type="dxa"/>
            <w:vAlign w:val="center"/>
          </w:tcPr>
          <w:p>
            <w:pPr>
              <w:pStyle w:val="12"/>
            </w:pPr>
            <w:r>
              <w:t>3万元</w:t>
            </w:r>
          </w:p>
        </w:tc>
        <w:tc>
          <w:tcPr>
            <w:tcW w:w="1276" w:type="dxa"/>
            <w:vAlign w:val="center"/>
          </w:tcPr>
          <w:p>
            <w:pPr>
              <w:pStyle w:val="12"/>
            </w:pPr>
            <w:r>
              <w:t>粮画小镇景区责任险保险资金测算表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促进小镇经济增长</w:t>
            </w:r>
          </w:p>
        </w:tc>
        <w:tc>
          <w:tcPr>
            <w:tcW w:w="5386" w:type="dxa"/>
            <w:vAlign w:val="center"/>
          </w:tcPr>
          <w:p>
            <w:pPr>
              <w:pStyle w:val="12"/>
            </w:pPr>
            <w:r>
              <w:t>促进小镇经济增长总体水平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提升小镇服务水平</w:t>
            </w:r>
          </w:p>
        </w:tc>
        <w:tc>
          <w:tcPr>
            <w:tcW w:w="5386" w:type="dxa"/>
            <w:vAlign w:val="center"/>
          </w:tcPr>
          <w:p>
            <w:pPr>
              <w:pStyle w:val="12"/>
            </w:pPr>
            <w:r>
              <w:t>提升景区服务游客的总体水平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6、粮画小镇专项经费绩效目标表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13043324P00771610001X</w:t>
            </w:r>
          </w:p>
        </w:tc>
        <w:tc>
          <w:tcPr>
            <w:tcW w:w="2835" w:type="dxa"/>
            <w:vAlign w:val="center"/>
          </w:tcPr>
          <w:p>
            <w:pPr>
              <w:pStyle w:val="10"/>
            </w:pPr>
            <w:r>
              <w:t>项目名称</w:t>
            </w:r>
          </w:p>
        </w:tc>
        <w:tc>
          <w:tcPr>
            <w:tcW w:w="6094" w:type="dxa"/>
            <w:gridSpan w:val="3"/>
            <w:vAlign w:val="center"/>
          </w:tcPr>
          <w:p>
            <w:pPr>
              <w:pStyle w:val="12"/>
            </w:pPr>
            <w:r>
              <w:t>粮画小镇专项经费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粮画小镇专项经费项目主要用于四个社区办公费、水电等费用，确保小镇工作正常运行。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1.粮画小镇专项经费项目主要用于四个社区办公费、水电等费用，确保小镇工作正常运行。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4村</w:t>
            </w:r>
          </w:p>
        </w:tc>
        <w:tc>
          <w:tcPr>
            <w:tcW w:w="1276" w:type="dxa"/>
            <w:vAlign w:val="center"/>
          </w:tcPr>
          <w:p>
            <w:pPr>
              <w:pStyle w:val="12"/>
            </w:pPr>
            <w:r>
              <w:t>粮画小镇专项经费测算表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发放经费凭证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经费发放在上级规定时间内经费及时发放时间占计划发放时间的比例</w:t>
            </w:r>
          </w:p>
        </w:tc>
        <w:tc>
          <w:tcPr>
            <w:tcW w:w="2268" w:type="dxa"/>
            <w:vAlign w:val="center"/>
          </w:tcPr>
          <w:p>
            <w:pPr>
              <w:pStyle w:val="12"/>
            </w:pPr>
            <w:r>
              <w:t>≥95%</w:t>
            </w:r>
          </w:p>
        </w:tc>
        <w:tc>
          <w:tcPr>
            <w:tcW w:w="1276" w:type="dxa"/>
            <w:vAlign w:val="center"/>
          </w:tcPr>
          <w:p>
            <w:pPr>
              <w:pStyle w:val="12"/>
            </w:pPr>
            <w:r>
              <w:t>发放经费凭证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发放专项经费金额</w:t>
            </w:r>
          </w:p>
          <w:p>
            <w:pPr>
              <w:pStyle w:val="12"/>
            </w:pPr>
          </w:p>
        </w:tc>
        <w:tc>
          <w:tcPr>
            <w:tcW w:w="5386" w:type="dxa"/>
            <w:vAlign w:val="center"/>
          </w:tcPr>
          <w:p>
            <w:pPr>
              <w:pStyle w:val="12"/>
            </w:pPr>
            <w:r>
              <w:t>发放专项经费总金额</w:t>
            </w:r>
          </w:p>
        </w:tc>
        <w:tc>
          <w:tcPr>
            <w:tcW w:w="2268" w:type="dxa"/>
            <w:vAlign w:val="center"/>
          </w:tcPr>
          <w:p>
            <w:pPr>
              <w:pStyle w:val="12"/>
            </w:pPr>
            <w:r>
              <w:t>20万元</w:t>
            </w:r>
          </w:p>
        </w:tc>
        <w:tc>
          <w:tcPr>
            <w:tcW w:w="1276" w:type="dxa"/>
            <w:vAlign w:val="center"/>
          </w:tcPr>
          <w:p>
            <w:pPr>
              <w:pStyle w:val="12"/>
            </w:pPr>
            <w:r>
              <w:t>粮画小镇专项经费测算表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提升服务群众的水平</w:t>
            </w:r>
          </w:p>
        </w:tc>
        <w:tc>
          <w:tcPr>
            <w:tcW w:w="5386" w:type="dxa"/>
            <w:vAlign w:val="center"/>
          </w:tcPr>
          <w:p>
            <w:pPr>
              <w:pStyle w:val="12"/>
            </w:pPr>
            <w:r>
              <w:t>提升服务群众的总体水平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7、小镇节日游活动宣传经费绩效目标表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13043324P007718100019</w:t>
            </w:r>
          </w:p>
        </w:tc>
        <w:tc>
          <w:tcPr>
            <w:tcW w:w="2835" w:type="dxa"/>
            <w:vAlign w:val="center"/>
          </w:tcPr>
          <w:p>
            <w:pPr>
              <w:pStyle w:val="10"/>
            </w:pPr>
            <w:r>
              <w:t>项目名称</w:t>
            </w:r>
          </w:p>
        </w:tc>
        <w:tc>
          <w:tcPr>
            <w:tcW w:w="6094" w:type="dxa"/>
            <w:gridSpan w:val="3"/>
            <w:vAlign w:val="center"/>
          </w:tcPr>
          <w:p>
            <w:pPr>
              <w:pStyle w:val="12"/>
            </w:pPr>
            <w:r>
              <w:t>小镇节日游活动宣传经费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保障粮画小镇节日游活动顺利进行，提升小镇知名度。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1.保障粮画小镇节日游活动顺利进行，提升小镇知名度。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节日游活动宣传次数</w:t>
            </w:r>
          </w:p>
        </w:tc>
        <w:tc>
          <w:tcPr>
            <w:tcW w:w="5386" w:type="dxa"/>
            <w:vAlign w:val="center"/>
          </w:tcPr>
          <w:p>
            <w:pPr>
              <w:pStyle w:val="12"/>
            </w:pPr>
            <w:r>
              <w:t>小镇游活动宣传总次数</w:t>
            </w:r>
          </w:p>
        </w:tc>
        <w:tc>
          <w:tcPr>
            <w:tcW w:w="2268" w:type="dxa"/>
            <w:vAlign w:val="center"/>
          </w:tcPr>
          <w:p>
            <w:pPr>
              <w:pStyle w:val="12"/>
            </w:pPr>
            <w:r>
              <w:t>4次</w:t>
            </w:r>
          </w:p>
        </w:tc>
        <w:tc>
          <w:tcPr>
            <w:tcW w:w="1276" w:type="dxa"/>
            <w:vAlign w:val="center"/>
          </w:tcPr>
          <w:p>
            <w:pPr>
              <w:pStyle w:val="12"/>
            </w:pPr>
            <w:r>
              <w:t>小镇节日游活动宣传经费测算表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经费保障覆盖率</w:t>
            </w:r>
          </w:p>
        </w:tc>
        <w:tc>
          <w:tcPr>
            <w:tcW w:w="5386" w:type="dxa"/>
            <w:vAlign w:val="center"/>
          </w:tcPr>
          <w:p>
            <w:pPr>
              <w:pStyle w:val="12"/>
            </w:pPr>
            <w:r>
              <w:t>宣传经费保障数量占总数的比例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到规定应发放时间时已发放经费占总金额的比例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活动宣传经费金额</w:t>
            </w:r>
          </w:p>
        </w:tc>
        <w:tc>
          <w:tcPr>
            <w:tcW w:w="5386" w:type="dxa"/>
            <w:vAlign w:val="center"/>
          </w:tcPr>
          <w:p>
            <w:pPr>
              <w:pStyle w:val="12"/>
            </w:pPr>
            <w:r>
              <w:t>活动宣传经费总金额</w:t>
            </w:r>
          </w:p>
        </w:tc>
        <w:tc>
          <w:tcPr>
            <w:tcW w:w="2268" w:type="dxa"/>
            <w:vAlign w:val="center"/>
          </w:tcPr>
          <w:p>
            <w:pPr>
              <w:pStyle w:val="12"/>
            </w:pPr>
            <w:r>
              <w:t>10万元</w:t>
            </w:r>
          </w:p>
        </w:tc>
        <w:tc>
          <w:tcPr>
            <w:tcW w:w="1276" w:type="dxa"/>
            <w:vAlign w:val="center"/>
          </w:tcPr>
          <w:p>
            <w:pPr>
              <w:pStyle w:val="12"/>
            </w:pPr>
            <w:r>
              <w:t>小镇节日游活动宣传经费测算表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提升小镇经济增长</w:t>
            </w:r>
          </w:p>
        </w:tc>
        <w:tc>
          <w:tcPr>
            <w:tcW w:w="5386" w:type="dxa"/>
            <w:vAlign w:val="center"/>
          </w:tcPr>
          <w:p>
            <w:pPr>
              <w:pStyle w:val="12"/>
            </w:pPr>
            <w:r>
              <w:t>提升小镇经济增长发展水平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提升小镇服务水平</w:t>
            </w:r>
          </w:p>
        </w:tc>
        <w:tc>
          <w:tcPr>
            <w:tcW w:w="5386" w:type="dxa"/>
            <w:vAlign w:val="center"/>
          </w:tcPr>
          <w:p>
            <w:pPr>
              <w:pStyle w:val="12"/>
            </w:pPr>
            <w:r>
              <w:t>提升小镇服务游客总体水平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8、粮画小镇维修维护资金绩效目标表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13043324P00772510001F</w:t>
            </w:r>
          </w:p>
        </w:tc>
        <w:tc>
          <w:tcPr>
            <w:tcW w:w="2835" w:type="dxa"/>
            <w:vAlign w:val="center"/>
          </w:tcPr>
          <w:p>
            <w:pPr>
              <w:pStyle w:val="10"/>
            </w:pPr>
            <w:r>
              <w:t>项目名称</w:t>
            </w:r>
          </w:p>
        </w:tc>
        <w:tc>
          <w:tcPr>
            <w:tcW w:w="6094" w:type="dxa"/>
            <w:gridSpan w:val="3"/>
            <w:vAlign w:val="center"/>
          </w:tcPr>
          <w:p>
            <w:pPr>
              <w:pStyle w:val="12"/>
            </w:pPr>
            <w:r>
              <w:t>粮画小镇维修维护资金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为保障粮画小镇4A景区景点正常运转，丰富粮画小镇色彩，提升小镇知名度。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1.为保障粮画小镇4A景区景点正常运转，丰富粮画小镇色彩，提升小镇知名度。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维修维护次数</w:t>
            </w:r>
          </w:p>
        </w:tc>
        <w:tc>
          <w:tcPr>
            <w:tcW w:w="5386" w:type="dxa"/>
            <w:vAlign w:val="center"/>
          </w:tcPr>
          <w:p>
            <w:pPr>
              <w:pStyle w:val="12"/>
            </w:pPr>
            <w:r>
              <w:t>维修维护总次数</w:t>
            </w:r>
          </w:p>
        </w:tc>
        <w:tc>
          <w:tcPr>
            <w:tcW w:w="2268" w:type="dxa"/>
            <w:vAlign w:val="center"/>
          </w:tcPr>
          <w:p>
            <w:pPr>
              <w:pStyle w:val="12"/>
            </w:pPr>
            <w:r>
              <w:t>13次</w:t>
            </w:r>
          </w:p>
        </w:tc>
        <w:tc>
          <w:tcPr>
            <w:tcW w:w="1276" w:type="dxa"/>
            <w:vAlign w:val="center"/>
          </w:tcPr>
          <w:p>
            <w:pPr>
              <w:pStyle w:val="12"/>
            </w:pPr>
            <w:r>
              <w:t>粮画小镇维修维护资金测算表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维修维护覆盖范围</w:t>
            </w:r>
          </w:p>
        </w:tc>
        <w:tc>
          <w:tcPr>
            <w:tcW w:w="5386" w:type="dxa"/>
            <w:vAlign w:val="center"/>
          </w:tcPr>
          <w:p>
            <w:pPr>
              <w:pStyle w:val="12"/>
            </w:pPr>
            <w:r>
              <w:t>维修维护覆盖范围占应维修维护范围的比例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维修维护支付及时率</w:t>
            </w:r>
          </w:p>
        </w:tc>
        <w:tc>
          <w:tcPr>
            <w:tcW w:w="5386" w:type="dxa"/>
            <w:vAlign w:val="center"/>
          </w:tcPr>
          <w:p>
            <w:pPr>
              <w:pStyle w:val="12"/>
            </w:pPr>
            <w:r>
              <w:t>维修维护资金支付在上级规定时间内及时支付时间占应支付时间的比例</w:t>
            </w:r>
          </w:p>
          <w:p>
            <w:pPr>
              <w:pStyle w:val="12"/>
            </w:pPr>
          </w:p>
        </w:tc>
        <w:tc>
          <w:tcPr>
            <w:tcW w:w="2268" w:type="dxa"/>
            <w:vAlign w:val="center"/>
          </w:tcPr>
          <w:p>
            <w:pPr>
              <w:pStyle w:val="12"/>
            </w:pPr>
            <w:r>
              <w:t>≥90%</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维修维护资金金额</w:t>
            </w:r>
          </w:p>
        </w:tc>
        <w:tc>
          <w:tcPr>
            <w:tcW w:w="5386" w:type="dxa"/>
            <w:vAlign w:val="center"/>
          </w:tcPr>
          <w:p>
            <w:pPr>
              <w:pStyle w:val="12"/>
            </w:pPr>
            <w:r>
              <w:t>维修维护资金支付总金额</w:t>
            </w:r>
          </w:p>
        </w:tc>
        <w:tc>
          <w:tcPr>
            <w:tcW w:w="2268" w:type="dxa"/>
            <w:vAlign w:val="center"/>
          </w:tcPr>
          <w:p>
            <w:pPr>
              <w:pStyle w:val="12"/>
            </w:pPr>
            <w:r>
              <w:t>100万元</w:t>
            </w:r>
          </w:p>
        </w:tc>
        <w:tc>
          <w:tcPr>
            <w:tcW w:w="1276" w:type="dxa"/>
            <w:vAlign w:val="center"/>
          </w:tcPr>
          <w:p>
            <w:pPr>
              <w:pStyle w:val="12"/>
            </w:pPr>
            <w:r>
              <w:t>粮画小镇维修维护资金测算表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促进小镇经济增长</w:t>
            </w:r>
          </w:p>
        </w:tc>
        <w:tc>
          <w:tcPr>
            <w:tcW w:w="5386" w:type="dxa"/>
            <w:vAlign w:val="center"/>
          </w:tcPr>
          <w:p>
            <w:pPr>
              <w:pStyle w:val="12"/>
            </w:pPr>
            <w:r>
              <w:t>促进小镇经济增长发展总体水平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提升小镇服务水平</w:t>
            </w:r>
          </w:p>
        </w:tc>
        <w:tc>
          <w:tcPr>
            <w:tcW w:w="5386" w:type="dxa"/>
            <w:vAlign w:val="center"/>
          </w:tcPr>
          <w:p>
            <w:pPr>
              <w:pStyle w:val="12"/>
            </w:pPr>
            <w:r>
              <w:t>提升小镇服务总体水平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9、粮画小镇迎4A景区复核核审、特色景点改造升级资金绩效目标表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13043324P007797100021</w:t>
            </w:r>
          </w:p>
        </w:tc>
        <w:tc>
          <w:tcPr>
            <w:tcW w:w="2835" w:type="dxa"/>
            <w:vAlign w:val="center"/>
          </w:tcPr>
          <w:p>
            <w:pPr>
              <w:pStyle w:val="10"/>
            </w:pPr>
            <w:r>
              <w:t>项目名称</w:t>
            </w:r>
          </w:p>
        </w:tc>
        <w:tc>
          <w:tcPr>
            <w:tcW w:w="6094" w:type="dxa"/>
            <w:gridSpan w:val="3"/>
            <w:vAlign w:val="center"/>
          </w:tcPr>
          <w:p>
            <w:pPr>
              <w:pStyle w:val="12"/>
            </w:pPr>
            <w:r>
              <w:t>粮画小镇迎4A景区复核核审、特色景点改造升级资金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支付维修维护工程款、保障粮画小镇4A景区景点正常运转，丰富粮画小镇色彩，提升小镇知名度。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1.支付维修维护工程款、保障粮画小镇4A景区景点正常运转，丰富粮画小镇色彩，提升小镇知名度。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维修维护</w:t>
            </w:r>
          </w:p>
        </w:tc>
        <w:tc>
          <w:tcPr>
            <w:tcW w:w="5386" w:type="dxa"/>
            <w:vAlign w:val="center"/>
          </w:tcPr>
          <w:p>
            <w:pPr>
              <w:pStyle w:val="12"/>
            </w:pPr>
            <w:r>
              <w:t>实际维修维护景区工程总次数</w:t>
            </w:r>
          </w:p>
        </w:tc>
        <w:tc>
          <w:tcPr>
            <w:tcW w:w="2268" w:type="dxa"/>
            <w:vAlign w:val="center"/>
          </w:tcPr>
          <w:p>
            <w:pPr>
              <w:pStyle w:val="12"/>
            </w:pPr>
            <w:r>
              <w:t>≥10次</w:t>
            </w:r>
          </w:p>
        </w:tc>
        <w:tc>
          <w:tcPr>
            <w:tcW w:w="1276" w:type="dxa"/>
            <w:vAlign w:val="center"/>
          </w:tcPr>
          <w:p>
            <w:pPr>
              <w:pStyle w:val="12"/>
            </w:pPr>
            <w:r>
              <w:t>维修维护计划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维修维护覆盖率</w:t>
            </w:r>
          </w:p>
        </w:tc>
        <w:tc>
          <w:tcPr>
            <w:tcW w:w="5386" w:type="dxa"/>
            <w:vAlign w:val="center"/>
          </w:tcPr>
          <w:p>
            <w:pPr>
              <w:pStyle w:val="12"/>
            </w:pPr>
            <w:r>
              <w:t>维修维护景区工程占应维修维护工程的比例</w:t>
            </w:r>
          </w:p>
        </w:tc>
        <w:tc>
          <w:tcPr>
            <w:tcW w:w="2268" w:type="dxa"/>
            <w:vAlign w:val="center"/>
          </w:tcPr>
          <w:p>
            <w:pPr>
              <w:pStyle w:val="12"/>
            </w:pPr>
            <w:r>
              <w:t>≥95%</w:t>
            </w:r>
          </w:p>
        </w:tc>
        <w:tc>
          <w:tcPr>
            <w:tcW w:w="1276" w:type="dxa"/>
            <w:vAlign w:val="center"/>
          </w:tcPr>
          <w:p>
            <w:pPr>
              <w:pStyle w:val="12"/>
            </w:pPr>
            <w:r>
              <w:t>维修维护计划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维修维护按照上级规定时间内及时完工时间占应完工时间的比例</w:t>
            </w:r>
          </w:p>
          <w:p>
            <w:pPr>
              <w:pStyle w:val="12"/>
            </w:pPr>
          </w:p>
        </w:tc>
        <w:tc>
          <w:tcPr>
            <w:tcW w:w="2268" w:type="dxa"/>
            <w:vAlign w:val="center"/>
          </w:tcPr>
          <w:p>
            <w:pPr>
              <w:pStyle w:val="12"/>
            </w:pPr>
            <w:r>
              <w:t>≤1年</w:t>
            </w:r>
          </w:p>
        </w:tc>
        <w:tc>
          <w:tcPr>
            <w:tcW w:w="1276" w:type="dxa"/>
            <w:vAlign w:val="center"/>
          </w:tcPr>
          <w:p>
            <w:pPr>
              <w:pStyle w:val="12"/>
            </w:pPr>
            <w:r>
              <w:t>银行回单、维修维护计划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维修维护资金金额</w:t>
            </w:r>
          </w:p>
        </w:tc>
        <w:tc>
          <w:tcPr>
            <w:tcW w:w="5386" w:type="dxa"/>
            <w:vAlign w:val="center"/>
          </w:tcPr>
          <w:p>
            <w:pPr>
              <w:pStyle w:val="12"/>
            </w:pPr>
            <w:r>
              <w:t>维修维护资金支付总金额</w:t>
            </w:r>
          </w:p>
        </w:tc>
        <w:tc>
          <w:tcPr>
            <w:tcW w:w="2268" w:type="dxa"/>
            <w:vAlign w:val="center"/>
          </w:tcPr>
          <w:p>
            <w:pPr>
              <w:pStyle w:val="12"/>
            </w:pPr>
            <w:r>
              <w:t>100万元</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促进小镇经济增长</w:t>
            </w:r>
          </w:p>
        </w:tc>
        <w:tc>
          <w:tcPr>
            <w:tcW w:w="5386" w:type="dxa"/>
            <w:vAlign w:val="center"/>
          </w:tcPr>
          <w:p>
            <w:pPr>
              <w:pStyle w:val="12"/>
            </w:pPr>
            <w:r>
              <w:t>促进小镇经济增长发展总体水平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提升小镇服务水平</w:t>
            </w:r>
          </w:p>
        </w:tc>
        <w:tc>
          <w:tcPr>
            <w:tcW w:w="5386" w:type="dxa"/>
            <w:vAlign w:val="center"/>
          </w:tcPr>
          <w:p>
            <w:pPr>
              <w:pStyle w:val="12"/>
            </w:pPr>
            <w:r>
              <w:t>提升小镇服务总体水平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10、粮画小镇宅基占地补偿资金绩效目标表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13043324P00772210001E</w:t>
            </w:r>
          </w:p>
        </w:tc>
        <w:tc>
          <w:tcPr>
            <w:tcW w:w="2835" w:type="dxa"/>
            <w:vAlign w:val="center"/>
          </w:tcPr>
          <w:p>
            <w:pPr>
              <w:pStyle w:val="10"/>
            </w:pPr>
            <w:r>
              <w:t>项目名称</w:t>
            </w:r>
          </w:p>
        </w:tc>
        <w:tc>
          <w:tcPr>
            <w:tcW w:w="6094" w:type="dxa"/>
            <w:gridSpan w:val="3"/>
            <w:vAlign w:val="center"/>
          </w:tcPr>
          <w:p>
            <w:pPr>
              <w:pStyle w:val="12"/>
            </w:pPr>
            <w:r>
              <w:t>粮画小镇宅基占地补偿资金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按时足额发放宅基占地补偿款给农户，保障农户合法权益。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1.按时足额发放宅基占地补偿款给农户，保障农户合法权益。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租用宅基的户数</w:t>
            </w:r>
          </w:p>
        </w:tc>
        <w:tc>
          <w:tcPr>
            <w:tcW w:w="5386" w:type="dxa"/>
            <w:vAlign w:val="center"/>
          </w:tcPr>
          <w:p>
            <w:pPr>
              <w:pStyle w:val="12"/>
            </w:pPr>
            <w:r>
              <w:t>租用宅基的总户数</w:t>
            </w:r>
          </w:p>
        </w:tc>
        <w:tc>
          <w:tcPr>
            <w:tcW w:w="2268" w:type="dxa"/>
            <w:vAlign w:val="center"/>
          </w:tcPr>
          <w:p>
            <w:pPr>
              <w:pStyle w:val="12"/>
            </w:pPr>
            <w:r>
              <w:t>77户</w:t>
            </w:r>
          </w:p>
        </w:tc>
        <w:tc>
          <w:tcPr>
            <w:tcW w:w="1276" w:type="dxa"/>
            <w:vAlign w:val="center"/>
          </w:tcPr>
          <w:p>
            <w:pPr>
              <w:pStyle w:val="12"/>
            </w:pPr>
            <w:r>
              <w:t>粮画小镇宅基占地补偿资金发放明细表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25万元</w:t>
            </w:r>
          </w:p>
        </w:tc>
        <w:tc>
          <w:tcPr>
            <w:tcW w:w="1276" w:type="dxa"/>
            <w:vAlign w:val="center"/>
          </w:tcPr>
          <w:p>
            <w:pPr>
              <w:pStyle w:val="12"/>
            </w:pPr>
            <w:r>
              <w:t>粮画小镇宅基占地补偿资金发放明细表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提高经济增长率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11、田园综合体占地补偿资金绩效目标表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13043324P007723100014</w:t>
            </w:r>
          </w:p>
        </w:tc>
        <w:tc>
          <w:tcPr>
            <w:tcW w:w="2835" w:type="dxa"/>
            <w:vAlign w:val="center"/>
          </w:tcPr>
          <w:p>
            <w:pPr>
              <w:pStyle w:val="10"/>
            </w:pPr>
            <w:r>
              <w:t>项目名称</w:t>
            </w:r>
          </w:p>
        </w:tc>
        <w:tc>
          <w:tcPr>
            <w:tcW w:w="6094" w:type="dxa"/>
            <w:gridSpan w:val="3"/>
            <w:vAlign w:val="center"/>
          </w:tcPr>
          <w:p>
            <w:pPr>
              <w:pStyle w:val="12"/>
            </w:pPr>
            <w:r>
              <w:t>田园综合体占地补偿资金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w:t>
            </w:r>
          </w:p>
        </w:tc>
        <w:tc>
          <w:tcPr>
            <w:tcW w:w="2835" w:type="dxa"/>
            <w:vAlign w:val="center"/>
          </w:tcPr>
          <w:p>
            <w:pPr>
              <w:pStyle w:val="10"/>
            </w:pPr>
            <w:r>
              <w:t>其中：财政    资金</w:t>
            </w:r>
          </w:p>
        </w:tc>
        <w:tc>
          <w:tcPr>
            <w:tcW w:w="2551" w:type="dxa"/>
            <w:vAlign w:val="center"/>
          </w:tcPr>
          <w:p>
            <w:pPr>
              <w:pStyle w:val="12"/>
            </w:pPr>
            <w:r>
              <w:t>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54.17亩</w:t>
            </w:r>
          </w:p>
        </w:tc>
        <w:tc>
          <w:tcPr>
            <w:tcW w:w="1276" w:type="dxa"/>
            <w:vAlign w:val="center"/>
          </w:tcPr>
          <w:p>
            <w:pPr>
              <w:pStyle w:val="12"/>
            </w:pPr>
            <w:r>
              <w:t>田园综合体占地补偿资金发放明细表</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6.5万元</w:t>
            </w:r>
          </w:p>
        </w:tc>
        <w:tc>
          <w:tcPr>
            <w:tcW w:w="1276" w:type="dxa"/>
            <w:vAlign w:val="center"/>
          </w:tcPr>
          <w:p>
            <w:pPr>
              <w:pStyle w:val="12"/>
            </w:pPr>
            <w:r>
              <w:t>田园综合体占地补偿资金发放明细表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馆陶县美丽乡村发展服务中心本级小计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18.00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18.00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馆陶县美丽乡村发展服务中心本级上年末固定资产金额为0.00万元（详见下表）。本年度拟购置固定资产总额为0.</w:t>
      </w:r>
      <w:r>
        <w:rPr>
          <w:rFonts w:hint="eastAsia" w:eastAsia="方正仿宋_GBK" w:cs="Times New Roman"/>
          <w:b w:val="0"/>
          <w:color w:val="000000"/>
          <w:sz w:val="28"/>
          <w:lang w:val="en-US" w:eastAsia="zh-CN"/>
        </w:rPr>
        <w:t>8</w:t>
      </w:r>
      <w:r>
        <w:rPr>
          <w:rFonts w:ascii="Times New Roman" w:hAnsi="Times New Roman" w:eastAsia="方正仿宋_GBK" w:cs="Times New Roman"/>
          <w:b w:val="0"/>
          <w:color w:val="000000"/>
          <w:sz w:val="28"/>
        </w:rPr>
        <w:t>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551001馆陶县美丽乡村发展服务中心本级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w:t>
      </w:r>
      <w:bookmarkStart w:id="1" w:name="_GoBack"/>
      <w:bookmarkEnd w:id="1"/>
      <w:r>
        <w:rPr>
          <w:rFonts w:ascii="Times New Roman" w:hAnsi="Times New Roman" w:eastAsia="方正仿宋_GBK" w:cs="Times New Roman"/>
          <w:b w:val="0"/>
          <w:color w:val="000000"/>
          <w:sz w:val="28"/>
        </w:rPr>
        <w:t>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0171CFE"/>
    <w:rsid w:val="4C000DFB"/>
    <w:rsid w:val="62FB6A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2024-03-01T19:03:22Z</dcterms:created>
  <dcterms:modified xsi:type="dcterms:W3CDTF">2024-03-01T11:03:22Z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2024-03-01T19:03:23Z</dcterms:created>
  <dcterms:modified xsi:type="dcterms:W3CDTF">2024-03-01T11:03:23Z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2024-03-01T19:03:23Z</dcterms:created>
  <dcterms:modified xsi:type="dcterms:W3CDTF">2024-03-01T11:03:23Z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2024-03-01T19:03:23Z</dcterms:created>
  <dcterms:modified xsi:type="dcterms:W3CDTF">2024-03-01T11:03:23Z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2024-03-01T19:03:24Z</dcterms:created>
  <dcterms:modified xsi:type="dcterms:W3CDTF">2024-03-01T11:03:24Z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2024-03-01T19:03:24Z</dcterms:created>
  <dcterms:modified xsi:type="dcterms:W3CDTF">2024-03-01T11:03:24Z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2024-03-01T19:03:24Z</dcterms:created>
  <dcterms:modified xsi:type="dcterms:W3CDTF">2024-03-01T11:03:24Z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2024-03-01T19:03:25Z</dcterms:created>
  <dcterms:modified xsi:type="dcterms:W3CDTF">2024-03-01T11:03:25Z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2024-03-01T19:03:19Z</dcterms:created>
  <dcterms:modified xsi:type="dcterms:W3CDTF">2024-03-01T11:03:19Z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2024-03-01T19:03:21Z</dcterms:created>
  <dcterms:modified xsi:type="dcterms:W3CDTF">2024-03-01T11:03:21Z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2024-03-01T19:03:22Z</dcterms:created>
  <dcterms:modified xsi:type="dcterms:W3CDTF">2024-03-01T11:03:22Z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2024-03-01T19:03:16Z</dcterms:created>
  <dcterms:modified xsi:type="dcterms:W3CDTF">2024-03-01T11:03:16Z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2024-03-01T19:03:22Z</dcterms:created>
  <dcterms:modified xsi:type="dcterms:W3CDTF">2024-03-01T11:03:22Z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2024-03-01T19:03:22Z</dcterms:created>
  <dcterms:modified xsi:type="dcterms:W3CDTF">2024-03-01T11:03:22Z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5269279-9ed4-4124-bb18-35dfa8b198f2}">
  <ds:schemaRefs/>
</ds:datastoreItem>
</file>

<file path=customXml/itemProps10.xml><?xml version="1.0" encoding="utf-8"?>
<ds:datastoreItem xmlns:ds="http://schemas.openxmlformats.org/officeDocument/2006/customXml" ds:itemID="{0a1027b0-e92b-4e0e-86db-72c42082d64a}">
  <ds:schemaRefs/>
</ds:datastoreItem>
</file>

<file path=customXml/itemProps11.xml><?xml version="1.0" encoding="utf-8"?>
<ds:datastoreItem xmlns:ds="http://schemas.openxmlformats.org/officeDocument/2006/customXml" ds:itemID="{c930d688-cf80-42e4-9c6c-95f8763496d4}">
  <ds:schemaRefs/>
</ds:datastoreItem>
</file>

<file path=customXml/itemProps12.xml><?xml version="1.0" encoding="utf-8"?>
<ds:datastoreItem xmlns:ds="http://schemas.openxmlformats.org/officeDocument/2006/customXml" ds:itemID="{ba6481f3-66c4-4819-8141-8ae88979120a}">
  <ds:schemaRefs/>
</ds:datastoreItem>
</file>

<file path=customXml/itemProps13.xml><?xml version="1.0" encoding="utf-8"?>
<ds:datastoreItem xmlns:ds="http://schemas.openxmlformats.org/officeDocument/2006/customXml" ds:itemID="{2cf92f4e-2416-4d7f-9eb4-f23e8df60d2a}">
  <ds:schemaRefs/>
</ds:datastoreItem>
</file>

<file path=customXml/itemProps14.xml><?xml version="1.0" encoding="utf-8"?>
<ds:datastoreItem xmlns:ds="http://schemas.openxmlformats.org/officeDocument/2006/customXml" ds:itemID="{5f0eeaa6-3f78-4dd4-aedc-ebb31c2aa84b}">
  <ds:schemaRefs/>
</ds:datastoreItem>
</file>

<file path=customXml/itemProps15.xml><?xml version="1.0" encoding="utf-8"?>
<ds:datastoreItem xmlns:ds="http://schemas.openxmlformats.org/officeDocument/2006/customXml" ds:itemID="{6a4a838f-f5f2-4b8f-a622-d170fdca7d23}">
  <ds:schemaRefs/>
</ds:datastoreItem>
</file>

<file path=customXml/itemProps16.xml><?xml version="1.0" encoding="utf-8"?>
<ds:datastoreItem xmlns:ds="http://schemas.openxmlformats.org/officeDocument/2006/customXml" ds:itemID="{bc83b17a-ddd2-45bb-8445-6a38b4d4fff2}">
  <ds:schemaRefs/>
</ds:datastoreItem>
</file>

<file path=customXml/itemProps17.xml><?xml version="1.0" encoding="utf-8"?>
<ds:datastoreItem xmlns:ds="http://schemas.openxmlformats.org/officeDocument/2006/customXml" ds:itemID="{d89d3b2c-3d96-404e-8ada-a45f5235fd1f}">
  <ds:schemaRefs/>
</ds:datastoreItem>
</file>

<file path=customXml/itemProps18.xml><?xml version="1.0" encoding="utf-8"?>
<ds:datastoreItem xmlns:ds="http://schemas.openxmlformats.org/officeDocument/2006/customXml" ds:itemID="{aab0956c-e5c6-4dfc-84cd-f75997b7e75e}">
  <ds:schemaRefs/>
</ds:datastoreItem>
</file>

<file path=customXml/itemProps19.xml><?xml version="1.0" encoding="utf-8"?>
<ds:datastoreItem xmlns:ds="http://schemas.openxmlformats.org/officeDocument/2006/customXml" ds:itemID="{f3f87f0e-4aa9-45d0-9140-0e1161db13a3}">
  <ds:schemaRefs/>
</ds:datastoreItem>
</file>

<file path=customXml/itemProps2.xml><?xml version="1.0" encoding="utf-8"?>
<ds:datastoreItem xmlns:ds="http://schemas.openxmlformats.org/officeDocument/2006/customXml" ds:itemID="{a3695551-3464-4507-8ead-3ebc3d9a51d5}">
  <ds:schemaRefs/>
</ds:datastoreItem>
</file>

<file path=customXml/itemProps20.xml><?xml version="1.0" encoding="utf-8"?>
<ds:datastoreItem xmlns:ds="http://schemas.openxmlformats.org/officeDocument/2006/customXml" ds:itemID="{7a016536-f232-4d51-bbb5-b830c933fc81}">
  <ds:schemaRefs/>
</ds:datastoreItem>
</file>

<file path=customXml/itemProps21.xml><?xml version="1.0" encoding="utf-8"?>
<ds:datastoreItem xmlns:ds="http://schemas.openxmlformats.org/officeDocument/2006/customXml" ds:itemID="{7301a3d2-622c-48c0-86ae-cb4a669c5a95}">
  <ds:schemaRefs/>
</ds:datastoreItem>
</file>

<file path=customXml/itemProps22.xml><?xml version="1.0" encoding="utf-8"?>
<ds:datastoreItem xmlns:ds="http://schemas.openxmlformats.org/officeDocument/2006/customXml" ds:itemID="{7b72d623-1111-43c0-b570-8e0a803f7337}">
  <ds:schemaRefs/>
</ds:datastoreItem>
</file>

<file path=customXml/itemProps23.xml><?xml version="1.0" encoding="utf-8"?>
<ds:datastoreItem xmlns:ds="http://schemas.openxmlformats.org/officeDocument/2006/customXml" ds:itemID="{506a11b5-1e0f-4cc8-af0e-48ed204b66f4}">
  <ds:schemaRefs/>
</ds:datastoreItem>
</file>

<file path=customXml/itemProps24.xml><?xml version="1.0" encoding="utf-8"?>
<ds:datastoreItem xmlns:ds="http://schemas.openxmlformats.org/officeDocument/2006/customXml" ds:itemID="{43bca760-cc6d-4540-a3dd-7f929f7a6d28}">
  <ds:schemaRefs/>
</ds:datastoreItem>
</file>

<file path=customXml/itemProps25.xml><?xml version="1.0" encoding="utf-8"?>
<ds:datastoreItem xmlns:ds="http://schemas.openxmlformats.org/officeDocument/2006/customXml" ds:itemID="{c3192006-94d6-401f-b4aa-6e8a9f8a5cc9}">
  <ds:schemaRefs/>
</ds:datastoreItem>
</file>

<file path=customXml/itemProps26.xml><?xml version="1.0" encoding="utf-8"?>
<ds:datastoreItem xmlns:ds="http://schemas.openxmlformats.org/officeDocument/2006/customXml" ds:itemID="{d62d3b54-f72d-4fb3-9e1f-c2c583da3e8f}">
  <ds:schemaRefs/>
</ds:datastoreItem>
</file>

<file path=customXml/itemProps27.xml><?xml version="1.0" encoding="utf-8"?>
<ds:datastoreItem xmlns:ds="http://schemas.openxmlformats.org/officeDocument/2006/customXml" ds:itemID="{ca595a9a-e3df-4d6f-afac-7c91a4a20da2}">
  <ds:schemaRefs/>
</ds:datastoreItem>
</file>

<file path=customXml/itemProps28.xml><?xml version="1.0" encoding="utf-8"?>
<ds:datastoreItem xmlns:ds="http://schemas.openxmlformats.org/officeDocument/2006/customXml" ds:itemID="{267bcd75-386a-44b9-95d0-f05a1390c3fc}">
  <ds:schemaRefs/>
</ds:datastoreItem>
</file>

<file path=customXml/itemProps3.xml><?xml version="1.0" encoding="utf-8"?>
<ds:datastoreItem xmlns:ds="http://schemas.openxmlformats.org/officeDocument/2006/customXml" ds:itemID="{f686fec8-9fd7-4409-a55b-a60e790c76b5}">
  <ds:schemaRefs/>
</ds:datastoreItem>
</file>

<file path=customXml/itemProps4.xml><?xml version="1.0" encoding="utf-8"?>
<ds:datastoreItem xmlns:ds="http://schemas.openxmlformats.org/officeDocument/2006/customXml" ds:itemID="{ec1dd978-19ab-400f-a9f5-2d30af824bc4}">
  <ds:schemaRefs/>
</ds:datastoreItem>
</file>

<file path=customXml/itemProps5.xml><?xml version="1.0" encoding="utf-8"?>
<ds:datastoreItem xmlns:ds="http://schemas.openxmlformats.org/officeDocument/2006/customXml" ds:itemID="{86734a06-404f-432a-bee5-86783a760e0e}">
  <ds:schemaRefs/>
</ds:datastoreItem>
</file>

<file path=customXml/itemProps6.xml><?xml version="1.0" encoding="utf-8"?>
<ds:datastoreItem xmlns:ds="http://schemas.openxmlformats.org/officeDocument/2006/customXml" ds:itemID="{5d252ff2-9882-4c74-bf70-aca2ccdb5c7b}">
  <ds:schemaRefs/>
</ds:datastoreItem>
</file>

<file path=customXml/itemProps7.xml><?xml version="1.0" encoding="utf-8"?>
<ds:datastoreItem xmlns:ds="http://schemas.openxmlformats.org/officeDocument/2006/customXml" ds:itemID="{21801825-6e67-4477-945c-bd3d23c5d593}">
  <ds:schemaRefs/>
</ds:datastoreItem>
</file>

<file path=customXml/itemProps8.xml><?xml version="1.0" encoding="utf-8"?>
<ds:datastoreItem xmlns:ds="http://schemas.openxmlformats.org/officeDocument/2006/customXml" ds:itemID="{3f5d1373-b170-467d-8bb5-53b9df8a96ef}">
  <ds:schemaRefs/>
</ds:datastoreItem>
</file>

<file path=customXml/itemProps9.xml><?xml version="1.0" encoding="utf-8"?>
<ds:datastoreItem xmlns:ds="http://schemas.openxmlformats.org/officeDocument/2006/customXml" ds:itemID="{3e7233f9-715a-40da-8cc1-2fb65f6bee7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2024-03-01T19:03:00Z</dcterms:created>
  <dc:creator>Administrator.WIN-20170328OIN</dc:creator>
  <cp:lastModifiedBy>Sally</cp:lastModifiedBy>
  <dcterms:modified xsi:type="dcterms:W3CDTF">2024-03-03T08:03:57Z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4058795C0C9F435F8229C572E96376C3</vt:lpwstr>
  </property>
</Properties>
</file>