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馆陶县中共粮画小镇党委</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w:t>
      </w:r>
      <w:bookmarkStart w:id="3" w:name="_GoBack"/>
      <w:bookmarkEnd w:id="3"/>
      <w:r>
        <w:rPr>
          <w:rFonts w:hint="eastAsia" w:ascii="仿宋" w:hAnsi="仿宋" w:eastAsia="仿宋" w:cs="仿宋"/>
          <w:sz w:val="32"/>
          <w:szCs w:val="32"/>
        </w:rPr>
        <w:t>预算法》、《地方预决算公开操作规程》和《河北省省级预算公开办法》规定，现将中共粮画小镇党委</w:t>
      </w:r>
      <w:r>
        <w:rPr>
          <w:rFonts w:ascii="仿宋" w:hAnsi="仿宋" w:eastAsia="仿宋" w:cs="仿宋"/>
          <w:sz w:val="32"/>
          <w:szCs w:val="32"/>
        </w:rPr>
        <w:t>202</w:t>
      </w:r>
      <w:r>
        <w:rPr>
          <w:rFonts w:hint="eastAsia" w:ascii="仿宋" w:hAnsi="仿宋" w:eastAsia="仿宋" w:cs="仿宋"/>
          <w:sz w:val="32"/>
          <w:szCs w:val="32"/>
        </w:rPr>
        <w:t>1年部门预算公开如下：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小镇党委的主要职能是：</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宣传、贯彻党的路线、方针、政策和上级党组织的指示、决定，执行小镇党员代表大会（党员大会）决议，讨论决定本小镇的重大问题。</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抓好自身和所属党组织的思想、组织和作风建设。</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领导小镇经济建设，制定本小镇经济和社会发展规划并组织实施。</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领导小镇社会主义精神文明和民主法治建设。加强农村社会治安综合治理，贯彻执行党和国家的计划生育政策。</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领导并支持小镇政府依法行使各项行政管理职权。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领到人大主席团及经济组织、人民武装和共青团、妇联等人民团体的工作。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领导上级有关部门派驻小镇单位的党的建设，领导、支持和协调上级有关部门派驻小镇单位的工作。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完成上级党组织交办的其他任务。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小镇政府的主要职能是：贯彻落实好党和国家在农村的各项方针政策和法律法规，做好农业、农村、农民工作。其主要职能为：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（一）促进经济发展、增加农民收入。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（二）强化公共服务、着力改善民生。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（三）加强社会管理、维护农村稳定。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（四）推进基层民主、促进农村和谐。</w:t>
      </w:r>
    </w:p>
    <w:p>
      <w:pPr>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7"/>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imes New Roman" w:hAnsi="Times New Roman"/>
                <w:sz w:val="32"/>
                <w:szCs w:val="32"/>
              </w:rPr>
            </w:pPr>
          </w:p>
        </w:tc>
        <w:tc>
          <w:tcPr>
            <w:tcW w:w="1588" w:type="dxa"/>
            <w:vMerge w:val="continue"/>
            <w:vAlign w:val="center"/>
          </w:tcPr>
          <w:p>
            <w:pPr>
              <w:spacing w:line="300" w:lineRule="exact"/>
              <w:jc w:val="left"/>
              <w:outlineLvl w:val="0"/>
              <w:rPr>
                <w:rFonts w:ascii="Times New Roman" w:hAnsi="Times New Roman"/>
                <w:sz w:val="32"/>
                <w:szCs w:val="32"/>
              </w:rPr>
            </w:pPr>
          </w:p>
        </w:tc>
        <w:tc>
          <w:tcPr>
            <w:tcW w:w="1787" w:type="dxa"/>
            <w:vMerge w:val="continue"/>
            <w:vAlign w:val="center"/>
          </w:tcPr>
          <w:p>
            <w:pPr>
              <w:spacing w:line="300" w:lineRule="exact"/>
              <w:jc w:val="left"/>
              <w:outlineLvl w:val="0"/>
              <w:rPr>
                <w:rFonts w:ascii="Times New Roman" w:hAnsi="Times New Roman"/>
                <w:sz w:val="32"/>
                <w:szCs w:val="32"/>
              </w:rPr>
            </w:pPr>
          </w:p>
        </w:tc>
        <w:tc>
          <w:tcPr>
            <w:tcW w:w="4063" w:type="dxa"/>
            <w:vMerge w:val="continue"/>
            <w:vAlign w:val="center"/>
          </w:tcPr>
          <w:p>
            <w:pPr>
              <w:spacing w:line="300" w:lineRule="exact"/>
              <w:jc w:val="lef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ascii="方正书宋_GBK" w:eastAsia="方正书宋_GBK"/>
                <w:b/>
                <w:sz w:val="32"/>
                <w:szCs w:val="32"/>
              </w:rPr>
            </w:pPr>
            <w:r>
              <w:rPr>
                <w:rFonts w:hint="eastAsia" w:ascii="方正书宋_GBK" w:eastAsia="方正书宋_GBK"/>
                <w:b/>
                <w:sz w:val="32"/>
                <w:szCs w:val="32"/>
              </w:rPr>
              <w:t>合计</w:t>
            </w:r>
          </w:p>
        </w:tc>
        <w:tc>
          <w:tcPr>
            <w:tcW w:w="1588" w:type="dxa"/>
            <w:vAlign w:val="center"/>
          </w:tcPr>
          <w:p>
            <w:pPr>
              <w:spacing w:line="300" w:lineRule="exact"/>
              <w:jc w:val="center"/>
              <w:rPr>
                <w:rFonts w:ascii="方正书宋_GBK" w:eastAsia="方正书宋_GBK"/>
                <w:b/>
                <w:sz w:val="32"/>
                <w:szCs w:val="32"/>
              </w:rPr>
            </w:pPr>
          </w:p>
        </w:tc>
        <w:tc>
          <w:tcPr>
            <w:tcW w:w="1787" w:type="dxa"/>
            <w:vAlign w:val="center"/>
          </w:tcPr>
          <w:p>
            <w:pPr>
              <w:spacing w:line="300" w:lineRule="exact"/>
              <w:jc w:val="center"/>
              <w:rPr>
                <w:rFonts w:ascii="方正书宋_GBK" w:eastAsia="方正书宋_GBK"/>
                <w:b/>
                <w:sz w:val="32"/>
                <w:szCs w:val="32"/>
              </w:rPr>
            </w:pPr>
          </w:p>
        </w:tc>
        <w:tc>
          <w:tcPr>
            <w:tcW w:w="4063" w:type="dxa"/>
            <w:vAlign w:val="center"/>
          </w:tcPr>
          <w:p>
            <w:pPr>
              <w:spacing w:line="300" w:lineRule="exact"/>
              <w:jc w:val="center"/>
              <w:rPr>
                <w:rFonts w:ascii="方正书宋_GBK" w:eastAsia="方正书宋_GBK"/>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仿宋_GB2312" w:eastAsia="仿宋_GB2312"/>
                <w:sz w:val="32"/>
                <w:szCs w:val="32"/>
              </w:rPr>
            </w:pPr>
            <w:r>
              <w:rPr>
                <w:rFonts w:hint="eastAsia" w:ascii="仿宋_GB2312" w:eastAsia="仿宋_GB2312"/>
                <w:sz w:val="32"/>
                <w:szCs w:val="32"/>
              </w:rPr>
              <w:t>中共馆陶县粮画小镇委员会</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rPr>
        <w:t>粮画小镇</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rPr>
        <w:t>1888.07</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372.2</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rPr>
        <w:t>1516.5</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rPr>
          <w:rFonts w:ascii="Times New Roman" w:hAnsi="Times New Roman" w:eastAsia="仿宋" w:cs="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中共粮画小镇</w:t>
      </w:r>
      <w:r>
        <w:rPr>
          <w:rFonts w:hint="eastAsia" w:ascii="Times New Roman" w:hAnsi="Times New Roman" w:eastAsia="仿宋" w:cs="仿宋"/>
          <w:sz w:val="32"/>
          <w:szCs w:val="32"/>
        </w:rPr>
        <w:t>2021年度部门预算中支出预算的总体情况。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rPr>
        <w:t>1888.7</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18</w:t>
      </w:r>
      <w:r>
        <w:rPr>
          <w:rFonts w:hint="eastAsia" w:ascii="Times New Roman" w:hAnsi="Times New Roman" w:eastAsia="仿宋" w:cs="仿宋"/>
          <w:sz w:val="32"/>
          <w:szCs w:val="32"/>
        </w:rPr>
        <w:t>万元，主要为日常公用经费</w:t>
      </w:r>
      <w:r>
        <w:rPr>
          <w:rFonts w:ascii="Times New Roman" w:hAnsi="Times New Roman" w:eastAsia="仿宋" w:cs="Times New Roman"/>
          <w:sz w:val="32"/>
          <w:szCs w:val="32"/>
        </w:rPr>
        <w:t>18</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rPr>
        <w:t>1870.7</w:t>
      </w:r>
      <w:r>
        <w:rPr>
          <w:rFonts w:hint="eastAsia" w:ascii="Times New Roman" w:hAnsi="Times New Roman" w:eastAsia="仿宋" w:cs="仿宋"/>
          <w:sz w:val="32"/>
          <w:szCs w:val="32"/>
        </w:rPr>
        <w:t>万元，主要为粮画小镇村级组织办公经费支出25万元，粮画小镇农村两委干部职务补助资金支出54.95万元，粮画小镇正常离任村干部补贴资金支出2.9万元，村支书养老、医疗、人身意外保险资金支出3.77万元，粮画小镇服务群众专项经费支出20万元，粮画小镇村党组织活动经费支出7.3万元，粮画小镇社区队长补贴资金支出8.28万元，粮小镇分税制财政体制补助资金(含人大经费2万元）支出100万元，粮画小镇专项经费20万元，粮画小镇党校、电视台、乡研所专项经费30万元，粮画小镇节日游活动宣传经费支出20万元，4A级景区运维宣传资金支出50万元，粮画小镇景区责任险支出3万元，粮画小镇公共水费支出6万元，粮画小镇景区日常电费支出3万元，挪高压线征地补偿款支出5万元，乡镇振兴（城乡融合）示范区占地补偿资金1300万元，粮画小镇宅基租赁资金支出25万元，田园综合体占地补偿资金支出6.5万元，粮画小镇迎4A景区复核核审、特色景点改造升级资金支出130万元，柴房线及沿村T接线工程款50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rPr>
        <w:t>1888.7</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rPr>
        <w:t>1310.03</w:t>
      </w:r>
      <w:r>
        <w:rPr>
          <w:rFonts w:hint="eastAsia" w:ascii="Times New Roman" w:hAnsi="Times New Roman" w:eastAsia="仿宋" w:cs="仿宋"/>
          <w:sz w:val="32"/>
          <w:szCs w:val="32"/>
        </w:rPr>
        <w:t>万元。主要是项目支出增加</w:t>
      </w:r>
      <w:r>
        <w:rPr>
          <w:rFonts w:hint="eastAsia" w:ascii="Times New Roman" w:hAnsi="Times New Roman" w:eastAsia="仿宋" w:cs="Times New Roman"/>
          <w:sz w:val="32"/>
          <w:szCs w:val="32"/>
        </w:rPr>
        <w:t>1310.03</w:t>
      </w:r>
      <w:r>
        <w:rPr>
          <w:rFonts w:hint="eastAsia" w:ascii="Times New Roman" w:hAnsi="Times New Roman" w:eastAsia="仿宋" w:cs="仿宋"/>
          <w:sz w:val="32"/>
          <w:szCs w:val="32"/>
        </w:rPr>
        <w:t>万元，主要是增加了</w:t>
      </w:r>
      <w:r>
        <w:rPr>
          <w:rFonts w:hint="eastAsia" w:ascii="Times New Roman" w:hAnsi="Times New Roman" w:eastAsia="仿宋" w:cs="Times New Roman"/>
          <w:sz w:val="32"/>
          <w:szCs w:val="32"/>
        </w:rPr>
        <w:t>乡镇振兴（城乡融合）示范区占地补偿资金</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18</w:t>
      </w:r>
      <w:r>
        <w:rPr>
          <w:rFonts w:hint="eastAsia" w:ascii="Times New Roman" w:hAnsi="Times New Roman" w:eastAsia="仿宋" w:cs="仿宋"/>
          <w:sz w:val="32"/>
          <w:szCs w:val="32"/>
        </w:rPr>
        <w:t>万元，主要用于</w:t>
      </w:r>
      <w:r>
        <w:rPr>
          <w:rFonts w:hint="eastAsia" w:ascii="仿宋_GB2312" w:hAnsi="Times New Roman" w:eastAsia="仿宋_GB2312" w:cs="Times New Roman"/>
          <w:sz w:val="32"/>
          <w:szCs w:val="32"/>
        </w:rPr>
        <w:t>办公费、印刷费、邮电费、等日常运行支出。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年，我部门财政拨款“三公”经费预算安排1.9万元， “三公”经费较上年无增减变化。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left"/>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spacing w:line="600" w:lineRule="exact"/>
        <w:ind w:firstLine="640" w:firstLineChars="200"/>
        <w:rPr>
          <w:rFonts w:ascii="仿宋" w:hAnsi="仿宋" w:eastAsia="仿宋_GB2312" w:cs="仿宋"/>
          <w:sz w:val="32"/>
          <w:szCs w:val="32"/>
        </w:rPr>
      </w:pPr>
      <w:r>
        <w:rPr>
          <w:rFonts w:hint="eastAsia" w:ascii="仿宋_GB2312" w:hAnsi="仿宋_GB2312" w:eastAsia="仿宋_GB2312" w:cs="仿宋_GB2312"/>
          <w:sz w:val="32"/>
          <w:szCs w:val="32"/>
        </w:rPr>
        <w:t>把抓好党建作为最大政绩，持续用力，久久为功。带动招商引资、特色小镇、脱贫攻坚、人居环境等重点工作。利用好主题教育契机着力解决软弱涣散党组织，全面提升全乡各党支部党内制度执行标准。</w:t>
      </w:r>
      <w:r>
        <w:rPr>
          <w:rFonts w:hint="eastAsia" w:ascii="仿宋" w:hAnsi="仿宋" w:eastAsia="仿宋" w:cs="仿宋"/>
          <w:sz w:val="32"/>
          <w:szCs w:val="32"/>
        </w:rPr>
        <w:t>继续落实商户“以奖代补”政策，进一步提高商户经营积极性；开展商户走访、座谈等日常管理工作，聘请专业老师对商户进行培训；统筹多方资源，加大4A级旅游景区宣传力度，吸引外界商家落户小镇；市场化运营再创新高，持续培养学员制作粮画、增加沿街粮画元素，拓宽粮画销售渠道。</w:t>
      </w:r>
      <w:r>
        <w:rPr>
          <w:rFonts w:hint="eastAsia" w:ascii="仿宋_GB2312" w:hAnsi="仿宋_GB2312" w:eastAsia="仿宋_GB2312" w:cs="仿宋_GB2312"/>
          <w:sz w:val="32"/>
          <w:szCs w:val="32"/>
        </w:rPr>
        <w:t>创新工作方法，提高粮画小镇的知名度，增加群众收入；继续搞好宣传，让“美丽乡村、特色小镇、美丽庭院”的理念深入人心，从自身做起，维护好已将规划好的建设成果。</w:t>
      </w:r>
    </w:p>
    <w:p>
      <w:pPr>
        <w:autoSpaceDE w:val="0"/>
        <w:autoSpaceDN w:val="0"/>
        <w:adjustRightInd w:val="0"/>
        <w:ind w:left="841"/>
        <w:jc w:val="left"/>
        <w:rPr>
          <w:rFonts w:ascii="Times New Roman" w:hAnsi="Times New Roman" w:eastAsia="仿宋"/>
          <w:b/>
          <w:bCs/>
          <w:sz w:val="32"/>
          <w:szCs w:val="32"/>
        </w:rPr>
      </w:pPr>
      <w:r>
        <w:rPr>
          <w:rFonts w:hint="eastAsia" w:ascii="Times New Roman" w:hAnsi="Times New Roman" w:eastAsia="仿宋" w:cs="仿宋"/>
          <w:b/>
          <w:bCs/>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1" w:firstLineChars="100"/>
        <w:rPr>
          <w:rFonts w:ascii="Times New Roman" w:hAnsi="Times New Roman" w:eastAsia="Times New Roman"/>
          <w:sz w:val="32"/>
        </w:rPr>
      </w:pPr>
      <w:r>
        <w:rPr>
          <w:rFonts w:ascii="宋体" w:hAnsi="宋体"/>
          <w:b/>
          <w:sz w:val="32"/>
        </w:rPr>
        <w:t>1.政务管理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绩效目标：</w:t>
      </w:r>
      <w:r>
        <w:rPr>
          <w:rFonts w:ascii="宋体" w:hAnsi="宋体"/>
          <w:sz w:val="32"/>
        </w:rPr>
        <w:t>依法依规履行机关日常管理事务，推进科学决策，确保机关工作正常运行。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绩效指标：</w:t>
      </w:r>
      <w:r>
        <w:rPr>
          <w:rFonts w:ascii="宋体" w:hAnsi="宋体"/>
          <w:sz w:val="32"/>
        </w:rPr>
        <w:t>承办党委交办的其他事项，协调各办公室的工作关系。依法依规履行机关日常管理事务，工作任务完成率达到95%以上，确保机关工作正常运行。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rPr>
      </w:pPr>
      <w:r>
        <w:rPr>
          <w:rFonts w:ascii="宋体" w:hAnsi="宋体"/>
          <w:b/>
          <w:sz w:val="32"/>
        </w:rPr>
        <w:t xml:space="preserve">    2.推动经济发展，完善基础设施，惠及民生。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b/>
          <w:sz w:val="32"/>
        </w:rPr>
      </w:pPr>
      <w:r>
        <w:rPr>
          <w:rFonts w:ascii="宋体" w:hAnsi="宋体"/>
          <w:b/>
          <w:sz w:val="32"/>
        </w:rPr>
        <w:t>职责描述：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绩效目标：</w:t>
      </w:r>
      <w:r>
        <w:rPr>
          <w:rFonts w:ascii="宋体" w:hAnsi="宋体"/>
          <w:sz w:val="32"/>
        </w:rPr>
        <w:t>多措并举，推动经济发展。促进农业发展，农民增收。实行动态管理，做到应保尽保、应退尽退。农村五保供养标准、供养能力逐步提高。缓解意外事件对特殊困难家庭造成的生活困难。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绩效指标：</w:t>
      </w:r>
      <w:r>
        <w:rPr>
          <w:rFonts w:ascii="宋体" w:hAnsi="宋体"/>
          <w:sz w:val="32"/>
        </w:rPr>
        <w:t>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rPr>
          <w:rFonts w:ascii="Times New Roman" w:hAnsi="Times New Roman" w:eastAsia="Times New Roman"/>
          <w:sz w:val="32"/>
        </w:rPr>
        <w:t>,</w:t>
      </w:r>
      <w:r>
        <w:rPr>
          <w:rFonts w:ascii="宋体" w:hAnsi="宋体"/>
          <w:sz w:val="32"/>
        </w:rPr>
        <w:t>动态管理。使工作任务完成率、农村居民低保保障率、五保供养保障率、生活救助到位率达到100%。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b/>
          <w:sz w:val="32"/>
        </w:rPr>
        <w:t>3.政策落实。</w:t>
      </w:r>
      <w:r>
        <w:rPr>
          <w:rFonts w:ascii="宋体" w:hAnsi="宋体"/>
          <w:sz w:val="32"/>
        </w:rPr>
        <w:t>采取奖励、扶助、社会保障等机制，引导家庭和个人打取计划生育措施，提高计划生育家庭发展能力。做好出生人口性别比治理工作的组织领导、宣传倡导、利益导向、全程服务、严查“两非”、统计监测、考核评估等重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绩效目标：</w:t>
      </w:r>
      <w:r>
        <w:rPr>
          <w:rFonts w:ascii="宋体" w:hAnsi="宋体"/>
          <w:sz w:val="32"/>
        </w:rPr>
        <w:t>有效遏制我镇出生人口性别比偏高的严峻形势，尽早实现出生人口性别比的自然平衡。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绩效指标：</w:t>
      </w:r>
      <w:r>
        <w:rPr>
          <w:rFonts w:ascii="宋体" w:hAnsi="宋体"/>
          <w:sz w:val="32"/>
        </w:rPr>
        <w:t>提供各类计划生育技术服务，建立利益导向机制，开展出生人口性别比治理以及流动人口计划生育管理等各项工作。稳定适度的低生育水平，有效保障计划生育家庭生活水平，提高妇女生殖健康水平，降低出生缺陷的发生，有效遏制出生人口性别比偏高问题。农村部分计划生育家庭奖励扶助政策落实率达到91%以上，计划生育家庭特别扶助政策落实率达到92%以上，出生人口性别比控制在112%以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sz w:val="32"/>
        </w:rPr>
      </w:pPr>
      <w:r>
        <w:rPr>
          <w:rFonts w:ascii="宋体" w:hAnsi="宋体"/>
          <w:b/>
          <w:sz w:val="32"/>
        </w:rPr>
        <w:t xml:space="preserve">    4.维护社会稳定和国家安全，负责本乡建设的总体规划。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绩效目标：</w:t>
      </w:r>
      <w:r>
        <w:rPr>
          <w:rFonts w:ascii="宋体" w:hAnsi="宋体"/>
          <w:sz w:val="32"/>
        </w:rPr>
        <w:t>预防减少不稳定因素的发生，有效化解不稳定隐患、群体性事件和突发事件，维护国家安全工作。做好本乡道路整修、住宅规划、房屋拆迁。维护好本镇城镇建设管理规划。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绩效指标：</w:t>
      </w:r>
      <w:r>
        <w:rPr>
          <w:rFonts w:ascii="宋体" w:hAnsi="宋体"/>
          <w:sz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安保活动圆满完成情况达到81%以上，协调督导事项化解率达到86%以上，规划管理程度达到86%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ascii="宋体" w:hAnsi="宋体"/>
          <w:b/>
          <w:sz w:val="32"/>
        </w:rPr>
        <w:t>5.财政业务管理。</w:t>
      </w:r>
      <w:r>
        <w:rPr>
          <w:rFonts w:ascii="宋体" w:hAnsi="宋体"/>
          <w:sz w:val="32"/>
        </w:rPr>
        <w:t>按照保工资、保运转的顺序做好预算安排；对不规范的票据一律不报销、不入账；对无正式发票据一律不报销，不入账；不定期进村入户抽查涉农资金落实情况；采用按月进行资产核查；坚持以收定支，杜绝举债行为发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绩效目标：</w:t>
      </w:r>
      <w:r>
        <w:rPr>
          <w:rFonts w:ascii="宋体" w:hAnsi="宋体"/>
          <w:sz w:val="32"/>
        </w:rPr>
        <w:t>预算执行良好；财务管理规范；涉农资金落实到位；国有资产管理有序，不发生流失；债权债务监督管理有力。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绩效指标：</w:t>
      </w:r>
      <w:r>
        <w:rPr>
          <w:rFonts w:ascii="宋体" w:hAnsi="宋体"/>
          <w:sz w:val="32"/>
        </w:rPr>
        <w:t>财政财务预算、涉农资金及项目管理等。保证镇机关正常运转，合理安排支出，规范村级财务管理，监督管理涉农资金兑付落实，加强国有资产管理，杜绝增加政府债务，提高预算完整性，做好项目绩效评价。做到工资按月发放，不规范票据张数</w:t>
      </w:r>
      <w:r>
        <w:rPr>
          <w:rFonts w:ascii="Times New Roman" w:hAnsi="Times New Roman" w:eastAsia="Times New Roman"/>
          <w:sz w:val="32"/>
        </w:rPr>
        <w:t>0</w:t>
      </w:r>
      <w:r>
        <w:rPr>
          <w:rFonts w:ascii="宋体" w:hAnsi="宋体"/>
          <w:sz w:val="32"/>
        </w:rPr>
        <w:t>张，巡查次数达到4次以上，核查次数12次，举债次数</w:t>
      </w:r>
      <w:r>
        <w:rPr>
          <w:rFonts w:ascii="Times New Roman" w:hAnsi="Times New Roman" w:eastAsia="Times New Roman"/>
          <w:sz w:val="32"/>
        </w:rPr>
        <w:t>0</w:t>
      </w:r>
      <w:r>
        <w:rPr>
          <w:rFonts w:ascii="宋体" w:hAnsi="宋体"/>
          <w:sz w:val="32"/>
        </w:rPr>
        <w:t>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rPr>
      </w:pPr>
      <w:r>
        <w:rPr>
          <w:rFonts w:ascii="宋体" w:hAnsi="宋体"/>
          <w:b/>
          <w:sz w:val="32"/>
        </w:rPr>
        <w:t xml:space="preserve">    6.农业科技支撑和公共服务，推动文化发展。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sz w:val="32"/>
        </w:rPr>
      </w:pPr>
      <w:r>
        <w:rPr>
          <w:rFonts w:hint="eastAsia" w:ascii="宋体" w:hAnsi="宋体"/>
          <w:sz w:val="32"/>
        </w:rPr>
        <w:t>绩效目标：</w:t>
      </w:r>
      <w:r>
        <w:rPr>
          <w:rFonts w:ascii="宋体" w:hAnsi="宋体"/>
          <w:sz w:val="32"/>
        </w:rPr>
        <w:t>培训与现代农业发展相适应的新型职业农民；为推进计生工作，开展计划生育、生殖保健、优生优育知识宣传教育和咨询服务；开展力所能及的母婴保健及优生服务，提高出生人口素质；推动全乡文化艺术健康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Times New Roman" w:hAnsi="Times New Roman" w:eastAsia="Times New Roman"/>
          <w:sz w:val="32"/>
        </w:rPr>
      </w:pPr>
      <w:r>
        <w:rPr>
          <w:rFonts w:hint="eastAsia" w:ascii="宋体" w:hAnsi="宋体"/>
          <w:sz w:val="32"/>
        </w:rPr>
        <w:t>绩效指标：</w:t>
      </w:r>
      <w:r>
        <w:rPr>
          <w:rFonts w:ascii="宋体" w:hAnsi="宋体"/>
          <w:sz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机械化水平。新型职业农民培育完成率达到100%；免费提供计生知识宣传教育和咨询服务次数12次；开展保健和优生服务次数12次；组织系列文化活动数量达到10次以上。</w:t>
      </w:r>
    </w:p>
    <w:p>
      <w:pPr>
        <w:autoSpaceDE w:val="0"/>
        <w:autoSpaceDN w:val="0"/>
        <w:adjustRightInd w:val="0"/>
        <w:ind w:firstLine="321" w:firstLineChars="1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一、继续抓好基层党建工作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（一）树牢党建主业意识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把抓好党建作为最大政绩，持续用力，久久为功。对照县委关于基层党建的工作目标和“两新一比”工作要求，以党建带动招商引资、特色小镇、脱贫攻坚、人居环境等重点工作。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（二）抓实“三位一体”党建模式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深入开展党员为群众办好事活动，组织好乡村职业党代表宣讲工作，持续发挥好基层组织和社会组织作用。</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（三）开展好“不忘初心、牢记使命”主题教育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利用好主题教育契机着力解决软弱涣散党组织，全面提升全乡各党支部党内制度执行标准。</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二、保持良好商业业态，实现旅游收入翻新番</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落实商户“以奖代补”政策，进一步提高商户经营积极性；开展商户走访、座谈等日常管理工作，聘请专业老师对商户进行培训；统筹多方资源，加大4A级旅游景区宣传力度，吸引外界商家落户小镇；市场化运营再创新高，常态化开展“旅游月”主题活动，吸引更多外地的旅行团入驻小镇。持续培养学员制作粮画、增加沿街粮画元素，拓宽粮画销售渠道。</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三、继续抓好农业农村工作</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hAnsi="仿宋_GB2312" w:eastAsia="仿宋_GB2312" w:cs="仿宋_GB2312"/>
          <w:sz w:val="32"/>
          <w:szCs w:val="32"/>
        </w:rPr>
        <w:t>加大资金投入，创新工作方法，提高粮画小镇的知名度，增加群众收入；</w:t>
      </w:r>
      <w:r>
        <w:rPr>
          <w:rFonts w:hint="eastAsia" w:ascii="楷体" w:hAnsi="楷体" w:eastAsia="楷体" w:cs="楷体"/>
          <w:b/>
          <w:bCs/>
          <w:sz w:val="32"/>
          <w:szCs w:val="32"/>
        </w:rPr>
        <w:t>二是</w:t>
      </w:r>
      <w:r>
        <w:rPr>
          <w:rFonts w:hint="eastAsia" w:ascii="仿宋_GB2312" w:hAnsi="仿宋_GB2312" w:eastAsia="仿宋_GB2312" w:cs="仿宋_GB2312"/>
          <w:sz w:val="32"/>
          <w:szCs w:val="32"/>
        </w:rPr>
        <w:t>继续搞好宣传，让“美丽乡村、特色小镇、美丽庭院”的理念深入人心，从自身做起，维护好已将规划好的建设成果；</w:t>
      </w:r>
      <w:r>
        <w:rPr>
          <w:rFonts w:hint="eastAsia" w:ascii="楷体" w:hAnsi="楷体" w:eastAsia="楷体" w:cs="楷体"/>
          <w:b/>
          <w:bCs/>
          <w:sz w:val="32"/>
          <w:szCs w:val="32"/>
        </w:rPr>
        <w:t>三是</w:t>
      </w:r>
      <w:r>
        <w:rPr>
          <w:rFonts w:hint="eastAsia" w:ascii="仿宋" w:hAnsi="仿宋" w:eastAsia="仿宋" w:cs="仿宋"/>
          <w:sz w:val="32"/>
          <w:szCs w:val="32"/>
        </w:rPr>
        <w:t>禁烧、散乱污、非法加油站点等工作继续按照已建立的长效机制，做好日常巡检查、落实责任人，确保不反弹、杜绝新增。针对未整治到位的散乱污企业实行属地管理，加大力度和措施，实现扫尾清零；</w:t>
      </w:r>
      <w:r>
        <w:rPr>
          <w:rFonts w:hint="eastAsia" w:ascii="楷体" w:hAnsi="楷体" w:eastAsia="楷体" w:cs="楷体"/>
          <w:b/>
          <w:bCs/>
          <w:sz w:val="32"/>
          <w:szCs w:val="32"/>
        </w:rPr>
        <w:t>四是</w:t>
      </w:r>
      <w:r>
        <w:rPr>
          <w:rFonts w:hint="eastAsia" w:ascii="仿宋" w:hAnsi="仿宋" w:eastAsia="仿宋" w:cs="仿宋"/>
          <w:sz w:val="32"/>
          <w:szCs w:val="32"/>
        </w:rPr>
        <w:t>农村环境卫生工作继续协调物业公司，做好日常保洁，高标准要求；</w:t>
      </w:r>
      <w:r>
        <w:rPr>
          <w:rFonts w:hint="eastAsia" w:ascii="楷体" w:hAnsi="楷体" w:eastAsia="楷体" w:cs="楷体"/>
          <w:b/>
          <w:bCs/>
          <w:sz w:val="32"/>
          <w:szCs w:val="32"/>
        </w:rPr>
        <w:t>五是</w:t>
      </w:r>
      <w:r>
        <w:rPr>
          <w:rFonts w:hint="eastAsia" w:ascii="仿宋" w:hAnsi="仿宋" w:eastAsia="仿宋" w:cs="仿宋"/>
          <w:sz w:val="32"/>
          <w:szCs w:val="32"/>
        </w:rPr>
        <w:t>持续利用农村集体产权制度改革的成果，结合现有旅游产业，将清理出来的资源、资产通过市场化运作的方式最大限度地盘活、增值。</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四、继续抓好社会民生工作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（一）继续抓好集体经济发展工作</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依托当前清理集体土地大形势，对村庄所有集体土地进行详细摸排，对不合理发包的土地进行重新发包，增加收入，对拖欠土地承包款的予以清理，收缴到位；</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加大招商引资力度，号召在外有成人员回乡投资，村集体以土地入股，在外有成人员提供资金和项目，发展村级产业；</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完善村级集体经济管理制度，管理公开透明化。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加强宣传教育，落实分红政策，对有收入的村逐步开始对村民分红，提高村民参与感和积极性；</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观摩学习，组织所辖村组织到外地集体经济发展的较好的村进行观摩学习，为集体经济发展做好引领示范。组织开展培训会，对两委干部、党员、村民开展培训教育，开拓他们视野增强他们能力，</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（二）继续抓好信访维稳和综治工作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经常性排查区域内的信访稳定及隐患排查工作，</w:t>
      </w:r>
      <w:r>
        <w:rPr>
          <w:rFonts w:hint="eastAsia" w:ascii="仿宋" w:hAnsi="仿宋" w:eastAsia="仿宋" w:cs="仿宋"/>
          <w:sz w:val="32"/>
          <w:szCs w:val="32"/>
        </w:rPr>
        <w:t>对排查出的问题要逐案设立台账。及时处理信访积案，对原有的信访重点案件找到突破点，及时解决根源问题，避免上访隐患。</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（三）继续抓好团组织工作</w:t>
      </w:r>
    </w:p>
    <w:p>
      <w:pPr>
        <w:spacing w:line="600" w:lineRule="exact"/>
        <w:ind w:firstLine="643" w:firstLineChars="200"/>
        <w:rPr>
          <w:rFonts w:ascii="仿宋_GB2312" w:hAnsi="仿宋_GB2312" w:eastAsia="仿宋_GB2312" w:cs="仿宋_GB2312"/>
          <w:sz w:val="30"/>
          <w:szCs w:val="30"/>
        </w:rPr>
      </w:pPr>
      <w:r>
        <w:rPr>
          <w:rFonts w:hint="eastAsia" w:ascii="楷体" w:hAnsi="楷体" w:eastAsia="楷体" w:cs="楷体"/>
          <w:b/>
          <w:bCs/>
          <w:sz w:val="32"/>
          <w:szCs w:val="32"/>
        </w:rPr>
        <w:t>一是</w:t>
      </w:r>
      <w:r>
        <w:rPr>
          <w:rFonts w:hint="eastAsia" w:ascii="仿宋_GB2312" w:hAnsi="仿宋_GB2312" w:eastAsia="仿宋_GB2312" w:cs="仿宋_GB2312"/>
          <w:sz w:val="30"/>
          <w:szCs w:val="30"/>
        </w:rPr>
        <w:t>突出政治思想引领，警惕危险思想侵害青少年，结合社会热点话题，开展接地气、易接受、正能量的青年活动，利用好新型媒体，把基层青年潜力激发出来；</w:t>
      </w:r>
      <w:r>
        <w:rPr>
          <w:rFonts w:hint="eastAsia" w:ascii="楷体" w:hAnsi="楷体" w:eastAsia="楷体" w:cs="楷体"/>
          <w:b/>
          <w:bCs/>
          <w:sz w:val="32"/>
          <w:szCs w:val="32"/>
        </w:rPr>
        <w:t>二是</w:t>
      </w:r>
      <w:r>
        <w:rPr>
          <w:rFonts w:hint="eastAsia" w:ascii="仿宋_GB2312" w:hAnsi="仿宋_GB2312" w:eastAsia="仿宋_GB2312" w:cs="仿宋_GB2312"/>
          <w:sz w:val="30"/>
          <w:szCs w:val="30"/>
        </w:rPr>
        <w:t>完善镇村两级组织架构，明确各团组织负责人，确保团支部能真正运行起来；</w:t>
      </w:r>
      <w:r>
        <w:rPr>
          <w:rFonts w:hint="eastAsia" w:ascii="楷体" w:hAnsi="楷体" w:eastAsia="楷体" w:cs="楷体"/>
          <w:b/>
          <w:bCs/>
          <w:sz w:val="32"/>
          <w:szCs w:val="32"/>
        </w:rPr>
        <w:t>三是</w:t>
      </w:r>
      <w:r>
        <w:rPr>
          <w:rFonts w:hint="eastAsia" w:ascii="仿宋_GB2312" w:hAnsi="仿宋_GB2312" w:eastAsia="仿宋_GB2312" w:cs="仿宋_GB2312"/>
          <w:sz w:val="30"/>
          <w:szCs w:val="30"/>
        </w:rPr>
        <w:t>摸底统计好全镇青年台账，分析数据，有针对性地开展医疗救助、关爱帮助、就业工作等服务；</w:t>
      </w:r>
      <w:r>
        <w:rPr>
          <w:rFonts w:hint="eastAsia" w:ascii="楷体" w:hAnsi="楷体" w:eastAsia="楷体" w:cs="楷体"/>
          <w:b/>
          <w:bCs/>
          <w:sz w:val="32"/>
          <w:szCs w:val="32"/>
        </w:rPr>
        <w:t>四是</w:t>
      </w:r>
      <w:r>
        <w:rPr>
          <w:rFonts w:hint="eastAsia" w:ascii="仿宋_GB2312" w:hAnsi="仿宋_GB2312" w:eastAsia="仿宋_GB2312" w:cs="仿宋_GB2312"/>
          <w:sz w:val="30"/>
          <w:szCs w:val="30"/>
        </w:rPr>
        <w:t>严格落实上级安排的各项工作和“三会两制一课”制度，对慢作为、不作为、乱作为的团干部和思想政治错误严肃处理，保证团队伍的清明正洁。</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五、继续落实好纪委工作</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eastAsia="仿宋_GB2312"/>
          <w:sz w:val="32"/>
          <w:szCs w:val="32"/>
        </w:rPr>
        <w:t>监督好党风廉政“两个责任”落实工作，发挥好监督专责，努力在日常监督、长效监督上实现创新突破，把全面从</w:t>
      </w:r>
      <w:r>
        <w:rPr>
          <w:rFonts w:hint="eastAsia" w:ascii="仿宋_GB2312" w:eastAsia="仿宋_GB2312"/>
          <w:sz w:val="32"/>
          <w:szCs w:val="32"/>
          <w:lang w:eastAsia="zh-CN"/>
        </w:rPr>
        <w:t>严</w:t>
      </w:r>
      <w:r>
        <w:rPr>
          <w:rFonts w:hint="eastAsia" w:ascii="仿宋_GB2312" w:eastAsia="仿宋_GB2312"/>
          <w:sz w:val="32"/>
          <w:szCs w:val="32"/>
        </w:rPr>
        <w:t>治党不断引向深入；</w:t>
      </w:r>
      <w:r>
        <w:rPr>
          <w:rFonts w:hint="eastAsia" w:ascii="楷体" w:hAnsi="楷体" w:eastAsia="楷体" w:cs="楷体"/>
          <w:b/>
          <w:bCs/>
          <w:sz w:val="32"/>
          <w:szCs w:val="32"/>
        </w:rPr>
        <w:t>二是</w:t>
      </w:r>
      <w:r>
        <w:rPr>
          <w:rFonts w:hint="eastAsia" w:ascii="仿宋_GB2312" w:eastAsia="仿宋_GB2312"/>
          <w:sz w:val="32"/>
          <w:szCs w:val="32"/>
        </w:rPr>
        <w:t>将“不忘初心</w:t>
      </w:r>
      <w:r>
        <w:rPr>
          <w:rFonts w:hint="eastAsia" w:ascii="仿宋_GB2312" w:eastAsia="仿宋_GB2312"/>
          <w:sz w:val="32"/>
          <w:szCs w:val="32"/>
          <w:lang w:eastAsia="zh-CN"/>
        </w:rPr>
        <w:t>、</w:t>
      </w:r>
      <w:r>
        <w:rPr>
          <w:rFonts w:hint="eastAsia" w:ascii="仿宋_GB2312" w:eastAsia="仿宋_GB2312"/>
          <w:sz w:val="32"/>
          <w:szCs w:val="32"/>
        </w:rPr>
        <w:t>牢记使命”主题教育成效与整治群众身边的腐败和作风问题专项整治工作、“监督前移、村村过堂”工作结合起来，持续开展警示教育，发现问题，整改提高，完善制度漏洞。持续强化不敢腐的震慑，努力</w:t>
      </w:r>
      <w:r>
        <w:rPr>
          <w:rFonts w:ascii="仿宋_GB2312" w:eastAsia="仿宋_GB2312"/>
          <w:sz w:val="32"/>
          <w:szCs w:val="32"/>
        </w:rPr>
        <w:t>扎牢不能腐的笼子，</w:t>
      </w:r>
      <w:r>
        <w:rPr>
          <w:rFonts w:hint="eastAsia" w:ascii="仿宋_GB2312" w:eastAsia="仿宋_GB2312"/>
          <w:sz w:val="32"/>
          <w:szCs w:val="32"/>
        </w:rPr>
        <w:t>增强</w:t>
      </w:r>
      <w:r>
        <w:rPr>
          <w:rFonts w:ascii="仿宋_GB2312" w:eastAsia="仿宋_GB2312"/>
          <w:sz w:val="32"/>
          <w:szCs w:val="32"/>
        </w:rPr>
        <w:t>不想腐的</w:t>
      </w:r>
      <w:r>
        <w:rPr>
          <w:rFonts w:hint="eastAsia" w:ascii="仿宋_GB2312" w:eastAsia="仿宋_GB2312"/>
          <w:sz w:val="32"/>
          <w:szCs w:val="32"/>
        </w:rPr>
        <w:t>自觉，</w:t>
      </w:r>
      <w:r>
        <w:rPr>
          <w:rFonts w:ascii="仿宋_GB2312" w:eastAsia="仿宋_GB2312"/>
          <w:sz w:val="32"/>
          <w:szCs w:val="32"/>
        </w:rPr>
        <w:t>巩固发展反腐败斗争压倒性态势</w:t>
      </w:r>
      <w:r>
        <w:rPr>
          <w:rFonts w:hint="eastAsia" w:ascii="仿宋_GB2312" w:eastAsia="仿宋_GB2312"/>
          <w:sz w:val="32"/>
          <w:szCs w:val="32"/>
        </w:rPr>
        <w:t>；</w:t>
      </w:r>
      <w:r>
        <w:rPr>
          <w:rFonts w:hint="eastAsia" w:ascii="楷体" w:hAnsi="楷体" w:eastAsia="楷体" w:cs="楷体"/>
          <w:b/>
          <w:bCs/>
          <w:sz w:val="32"/>
          <w:szCs w:val="32"/>
        </w:rPr>
        <w:t>三是</w:t>
      </w:r>
      <w:r>
        <w:rPr>
          <w:rFonts w:hint="eastAsia" w:ascii="仿宋_GB2312" w:eastAsia="仿宋_GB2312"/>
          <w:sz w:val="32"/>
          <w:szCs w:val="32"/>
        </w:rPr>
        <w:t>按照政治过硬、本领高强的要求，持续深化纪检队伍的素质教育，认真学习习近平总书记提出的新时代反腐倡廉新要求，从严从实做好村级纪检委员业务指导，发挥村村纪检委员职能，努力打造一支“忠诚、干净、担当”的纪检队伍；</w:t>
      </w:r>
      <w:r>
        <w:rPr>
          <w:rFonts w:hint="eastAsia" w:ascii="楷体" w:hAnsi="楷体" w:eastAsia="楷体" w:cs="楷体"/>
          <w:b/>
          <w:bCs/>
          <w:sz w:val="32"/>
          <w:szCs w:val="32"/>
        </w:rPr>
        <w:t>四是</w:t>
      </w:r>
      <w:r>
        <w:rPr>
          <w:rFonts w:hint="eastAsia" w:ascii="仿宋_GB2312" w:eastAsia="仿宋_GB2312"/>
          <w:sz w:val="32"/>
          <w:szCs w:val="32"/>
        </w:rPr>
        <w:t>认真履行监督职责，持续强化执纪为民理念，做好违规违纪腐败案件的查处工作，在整治群众身边腐改和作风问题上取得新成效，提高群众的安全感、获得感和幸福感；</w:t>
      </w:r>
      <w:r>
        <w:rPr>
          <w:rFonts w:hint="eastAsia" w:ascii="楷体" w:hAnsi="楷体" w:eastAsia="楷体" w:cs="楷体"/>
          <w:b/>
          <w:bCs/>
          <w:sz w:val="32"/>
          <w:szCs w:val="32"/>
        </w:rPr>
        <w:t>五是</w:t>
      </w:r>
      <w:r>
        <w:rPr>
          <w:rFonts w:hint="eastAsia" w:ascii="仿宋_GB2312" w:eastAsia="仿宋_GB2312"/>
          <w:sz w:val="32"/>
          <w:szCs w:val="32"/>
        </w:rPr>
        <w:t>做好上级纪委和小镇党委交办的其它纪检工作。</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六、继续抓好招商引资工作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紧紧围绕招商引资、项目推进、园区服务“三位一体”不松懈，按照县委、县政府的具体安排部署，结合粮画小镇实际，不断调优经济结构，积极推动镇域内招商引资工作，多措并举鼓励和吸引投资者在我镇投资兴业。</w:t>
      </w:r>
    </w:p>
    <w:bookmarkEnd w:id="0"/>
    <w:p>
      <w:pPr>
        <w:numPr>
          <w:ilvl w:val="0"/>
          <w:numId w:val="2"/>
        </w:numPr>
        <w:ind w:firstLine="643" w:firstLineChars="200"/>
        <w:jc w:val="center"/>
        <w:rPr>
          <w:rFonts w:ascii="仿宋_GB2312" w:hAnsi="黑体" w:eastAsia="仿宋_GB2312" w:cs="仿宋_GB2312"/>
          <w:b/>
          <w:bCs/>
          <w:sz w:val="32"/>
          <w:szCs w:val="32"/>
        </w:rPr>
      </w:pPr>
      <w:r>
        <w:rPr>
          <w:rFonts w:hint="eastAsia" w:ascii="仿宋_GB2312" w:hAnsi="黑体" w:eastAsia="仿宋_GB2312" w:cs="仿宋_GB2312"/>
          <w:b/>
          <w:bCs/>
          <w:sz w:val="32"/>
          <w:szCs w:val="32"/>
        </w:rPr>
        <w:t>预算项目绩效目标</w:t>
      </w:r>
    </w:p>
    <w:p>
      <w:pPr>
        <w:rPr>
          <w:rFonts w:ascii="仿宋_GB2312" w:hAnsi="黑体" w:eastAsia="仿宋_GB2312" w:cs="仿宋_GB2312"/>
          <w:b/>
          <w:bCs/>
          <w:sz w:val="32"/>
          <w:szCs w:val="32"/>
        </w:rPr>
      </w:pPr>
      <w:r>
        <w:rPr>
          <w:rFonts w:hint="eastAsia" w:ascii="仿宋_GB2312" w:hAnsi="黑体" w:eastAsia="仿宋_GB2312" w:cs="仿宋_GB2312"/>
          <w:b/>
          <w:bCs/>
          <w:sz w:val="32"/>
          <w:szCs w:val="32"/>
        </w:rPr>
        <w:t>1.村级组织办公经费</w:t>
      </w:r>
    </w:p>
    <w:tbl>
      <w:tblPr>
        <w:tblStyle w:val="7"/>
        <w:tblW w:w="9446" w:type="dxa"/>
        <w:tblInd w:w="98" w:type="dxa"/>
        <w:tblLayout w:type="fixed"/>
        <w:tblCellMar>
          <w:top w:w="0" w:type="dxa"/>
          <w:left w:w="108" w:type="dxa"/>
          <w:bottom w:w="0" w:type="dxa"/>
          <w:right w:w="108" w:type="dxa"/>
        </w:tblCellMar>
      </w:tblPr>
      <w:tblGrid>
        <w:gridCol w:w="657"/>
        <w:gridCol w:w="1094"/>
        <w:gridCol w:w="1776"/>
        <w:gridCol w:w="1043"/>
        <w:gridCol w:w="1359"/>
        <w:gridCol w:w="612"/>
        <w:gridCol w:w="1026"/>
        <w:gridCol w:w="734"/>
        <w:gridCol w:w="1145"/>
      </w:tblGrid>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资金按时全额发放到村级组织，确保村级组织办公及日常运行维护。</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发放村级组织个数</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符合政策，给予发放村级组织个数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经费发放率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实际发放村组织办公经费占计划发放经费的比率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村级组织经费发放及时率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村级组织发放金额</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每个村级组织发放金额</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&lt;=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62500.00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促进村级经济发展</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促进村级经济发展，提升经济增长率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村级运转改善情况</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村级办公及维护改善的情况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问卷调查经费发放村群众满意程度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走访群众，调查问卷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66" w:hRule="atLeast"/>
        </w:trPr>
        <w:tc>
          <w:tcPr>
            <w:tcW w:w="9446" w:type="dxa"/>
            <w:gridSpan w:val="9"/>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r>
              <w:rPr>
                <w:rFonts w:hint="eastAsia" w:ascii="宋体" w:hAnsi="宋体" w:cs="宋体"/>
                <w:b/>
                <w:bCs/>
                <w:color w:val="000000"/>
                <w:sz w:val="28"/>
                <w:szCs w:val="28"/>
              </w:rPr>
              <w:t>2.</w:t>
            </w:r>
            <w:r>
              <w:rPr>
                <w:rFonts w:hint="eastAsia" w:ascii="宋体" w:hAnsi="宋体" w:cs="宋体"/>
                <w:b/>
                <w:bCs/>
                <w:color w:val="000000"/>
                <w:kern w:val="0"/>
                <w:sz w:val="28"/>
                <w:szCs w:val="28"/>
              </w:rPr>
              <w:t>农村两委干部职务补助资金</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将全县村“两委”干部补贴分四个季度发放，按照县级部门审核的村“两委”干部考核结果发放，奖优罚劣，切实解决“干多干少、干好干坏一个样”的问题。</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补贴数量（人）</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补助的村数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补贴覆盖率(%)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已补助人数占应补助人群的比率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补贴发放率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补助金每季度按时发放</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发放金额</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季均发放金额</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补助人员改善情况</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农村两委干部生活，工作改善情况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补助人员履行职能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补助人员履行职能改善情况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9446" w:type="dxa"/>
            <w:gridSpan w:val="9"/>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r>
              <w:rPr>
                <w:rFonts w:hint="eastAsia" w:ascii="宋体" w:hAnsi="宋体" w:cs="宋体"/>
                <w:b/>
                <w:bCs/>
                <w:color w:val="000000"/>
                <w:sz w:val="28"/>
                <w:szCs w:val="28"/>
              </w:rPr>
              <w:t>3.</w:t>
            </w:r>
            <w:r>
              <w:rPr>
                <w:rFonts w:hint="eastAsia" w:ascii="宋体" w:hAnsi="宋体" w:cs="宋体"/>
                <w:b/>
                <w:bCs/>
                <w:color w:val="000000"/>
                <w:kern w:val="0"/>
                <w:sz w:val="28"/>
                <w:szCs w:val="28"/>
              </w:rPr>
              <w:t>正常离任村干部补贴资金</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ascii="Microsoft Sans Serif" w:hAnsi="Microsoft Sans Serif" w:eastAsia="Microsoft Sans Serif" w:cs="Microsoft Sans Serif"/>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及时发放四个社区离任农村支部书记、主任生活补助</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绩效指标描述（指标内容）</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评（扣）分标准</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补助个人数量（人）</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补助的人数</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计划标准</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补助覆盖率(%)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"已补助人数占应补助人群的比率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补助资金发放率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实际发放的补助金金额占计划发放金额的比率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每名离任村干部补贴资金</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每名离任支部书记、主任补助金额（年）</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3625.00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补助人群生活改善情况</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补助人群在生活、医疗、护理、教育等方面的改善情况</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补助人群稳定性</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补助人群稳定，促进社会和谐。</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5929" w:type="dxa"/>
            <w:gridSpan w:val="5"/>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color w:val="000000"/>
                <w:kern w:val="0"/>
                <w:sz w:val="28"/>
                <w:szCs w:val="28"/>
              </w:rPr>
              <w:t>4.村支书养老、医疗、人身意外保险资金</w:t>
            </w:r>
          </w:p>
        </w:tc>
        <w:tc>
          <w:tcPr>
            <w:tcW w:w="3517"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ascii="Microsoft Sans Serif" w:hAnsi="Microsoft Sans Serif" w:eastAsia="Microsoft Sans Serif" w:cs="Microsoft Sans Serif"/>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缴纳村支书养老、医疗、人身意外保险费用</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绩效指标描述（指标内容）</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评（扣）分标准</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社保缴纳数量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缴纳养老、医疗、人身意外保险的人数</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4.00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位</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社保缴纳率(%)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实际申请的资金金额占计划缴纳金额的比率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社保费按时缴纳率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社保费按时缴纳率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缴纳社保金额</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每名村支书缴纳社保金额</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9425.00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村支书家庭收入增长率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减少个人社保费缴纳，增加养老金收入</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缴纳人群生活改善情况</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缴纳人群在生活、医疗、护理、教育等方面的改善情况</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政策依据</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持续年限</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776"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359"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612"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026" w:type="dxa"/>
            <w:tcBorders>
              <w:top w:val="single" w:color="000000" w:sz="4" w:space="0"/>
              <w:left w:val="single" w:color="000000" w:sz="4" w:space="0"/>
              <w:bottom w:val="nil"/>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145"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5.服务群众专项经费</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进一步加强村级组织运转经费保障工作，提高服务群众水平</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保障村数量（个 )</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实际拨付资金村数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上级文件规定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拨付资金到位率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实际拨付服务群众专项资金到位率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资金拨付及时率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按时拨付服务群众专项资金率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拨付数额</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拨付每个村服务群众专项资金数额</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促进乡村经济发展</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保障村级经济组织正常运转，服务群众质量</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村级发展和服务群众情况</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辖区群众服务水平提高比例</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人员满意度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对象满意程度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6.村党组织活动经费</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用于支付村党组织活动经费</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发放村个数</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村党组织个数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村发放率(%)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实际发放经费占计划发放经费的比率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经费发放及时率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村党组织发放金额</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每个村党组织发放金额</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18250.00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计划标准</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经费发放村党组织领导</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经费发放村党组织领导核心作用</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经费发放村党组织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经费发放村党组织为民服务能力</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提高各级党组织战斗力</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提高各级党组织战斗力</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问卷调查经费发放村人群满意程度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7.粮画小镇社区队长补贴资金</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发放粮画小镇社区队长补贴资金</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实际发放及时率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实际发放及时率</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社区队长补贴金额</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平均每人每月发放的补贴金额</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实际发放金额</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保障社区工作按时完成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保障社区工作按时完成率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实际按时完成率</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发放补贴社区数量</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发放补贴人数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实际发放补贴社区数量</w:t>
            </w:r>
          </w:p>
        </w:tc>
      </w:tr>
      <w:tr>
        <w:tblPrEx>
          <w:tblCellMar>
            <w:top w:w="0" w:type="dxa"/>
            <w:left w:w="108" w:type="dxa"/>
            <w:bottom w:w="0" w:type="dxa"/>
            <w:right w:w="108" w:type="dxa"/>
          </w:tblCellMar>
        </w:tblPrEx>
        <w:trPr>
          <w:trHeight w:val="72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促进社区队长完成工作率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实际完成率</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项目实施对环境的影响</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项目实施对环境的影响</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节能环保</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8.乡镇分税制财政体制补助资金（含人大经费2万元）</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用于鼓励发展，促进增收</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新上马企业（个）</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落户乡镇企业数量较上年增加（个）</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资金拨付覆盖率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资金拨付覆盖率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资金按时拨放率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资金每月按时拨放</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根据实际情况发放</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完成工作需要费用成本</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完成工作需要费用成本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&lt;=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税收增长率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税收增长率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社会服务能力提升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经济发展所带来的乡镇服务社会能力提升情况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整体满意度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调查研究</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9.粮画小镇专项经费</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及时支付粮画小镇日常运转专项经费</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支付办公费用及时率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实际支付办公费用及时率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办公费用</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实际每季度支付的办公费用</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保障工作运转时间</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保障工作运转时间</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实际工作运转时间</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保障工作按时完成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工作按时完成率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实际按时完成率</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工作完成率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按照要求工作完成率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实际调查</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项目实施对环境的影响</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项目实施对环境的影响</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节能环保</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9446" w:type="dxa"/>
            <w:gridSpan w:val="9"/>
            <w:tcBorders>
              <w:top w:val="nil"/>
              <w:left w:val="nil"/>
              <w:bottom w:val="nil"/>
              <w:right w:val="nil"/>
            </w:tcBorders>
            <w:shd w:val="clear" w:color="auto" w:fill="auto"/>
            <w:noWrap/>
            <w:vAlign w:val="center"/>
          </w:tcPr>
          <w:p>
            <w:pPr>
              <w:rPr>
                <w:rFonts w:ascii="宋体" w:hAnsi="宋体" w:cs="宋体"/>
                <w:color w:val="000000"/>
                <w:sz w:val="24"/>
                <w:szCs w:val="24"/>
              </w:rPr>
            </w:pPr>
            <w:r>
              <w:rPr>
                <w:rFonts w:hint="eastAsia" w:ascii="宋体" w:hAnsi="宋体" w:cs="宋体"/>
                <w:b/>
                <w:bCs/>
                <w:color w:val="000000"/>
                <w:kern w:val="0"/>
                <w:sz w:val="28"/>
                <w:szCs w:val="28"/>
              </w:rPr>
              <w:t>10.粮画小镇党校、电视台、乡研所专项经费</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及时支付党校、电视台、乡研所运行经费</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按照要求和计划完成工作及时率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工作经费金额</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实际每月支付工作经费金额</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保障工作运转时间</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保障工作运转时间</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实际工作运转时间</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保障工作按时完工</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保障工作按时完工率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实际工作按时完工率</w:t>
            </w:r>
          </w:p>
        </w:tc>
      </w:tr>
      <w:tr>
        <w:tblPrEx>
          <w:tblCellMar>
            <w:top w:w="0" w:type="dxa"/>
            <w:left w:w="108" w:type="dxa"/>
            <w:bottom w:w="0" w:type="dxa"/>
            <w:right w:w="108" w:type="dxa"/>
          </w:tblCellMar>
        </w:tblPrEx>
        <w:trPr>
          <w:trHeight w:val="144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已支持的新媒体、全媒体项目的传播力、引导力、公信力增强效果</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反映新媒体、全媒体项目在宣传党和政府声音、传播正能量方面的报道情况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项目实施对环境的影响</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项目实施对环境的影响</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节能环保</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项目设计完成率，设计方案通过率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11.小镇节日游活动宣传经费</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小镇春节游顺利进行</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项目按时完工率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left"/>
              <w:textAlignment w:val="center"/>
              <w:rPr>
                <w:rFonts w:ascii="宋体" w:hAnsi="宋体" w:cs="宋体"/>
                <w:color w:val="000000"/>
                <w:sz w:val="18"/>
                <w:szCs w:val="18"/>
              </w:rPr>
            </w:pPr>
            <w:r>
              <w:rPr>
                <w:rFonts w:hint="eastAsia" w:ascii="宋体" w:hAnsi="宋体" w:cs="宋体"/>
                <w:color w:val="000000"/>
                <w:kern w:val="0"/>
                <w:sz w:val="18"/>
                <w:szCs w:val="18"/>
              </w:rPr>
              <w:t>项目按时完工率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项目验收合格率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项目验收合格率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活动宣传次数</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活动宣传次数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宣传经费</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实际支付宣传经费</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增加景区游客参观人次</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增加景区游客参观人次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数据统计</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提升小镇知名度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提升小镇知名度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问卷调查</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问卷调查</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12.4A级景区运维宣传资金</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ab/>
            </w:r>
            <w:r>
              <w:rPr>
                <w:rFonts w:hint="eastAsia" w:ascii="宋体" w:hAnsi="宋体" w:cs="宋体"/>
                <w:color w:val="000000"/>
                <w:kern w:val="0"/>
                <w:sz w:val="18"/>
                <w:szCs w:val="18"/>
              </w:rPr>
              <w:t>及时支付运维费用</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运维费用</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实际支付运维费用</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保障工作运转时间</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保障工作运转时间</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实际工作运转时间</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保障工作按时完工</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保障工作按时完工率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实际工作按时完工率</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增加游客数量</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实际增加的游客数量</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数据统计</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受益群众满意度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受益群众满意度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9446" w:type="dxa"/>
            <w:gridSpan w:val="9"/>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kern w:val="0"/>
                <w:sz w:val="18"/>
                <w:szCs w:val="18"/>
              </w:rPr>
            </w:pPr>
            <w:r>
              <w:rPr>
                <w:rFonts w:hint="eastAsia" w:ascii="宋体" w:hAnsi="宋体" w:cs="宋体"/>
                <w:b/>
                <w:bCs/>
                <w:color w:val="000000"/>
                <w:kern w:val="0"/>
                <w:sz w:val="28"/>
                <w:szCs w:val="28"/>
              </w:rPr>
              <w:t>13.粮画小镇景区责任险</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ascii="Microsoft Sans Serif" w:hAnsi="Microsoft Sans Serif" w:eastAsia="Microsoft Sans Serif" w:cs="Microsoft Sans Serif"/>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保障粮画小镇景区游客利益</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绩效指标描述（指标内容）</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评（扣）分标准</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购买保险数量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实际购买数量</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份</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实际查看购买数量</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购买合格率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购买合格率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支付及时率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支付及时率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根据购买金额</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实际购买金额</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根据实际购买金额</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提高游客数量增加消费率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通过游客数量增加提高增收率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核实实际消费金额</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提升小镇安全保障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通过保险提升给予游客的安全率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实地调查</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776"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359"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612"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026" w:type="dxa"/>
            <w:tcBorders>
              <w:top w:val="single" w:color="000000" w:sz="4" w:space="0"/>
              <w:left w:val="single" w:color="000000" w:sz="4" w:space="0"/>
              <w:bottom w:val="nil"/>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145"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14.粮画小镇公共水费</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及时缴纳粮画小镇景区用水费用</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支付景区水费及时率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水费</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实际每月缴纳的水费</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支付景区水费及时率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支付景区水费及时率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支付景区水费时长</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支付景区水费时长</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月</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保障景区正常用水</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保障景区正常用水</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现场调查</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增加小镇游客人次</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增加小镇游客人次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现场调查</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5929" w:type="dxa"/>
            <w:gridSpan w:val="5"/>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15.景区日常电费</w:t>
            </w:r>
          </w:p>
        </w:tc>
        <w:tc>
          <w:tcPr>
            <w:tcW w:w="3517"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ascii="Microsoft Sans Serif" w:hAnsi="Microsoft Sans Serif" w:eastAsia="Microsoft Sans Serif" w:cs="Microsoft Sans Serif"/>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及时支付粮画小镇景区电费</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绩效指标描述（指标内容）</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评（扣）分标准</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支付电费村数量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支付电费村数量</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4.00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支付电费及时率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支付电费及时率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及时率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支付及时率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电费</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实际支付电费</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用电稳定率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用电稳定率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环保节能灯</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Microsoft Sans Serif" w:hAnsi="Microsoft Sans Serif" w:eastAsia="Microsoft Sans Serif" w:cs="Microsoft Sans Serif"/>
                <w:b/>
                <w:bCs/>
                <w:color w:val="000000"/>
                <w:sz w:val="18"/>
                <w:szCs w:val="18"/>
              </w:rPr>
            </w:pPr>
            <w:r>
              <w:rPr>
                <w:rFonts w:ascii="Microsoft Sans Serif" w:hAnsi="Microsoft Sans Serif" w:eastAsia="Microsoft Sans Serif" w:cs="Microsoft Sans Serif"/>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Microsoft Sans Serif" w:hAnsi="Microsoft Sans Serif" w:eastAsia="Microsoft Sans Serif" w:cs="Microsoft Sans Serif"/>
                <w:b/>
                <w:bCs/>
                <w:color w:val="000000"/>
                <w:sz w:val="18"/>
                <w:szCs w:val="18"/>
              </w:rPr>
            </w:pPr>
          </w:p>
        </w:tc>
        <w:tc>
          <w:tcPr>
            <w:tcW w:w="1094"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776"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359"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612"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026" w:type="dxa"/>
            <w:tcBorders>
              <w:top w:val="single" w:color="000000" w:sz="4" w:space="0"/>
              <w:left w:val="single" w:color="000000" w:sz="4" w:space="0"/>
              <w:bottom w:val="nil"/>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c>
          <w:tcPr>
            <w:tcW w:w="1145"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16.挪高压电线塔征地补偿款</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及时发放补偿款</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完成项目及时率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实际完成项目及时率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征地数量</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实际征地数量</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亩</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征地成本费用</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实际平均征地成本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项目实施达标率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项目实施达标率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项目实现功能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项目实现功能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保障项目顺利实施</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环节能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受益群体满意度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17.占地补偿资金</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保证该项目占用农户土地占地补偿款发放到位</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72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补助的人数或户数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户</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补助覆盖率(%)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已补助人数占应补助人群的比率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补助金发放及时率(%)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实际发放的补助金时效情况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占地补助单价</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占地每亩单价</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&lt;=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补助人群生活改善情况</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补助人群在生活、医疗、护理、教育等方面的改善情况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问卷调查</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占地农民满意程度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问卷调查</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18.粮画小镇占地补偿资金</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保证该项目占用农户土地占地补偿款发放到位</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72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补助的人数或户数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户</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补助覆盖率(%)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已补助人数占应补助人群的比率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补助金发放及时率(%)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实际发放的补助金时效情况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占地补助单价</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占地每亩单价</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&lt;=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补助人群生活改善情况</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补助人群在生活、医疗、护理、教育等方面的改善情况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问卷调查</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占地农民满意程度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问卷调查</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19.粮画小镇宅基占地补偿资金</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及时发放农户宅基租赁补偿，保障农户生活水平</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补贴发放率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补助农民家庭数量（户）</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补助农民家庭数量（户）</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户</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工作完成及时率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工作完成及时率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平均每户补助金额</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平均每户补助金额</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根据实际情况发放</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增加小镇游客游览人次</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增加小镇游客游览人次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实际查看</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服务群体满意度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服务群体满意度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20.田园综合体占地补偿资金</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及时发放农户占地补偿，保障农户生活水平。</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租金发放率(%)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补助涉地农民家庭亩数</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补助涉地农民家庭亩数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54.16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亩</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补助覆盖率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补助覆盖率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发放数额</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发放农户补偿金额（亩）</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&lt;=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增加农户收入</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增加农户收入</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查看账本</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提高小镇知名度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提高小镇知名度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被补助涉土农户满意度(%)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21.粮画小镇迎4A景区复核核审、特色景点改造升级资金</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及时支付零星维修工程款</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实际完成工程量</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实际所需完成工程量完工率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实际核对</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工程所需成本</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实际完工工程成本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评审报告</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保障工作运转时间</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保障工作运转时间</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实际工作运转时间</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按照要求工作完成率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实际调查</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带动小镇收入</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通过粮画小镇AAAA级旅游景区的通，促进小镇收入水平逐步提高</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99.00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环节能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环节能</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提升小镇知名度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提升小镇知名度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实际受益群众的满意度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After w:val="3"/>
          <w:wAfter w:w="2905" w:type="dxa"/>
          <w:trHeight w:val="300" w:hRule="atLeast"/>
        </w:trPr>
        <w:tc>
          <w:tcPr>
            <w:tcW w:w="6541" w:type="dxa"/>
            <w:gridSpan w:val="6"/>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28"/>
                <w:szCs w:val="28"/>
              </w:rPr>
              <w:t>22.柴房线及沿村T接线工程款</w:t>
            </w:r>
          </w:p>
        </w:tc>
      </w:tr>
      <w:tr>
        <w:tblPrEx>
          <w:tblCellMar>
            <w:top w:w="0" w:type="dxa"/>
            <w:left w:w="108" w:type="dxa"/>
            <w:bottom w:w="0" w:type="dxa"/>
            <w:right w:w="108" w:type="dxa"/>
          </w:tblCellMar>
        </w:tblPrEx>
        <w:trPr>
          <w:trHeight w:val="3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目标1</w:t>
            </w:r>
          </w:p>
        </w:tc>
        <w:tc>
          <w:tcPr>
            <w:tcW w:w="76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color w:val="000000"/>
                <w:kern w:val="0"/>
                <w:sz w:val="18"/>
                <w:szCs w:val="18"/>
              </w:rPr>
              <w:t>保障尖峰旱雪项目顺利实施</w:t>
            </w:r>
          </w:p>
        </w:tc>
      </w:tr>
      <w:tr>
        <w:tblPrEx>
          <w:tblCellMar>
            <w:top w:w="0" w:type="dxa"/>
            <w:left w:w="108" w:type="dxa"/>
            <w:bottom w:w="0" w:type="dxa"/>
            <w:right w:w="108" w:type="dxa"/>
          </w:tblCellMar>
        </w:tblPrEx>
        <w:trPr>
          <w:trHeight w:val="30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指标说明</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指标确定依据</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符号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单位（文字描述）</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产出指标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新建23级水泥杆</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新建23级21米水泥杆数量</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架设150毫米输电线路</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架设150毫米输电线路数量</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公里</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保障工程质量达标率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实际工程质量达标率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保障工程按时完工率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实际工程按时完工率</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水泥杆成本</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水泥杆成本单价</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&lt;=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可持续使用年限</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实际可使用年限</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项目实现功能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项目实现功能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保障尖峰旱雪项目顺利实施</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环保节能</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政策规定</w:t>
            </w:r>
          </w:p>
        </w:tc>
      </w:tr>
      <w:tr>
        <w:tblPrEx>
          <w:tblCellMar>
            <w:top w:w="0" w:type="dxa"/>
            <w:left w:w="108" w:type="dxa"/>
            <w:bottom w:w="0" w:type="dxa"/>
            <w:right w:w="108" w:type="dxa"/>
          </w:tblCellMar>
        </w:tblPrEx>
        <w:trPr>
          <w:trHeight w:val="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服务群体满意度</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服务群体满意度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调查问卷</w:t>
            </w: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bl>
    <w:p>
      <w:pPr>
        <w:ind w:firstLine="643" w:firstLineChars="200"/>
        <w:jc w:val="center"/>
        <w:rPr>
          <w:rFonts w:ascii="仿宋_GB2312" w:hAnsi="黑体" w:eastAsia="仿宋_GB2312"/>
          <w:b/>
          <w:bCs/>
          <w:sz w:val="32"/>
          <w:szCs w:val="32"/>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sectPr>
          <w:headerReference r:id="rId3" w:type="default"/>
          <w:pgSz w:w="11907" w:h="16839"/>
          <w:pgMar w:top="1587" w:right="907" w:bottom="1587" w:left="907" w:header="851" w:footer="992" w:gutter="0"/>
          <w:cols w:space="0" w:num="1"/>
          <w:docGrid w:type="lines" w:linePitch="312" w:charSpace="0"/>
        </w:sect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cs="仿宋"/>
          <w:sz w:val="32"/>
          <w:szCs w:val="32"/>
        </w:rPr>
      </w:pPr>
      <w:bookmarkStart w:id="1"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0</w:t>
      </w:r>
      <w:r>
        <w:rPr>
          <w:rFonts w:hint="eastAsia" w:ascii="Times New Roman" w:hAnsi="Times New Roman" w:eastAsia="仿宋" w:cs="仿宋"/>
          <w:sz w:val="32"/>
          <w:szCs w:val="32"/>
        </w:rPr>
        <w:t>万</w:t>
      </w:r>
      <w:bookmarkEnd w:id="1"/>
    </w:p>
    <w:p>
      <w:pPr>
        <w:ind w:firstLine="640" w:firstLineChars="200"/>
        <w:outlineLvl w:val="0"/>
        <w:rPr>
          <w:rFonts w:ascii="Times New Roman" w:hAnsi="Times New Roman" w:eastAsia="仿宋" w:cs="仿宋"/>
          <w:sz w:val="32"/>
          <w:szCs w:val="32"/>
        </w:rPr>
      </w:pP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fldChar w:fldCharType="begin"/>
      </w:r>
      <w:r>
        <w:rPr>
          <w:rFonts w:hint="eastAsia" w:ascii="方正小标宋_GBK" w:eastAsia="方正小标宋_GBK"/>
          <w:sz w:val="32"/>
        </w:rPr>
        <w:instrText xml:space="preserve">TC </w:instrText>
      </w:r>
      <w:bookmarkStart w:id="2" w:name="_Toc28848395"/>
      <w:r>
        <w:rPr>
          <w:rFonts w:hint="eastAsia" w:ascii="方正小标宋_GBK" w:eastAsia="方正小标宋_GBK"/>
          <w:sz w:val="32"/>
        </w:rPr>
        <w:instrText xml:space="preserve">部门政府采购预算</w:instrText>
      </w:r>
      <w:bookmarkEnd w:id="2"/>
      <w:r>
        <w:rPr>
          <w:rFonts w:hint="eastAsia" w:ascii="方正小标宋_GBK" w:eastAsia="方正小标宋_GBK"/>
          <w:sz w:val="32"/>
        </w:rPr>
        <w:instrText xml:space="preserve"> \f A \l 1</w:instrText>
      </w:r>
      <w:r>
        <w:rPr>
          <w:rFonts w:ascii="方正小标宋_GBK" w:eastAsia="方正小标宋_GBK"/>
          <w:sz w:val="32"/>
        </w:rPr>
        <w:fldChar w:fldCharType="end"/>
      </w:r>
    </w:p>
    <w:p>
      <w:pPr>
        <w:ind w:firstLine="420" w:firstLineChars="200"/>
        <w:jc w:val="center"/>
        <w:outlineLvl w:val="0"/>
        <w:rPr>
          <w:rFonts w:ascii="Times New Roman" w:hAnsi="宋体"/>
          <w:sz w:val="32"/>
        </w:rPr>
      </w:pPr>
      <w:r>
        <w:fldChar w:fldCharType="begin"/>
      </w:r>
      <w:r>
        <w:rPr>
          <w:rFonts w:hint="eastAsia" w:ascii="方正小标宋_GBK" w:eastAsia="方正小标宋_GBK"/>
          <w:sz w:val="32"/>
        </w:rPr>
        <w:instrText xml:space="preserve">TC 部门政府采购预算 \f A \l 1</w:instrText>
      </w:r>
      <w:r>
        <w:rPr>
          <w:rFonts w:ascii="方正小标宋_GBK" w:eastAsia="方正小标宋_GBK"/>
          <w:sz w:val="32"/>
        </w:rPr>
        <w:fldChar w:fldCharType="end"/>
      </w:r>
    </w:p>
    <w:tbl>
      <w:tblPr>
        <w:tblStyle w:val="7"/>
        <w:tblW w:w="10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883"/>
        <w:gridCol w:w="734"/>
        <w:gridCol w:w="916"/>
        <w:gridCol w:w="512"/>
        <w:gridCol w:w="650"/>
        <w:gridCol w:w="850"/>
        <w:gridCol w:w="883"/>
        <w:gridCol w:w="967"/>
        <w:gridCol w:w="700"/>
        <w:gridCol w:w="767"/>
        <w:gridCol w:w="766"/>
        <w:gridCol w:w="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8" w:hRule="atLeast"/>
          <w:tblHeader/>
          <w:jc w:val="center"/>
        </w:trPr>
        <w:tc>
          <w:tcPr>
            <w:tcW w:w="53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551中共馆陶县粮画小镇委员会</w:t>
            </w:r>
          </w:p>
        </w:tc>
        <w:tc>
          <w:tcPr>
            <w:tcW w:w="4733"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33"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73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1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12"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65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4733"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83"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734" w:type="dxa"/>
            <w:vMerge w:val="continue"/>
            <w:vAlign w:val="center"/>
          </w:tcPr>
          <w:p>
            <w:pPr>
              <w:spacing w:line="300" w:lineRule="exact"/>
              <w:jc w:val="left"/>
              <w:outlineLvl w:val="0"/>
              <w:rPr>
                <w:rFonts w:ascii="Times New Roman" w:eastAsia="方正仿宋_GBK"/>
                <w:sz w:val="28"/>
              </w:rPr>
            </w:pPr>
          </w:p>
        </w:tc>
        <w:tc>
          <w:tcPr>
            <w:tcW w:w="916" w:type="dxa"/>
            <w:vMerge w:val="continue"/>
            <w:vAlign w:val="center"/>
          </w:tcPr>
          <w:p>
            <w:pPr>
              <w:spacing w:line="300" w:lineRule="exact"/>
              <w:jc w:val="left"/>
              <w:outlineLvl w:val="0"/>
              <w:rPr>
                <w:rFonts w:ascii="Times New Roman" w:eastAsia="方正仿宋_GBK"/>
                <w:sz w:val="28"/>
              </w:rPr>
            </w:pPr>
          </w:p>
        </w:tc>
        <w:tc>
          <w:tcPr>
            <w:tcW w:w="512" w:type="dxa"/>
            <w:vMerge w:val="continue"/>
            <w:vAlign w:val="center"/>
          </w:tcPr>
          <w:p>
            <w:pPr>
              <w:spacing w:line="300" w:lineRule="exact"/>
              <w:jc w:val="left"/>
              <w:outlineLvl w:val="0"/>
              <w:rPr>
                <w:rFonts w:ascii="Times New Roman" w:eastAsia="方正仿宋_GBK"/>
                <w:sz w:val="28"/>
              </w:rPr>
            </w:pPr>
          </w:p>
        </w:tc>
        <w:tc>
          <w:tcPr>
            <w:tcW w:w="650" w:type="dxa"/>
            <w:vMerge w:val="continue"/>
            <w:vAlign w:val="center"/>
          </w:tcPr>
          <w:p>
            <w:pPr>
              <w:spacing w:line="300" w:lineRule="exact"/>
              <w:jc w:val="left"/>
              <w:outlineLvl w:val="0"/>
              <w:rPr>
                <w:rFonts w:ascii="Times New Roman" w:eastAsia="方正仿宋_GBK"/>
                <w:sz w:val="28"/>
              </w:rPr>
            </w:pPr>
          </w:p>
        </w:tc>
        <w:tc>
          <w:tcPr>
            <w:tcW w:w="850" w:type="dxa"/>
            <w:vMerge w:val="continue"/>
            <w:vAlign w:val="center"/>
          </w:tcPr>
          <w:p>
            <w:pPr>
              <w:spacing w:line="300" w:lineRule="exact"/>
              <w:jc w:val="left"/>
              <w:outlineLvl w:val="0"/>
              <w:rPr>
                <w:rFonts w:ascii="Times New Roman" w:eastAsia="方正仿宋_GBK"/>
                <w:sz w:val="28"/>
              </w:rPr>
            </w:pPr>
          </w:p>
        </w:tc>
        <w:tc>
          <w:tcPr>
            <w:tcW w:w="88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7"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00"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67"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76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50"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883" w:type="dxa"/>
            <w:vAlign w:val="center"/>
          </w:tcPr>
          <w:p>
            <w:pPr>
              <w:spacing w:line="300" w:lineRule="exact"/>
              <w:jc w:val="right"/>
              <w:rPr>
                <w:rFonts w:ascii="方正书宋_GBK" w:eastAsia="方正书宋_GBK"/>
                <w:b/>
              </w:rPr>
            </w:pPr>
          </w:p>
        </w:tc>
        <w:tc>
          <w:tcPr>
            <w:tcW w:w="734" w:type="dxa"/>
            <w:vAlign w:val="center"/>
          </w:tcPr>
          <w:p>
            <w:pPr>
              <w:spacing w:line="300" w:lineRule="exact"/>
              <w:jc w:val="left"/>
              <w:rPr>
                <w:rFonts w:ascii="方正书宋_GBK" w:eastAsia="方正书宋_GBK"/>
                <w:b/>
              </w:rPr>
            </w:pPr>
          </w:p>
        </w:tc>
        <w:tc>
          <w:tcPr>
            <w:tcW w:w="916" w:type="dxa"/>
            <w:vAlign w:val="center"/>
          </w:tcPr>
          <w:p>
            <w:pPr>
              <w:spacing w:line="300" w:lineRule="exact"/>
              <w:jc w:val="left"/>
              <w:rPr>
                <w:rFonts w:ascii="方正书宋_GBK" w:eastAsia="方正书宋_GBK"/>
                <w:b/>
              </w:rPr>
            </w:pPr>
          </w:p>
        </w:tc>
        <w:tc>
          <w:tcPr>
            <w:tcW w:w="512" w:type="dxa"/>
            <w:vAlign w:val="center"/>
          </w:tcPr>
          <w:p>
            <w:pPr>
              <w:spacing w:line="300" w:lineRule="exact"/>
              <w:jc w:val="left"/>
              <w:rPr>
                <w:rFonts w:ascii="方正书宋_GBK" w:eastAsia="方正书宋_GBK"/>
                <w:b/>
              </w:rPr>
            </w:pPr>
          </w:p>
        </w:tc>
        <w:tc>
          <w:tcPr>
            <w:tcW w:w="650"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83" w:type="dxa"/>
            <w:vAlign w:val="center"/>
          </w:tcPr>
          <w:p>
            <w:pPr>
              <w:adjustRightInd w:val="0"/>
              <w:snapToGrid w:val="0"/>
              <w:jc w:val="right"/>
              <w:rPr>
                <w:rFonts w:ascii="方正书宋_GBK" w:hAnsi="宋体" w:eastAsia="方正书宋_GBK" w:cs="宋体"/>
                <w:b/>
                <w:bCs/>
                <w:color w:val="000000"/>
              </w:rPr>
            </w:pPr>
          </w:p>
        </w:tc>
        <w:tc>
          <w:tcPr>
            <w:tcW w:w="967" w:type="dxa"/>
            <w:vAlign w:val="center"/>
          </w:tcPr>
          <w:p>
            <w:pPr>
              <w:adjustRightInd w:val="0"/>
              <w:snapToGrid w:val="0"/>
              <w:jc w:val="right"/>
              <w:rPr>
                <w:rFonts w:ascii="方正书宋_GBK" w:hAnsi="宋体" w:eastAsia="方正书宋_GBK" w:cs="宋体"/>
                <w:b/>
                <w:bCs/>
                <w:color w:val="000000"/>
              </w:rPr>
            </w:pPr>
          </w:p>
        </w:tc>
        <w:tc>
          <w:tcPr>
            <w:tcW w:w="700" w:type="dxa"/>
            <w:vAlign w:val="center"/>
          </w:tcPr>
          <w:p>
            <w:pPr>
              <w:spacing w:line="300" w:lineRule="exact"/>
              <w:jc w:val="right"/>
              <w:rPr>
                <w:rFonts w:ascii="方正书宋_GBK" w:eastAsia="方正书宋_GBK"/>
                <w:b/>
              </w:rPr>
            </w:pPr>
          </w:p>
        </w:tc>
        <w:tc>
          <w:tcPr>
            <w:tcW w:w="767" w:type="dxa"/>
            <w:vAlign w:val="center"/>
          </w:tcPr>
          <w:p>
            <w:pPr>
              <w:spacing w:line="300" w:lineRule="exact"/>
              <w:jc w:val="right"/>
              <w:rPr>
                <w:rFonts w:ascii="方正书宋_GBK" w:eastAsia="方正书宋_GBK"/>
                <w:b/>
              </w:rPr>
            </w:pPr>
          </w:p>
        </w:tc>
        <w:tc>
          <w:tcPr>
            <w:tcW w:w="766" w:type="dxa"/>
            <w:vAlign w:val="center"/>
          </w:tcPr>
          <w:p>
            <w:pPr>
              <w:spacing w:line="300" w:lineRule="exact"/>
              <w:jc w:val="right"/>
              <w:rPr>
                <w:rFonts w:ascii="方正书宋_GBK" w:eastAsia="方正书宋_GBK"/>
                <w:b/>
              </w:rPr>
            </w:pPr>
          </w:p>
        </w:tc>
        <w:tc>
          <w:tcPr>
            <w:tcW w:w="65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50" w:type="dxa"/>
            <w:vAlign w:val="center"/>
          </w:tcPr>
          <w:p>
            <w:pPr>
              <w:spacing w:line="300" w:lineRule="exact"/>
              <w:jc w:val="center"/>
              <w:rPr>
                <w:rFonts w:ascii="方正书宋_GBK" w:eastAsia="方正书宋_GBK"/>
                <w:b/>
              </w:rPr>
            </w:pPr>
          </w:p>
        </w:tc>
        <w:tc>
          <w:tcPr>
            <w:tcW w:w="883" w:type="dxa"/>
            <w:vAlign w:val="center"/>
          </w:tcPr>
          <w:p>
            <w:pPr>
              <w:spacing w:line="300" w:lineRule="exact"/>
              <w:jc w:val="right"/>
              <w:rPr>
                <w:rFonts w:ascii="方正书宋_GBK" w:eastAsia="方正书宋_GBK"/>
                <w:b/>
              </w:rPr>
            </w:pPr>
          </w:p>
        </w:tc>
        <w:tc>
          <w:tcPr>
            <w:tcW w:w="734" w:type="dxa"/>
            <w:vAlign w:val="center"/>
          </w:tcPr>
          <w:p>
            <w:pPr>
              <w:spacing w:line="300" w:lineRule="exact"/>
              <w:jc w:val="left"/>
              <w:rPr>
                <w:rFonts w:ascii="方正书宋_GBK" w:eastAsia="方正书宋_GBK"/>
                <w:b/>
              </w:rPr>
            </w:pPr>
          </w:p>
        </w:tc>
        <w:tc>
          <w:tcPr>
            <w:tcW w:w="916" w:type="dxa"/>
            <w:vAlign w:val="center"/>
          </w:tcPr>
          <w:p>
            <w:pPr>
              <w:spacing w:line="300" w:lineRule="exact"/>
              <w:jc w:val="left"/>
              <w:rPr>
                <w:rFonts w:ascii="方正书宋_GBK" w:eastAsia="方正书宋_GBK"/>
                <w:b/>
              </w:rPr>
            </w:pPr>
          </w:p>
        </w:tc>
        <w:tc>
          <w:tcPr>
            <w:tcW w:w="512" w:type="dxa"/>
            <w:vAlign w:val="center"/>
          </w:tcPr>
          <w:p>
            <w:pPr>
              <w:spacing w:line="300" w:lineRule="exact"/>
              <w:jc w:val="left"/>
              <w:rPr>
                <w:rFonts w:ascii="方正书宋_GBK" w:eastAsia="方正书宋_GBK"/>
                <w:b/>
              </w:rPr>
            </w:pPr>
          </w:p>
        </w:tc>
        <w:tc>
          <w:tcPr>
            <w:tcW w:w="650"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83" w:type="dxa"/>
            <w:vAlign w:val="center"/>
          </w:tcPr>
          <w:p>
            <w:pPr>
              <w:adjustRightInd w:val="0"/>
              <w:snapToGrid w:val="0"/>
              <w:jc w:val="right"/>
              <w:rPr>
                <w:rFonts w:ascii="方正书宋_GBK" w:hAnsi="宋体" w:eastAsia="方正书宋_GBK" w:cs="宋体"/>
                <w:b/>
                <w:bCs/>
                <w:color w:val="000000"/>
              </w:rPr>
            </w:pPr>
          </w:p>
        </w:tc>
        <w:tc>
          <w:tcPr>
            <w:tcW w:w="967" w:type="dxa"/>
            <w:vAlign w:val="center"/>
          </w:tcPr>
          <w:p>
            <w:pPr>
              <w:adjustRightInd w:val="0"/>
              <w:snapToGrid w:val="0"/>
              <w:jc w:val="right"/>
              <w:rPr>
                <w:rFonts w:ascii="方正书宋_GBK" w:hAnsi="宋体" w:eastAsia="方正书宋_GBK" w:cs="宋体"/>
                <w:b/>
                <w:bCs/>
                <w:color w:val="000000"/>
              </w:rPr>
            </w:pPr>
          </w:p>
        </w:tc>
        <w:tc>
          <w:tcPr>
            <w:tcW w:w="700" w:type="dxa"/>
            <w:vAlign w:val="center"/>
          </w:tcPr>
          <w:p>
            <w:pPr>
              <w:spacing w:line="300" w:lineRule="exact"/>
              <w:jc w:val="right"/>
              <w:rPr>
                <w:rFonts w:ascii="方正书宋_GBK" w:eastAsia="方正书宋_GBK"/>
                <w:b/>
              </w:rPr>
            </w:pPr>
          </w:p>
        </w:tc>
        <w:tc>
          <w:tcPr>
            <w:tcW w:w="767" w:type="dxa"/>
            <w:vAlign w:val="center"/>
          </w:tcPr>
          <w:p>
            <w:pPr>
              <w:spacing w:line="300" w:lineRule="exact"/>
              <w:jc w:val="right"/>
              <w:rPr>
                <w:rFonts w:ascii="方正书宋_GBK" w:eastAsia="方正书宋_GBK"/>
                <w:b/>
              </w:rPr>
            </w:pPr>
          </w:p>
        </w:tc>
        <w:tc>
          <w:tcPr>
            <w:tcW w:w="766" w:type="dxa"/>
            <w:vAlign w:val="center"/>
          </w:tcPr>
          <w:p>
            <w:pPr>
              <w:spacing w:line="300" w:lineRule="exact"/>
              <w:jc w:val="right"/>
              <w:rPr>
                <w:rFonts w:ascii="方正书宋_GBK" w:eastAsia="方正书宋_GBK"/>
                <w:b/>
              </w:rPr>
            </w:pPr>
          </w:p>
        </w:tc>
        <w:tc>
          <w:tcPr>
            <w:tcW w:w="650" w:type="dxa"/>
            <w:vAlign w:val="center"/>
          </w:tcPr>
          <w:p>
            <w:pPr>
              <w:spacing w:line="300" w:lineRule="exact"/>
              <w:jc w:val="right"/>
              <w:rPr>
                <w:rFonts w:ascii="方正书宋_GBK" w:eastAsia="方正书宋_GBK"/>
                <w:b/>
              </w:rPr>
            </w:pPr>
          </w:p>
        </w:tc>
      </w:tr>
    </w:tbl>
    <w:p>
      <w:pPr>
        <w:autoSpaceDE w:val="0"/>
        <w:autoSpaceDN w:val="0"/>
        <w:adjustRightInd w:val="0"/>
        <w:jc w:val="left"/>
        <w:rPr>
          <w:rFonts w:ascii="宋体" w:hAnsi="宋体"/>
          <w:b/>
          <w:sz w:val="32"/>
          <w:szCs w:val="32"/>
        </w:rPr>
      </w:pPr>
    </w:p>
    <w:p>
      <w:pPr>
        <w:ind w:firstLine="420" w:firstLineChars="200"/>
        <w:outlineLvl w:val="0"/>
        <w:sectPr>
          <w:pgSz w:w="11907" w:h="16839"/>
          <w:pgMar w:top="1021" w:right="1361" w:bottom="1021" w:left="1361" w:header="851" w:footer="992" w:gutter="0"/>
          <w:cols w:space="720" w:num="1"/>
          <w:docGrid w:type="lines" w:linePitch="312" w:charSpace="0"/>
        </w:sectPr>
      </w:pPr>
      <w:r>
        <w:rPr>
          <w:rFonts w:hint="eastAsia"/>
        </w:rPr>
        <w:t>注：无政府采购预算，空表列示</w:t>
      </w: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rPr>
        <w:t>中共粮画小镇党委</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rPr>
        <w:t>84.46</w:t>
      </w:r>
      <w:r>
        <w:rPr>
          <w:rFonts w:hint="eastAsia" w:ascii="Times New Roman" w:hAnsi="Times New Roman" w:eastAsia="仿宋" w:cs="仿宋"/>
          <w:color w:val="000000"/>
          <w:sz w:val="32"/>
          <w:szCs w:val="32"/>
        </w:rPr>
        <w:t>万元（详见下表）。</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河北省部门固定资产占用情况表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编制部门：馆陶县中共粮画小镇</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rPr>
            </w:pPr>
            <w:r>
              <w:rPr>
                <w:rFonts w:hint="eastAsia" w:ascii="宋体" w:hAnsi="宋体" w:eastAsia="仿宋" w:cs="宋体"/>
                <w:b/>
                <w:bCs/>
                <w:kern w:val="0"/>
                <w:sz w:val="22"/>
                <w:szCs w:val="22"/>
              </w:rPr>
              <w:t>84.46</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tcPr>
          <w:p>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tcPr>
          <w:p>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tcPr>
          <w:p>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84.46</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1002AFF" w:usb1="C0000002" w:usb2="00000008"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A4535"/>
    <w:multiLevelType w:val="singleLevel"/>
    <w:tmpl w:val="330A4535"/>
    <w:lvl w:ilvl="0" w:tentative="0">
      <w:start w:val="3"/>
      <w:numFmt w:val="chineseCounting"/>
      <w:suff w:val="space"/>
      <w:lvlText w:val="第%1部分"/>
      <w:lvlJc w:val="left"/>
      <w:rPr>
        <w:rFonts w:hint="eastAsia"/>
      </w:rPr>
    </w:lvl>
  </w:abstractNum>
  <w:abstractNum w:abstractNumId="1">
    <w:nsid w:val="5ABD1509"/>
    <w:multiLevelType w:val="singleLevel"/>
    <w:tmpl w:val="5ABD1509"/>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GZlMDQzZjY2MjFlMGE0ZDYwZDc4NjBjNTBkNGEwNTEifQ=="/>
  </w:docVars>
  <w:rsids>
    <w:rsidRoot w:val="00C67CC4"/>
    <w:rsid w:val="0000235E"/>
    <w:rsid w:val="0001346A"/>
    <w:rsid w:val="00014594"/>
    <w:rsid w:val="000219F0"/>
    <w:rsid w:val="0003098B"/>
    <w:rsid w:val="00043DE9"/>
    <w:rsid w:val="0009251C"/>
    <w:rsid w:val="000E5AE1"/>
    <w:rsid w:val="000F45E9"/>
    <w:rsid w:val="001251E6"/>
    <w:rsid w:val="00130DC4"/>
    <w:rsid w:val="0015306D"/>
    <w:rsid w:val="001652E2"/>
    <w:rsid w:val="001D4B26"/>
    <w:rsid w:val="001E4CD0"/>
    <w:rsid w:val="00240ED3"/>
    <w:rsid w:val="00273E7D"/>
    <w:rsid w:val="002B4EAB"/>
    <w:rsid w:val="002B7066"/>
    <w:rsid w:val="002C2891"/>
    <w:rsid w:val="00320ED8"/>
    <w:rsid w:val="00331F08"/>
    <w:rsid w:val="00355582"/>
    <w:rsid w:val="003962A8"/>
    <w:rsid w:val="003B446C"/>
    <w:rsid w:val="003C262F"/>
    <w:rsid w:val="003E491B"/>
    <w:rsid w:val="003F0952"/>
    <w:rsid w:val="004074F2"/>
    <w:rsid w:val="004740B0"/>
    <w:rsid w:val="00483873"/>
    <w:rsid w:val="004B0D2D"/>
    <w:rsid w:val="0051597D"/>
    <w:rsid w:val="00556C00"/>
    <w:rsid w:val="00582027"/>
    <w:rsid w:val="00583A76"/>
    <w:rsid w:val="005D69FB"/>
    <w:rsid w:val="005E015D"/>
    <w:rsid w:val="00606439"/>
    <w:rsid w:val="00641BF0"/>
    <w:rsid w:val="00650C20"/>
    <w:rsid w:val="0069085E"/>
    <w:rsid w:val="006B5D48"/>
    <w:rsid w:val="006D0C4D"/>
    <w:rsid w:val="006D108D"/>
    <w:rsid w:val="00720FCB"/>
    <w:rsid w:val="0074453E"/>
    <w:rsid w:val="007558D5"/>
    <w:rsid w:val="007602E7"/>
    <w:rsid w:val="00782811"/>
    <w:rsid w:val="00786F00"/>
    <w:rsid w:val="007B3EC5"/>
    <w:rsid w:val="007B4E99"/>
    <w:rsid w:val="007D0F19"/>
    <w:rsid w:val="007E57D1"/>
    <w:rsid w:val="008020D3"/>
    <w:rsid w:val="008241FD"/>
    <w:rsid w:val="00836ABF"/>
    <w:rsid w:val="0085238C"/>
    <w:rsid w:val="00872978"/>
    <w:rsid w:val="00881657"/>
    <w:rsid w:val="0088640D"/>
    <w:rsid w:val="00892D2A"/>
    <w:rsid w:val="00894C41"/>
    <w:rsid w:val="008A55E4"/>
    <w:rsid w:val="008B0AD8"/>
    <w:rsid w:val="008C7AE8"/>
    <w:rsid w:val="008D3074"/>
    <w:rsid w:val="009016FA"/>
    <w:rsid w:val="0091172F"/>
    <w:rsid w:val="00924FD2"/>
    <w:rsid w:val="00925888"/>
    <w:rsid w:val="00962CFA"/>
    <w:rsid w:val="009A13BC"/>
    <w:rsid w:val="009D5551"/>
    <w:rsid w:val="00A03C5A"/>
    <w:rsid w:val="00A11D46"/>
    <w:rsid w:val="00A5157D"/>
    <w:rsid w:val="00AA65ED"/>
    <w:rsid w:val="00AD227F"/>
    <w:rsid w:val="00B24CF2"/>
    <w:rsid w:val="00B25B65"/>
    <w:rsid w:val="00B33B66"/>
    <w:rsid w:val="00B7697B"/>
    <w:rsid w:val="00B94342"/>
    <w:rsid w:val="00BA1ABE"/>
    <w:rsid w:val="00BA4997"/>
    <w:rsid w:val="00BC77B2"/>
    <w:rsid w:val="00BD076A"/>
    <w:rsid w:val="00BD25D4"/>
    <w:rsid w:val="00C26DBB"/>
    <w:rsid w:val="00C30770"/>
    <w:rsid w:val="00C44047"/>
    <w:rsid w:val="00C530B5"/>
    <w:rsid w:val="00C62C69"/>
    <w:rsid w:val="00C67CC4"/>
    <w:rsid w:val="00C82A78"/>
    <w:rsid w:val="00C96FAB"/>
    <w:rsid w:val="00CB674B"/>
    <w:rsid w:val="00CE6CF0"/>
    <w:rsid w:val="00D57139"/>
    <w:rsid w:val="00D60521"/>
    <w:rsid w:val="00D86CDE"/>
    <w:rsid w:val="00DA3BBD"/>
    <w:rsid w:val="00DB7B59"/>
    <w:rsid w:val="00E0632F"/>
    <w:rsid w:val="00E17CC8"/>
    <w:rsid w:val="00E324F3"/>
    <w:rsid w:val="00E348C2"/>
    <w:rsid w:val="00E91E5C"/>
    <w:rsid w:val="00EC3484"/>
    <w:rsid w:val="00EC3709"/>
    <w:rsid w:val="00ED6FC7"/>
    <w:rsid w:val="00EE442D"/>
    <w:rsid w:val="00F25DE0"/>
    <w:rsid w:val="00F272A4"/>
    <w:rsid w:val="00F53D94"/>
    <w:rsid w:val="00F5755A"/>
    <w:rsid w:val="00F601EC"/>
    <w:rsid w:val="00F7075C"/>
    <w:rsid w:val="00FA2238"/>
    <w:rsid w:val="00FA5AAA"/>
    <w:rsid w:val="00FC70B1"/>
    <w:rsid w:val="00FE49BC"/>
    <w:rsid w:val="022A3F5D"/>
    <w:rsid w:val="04C57A43"/>
    <w:rsid w:val="083551E4"/>
    <w:rsid w:val="15422E27"/>
    <w:rsid w:val="18437F9A"/>
    <w:rsid w:val="1F082F44"/>
    <w:rsid w:val="22231296"/>
    <w:rsid w:val="291A5277"/>
    <w:rsid w:val="2AEC4BD5"/>
    <w:rsid w:val="2AEC5E58"/>
    <w:rsid w:val="2CA6342D"/>
    <w:rsid w:val="2E9105EC"/>
    <w:rsid w:val="3CB70C54"/>
    <w:rsid w:val="48CE6DAD"/>
    <w:rsid w:val="48DC524E"/>
    <w:rsid w:val="49335895"/>
    <w:rsid w:val="54FA3E45"/>
    <w:rsid w:val="5DAB2727"/>
    <w:rsid w:val="7C382B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4"/>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llowedHyperlink"/>
    <w:semiHidden/>
    <w:unhideWhenUsed/>
    <w:qFormat/>
    <w:uiPriority w:val="99"/>
    <w:rPr>
      <w:color w:val="800080"/>
      <w:u w:val="single"/>
    </w:rPr>
  </w:style>
  <w:style w:type="character" w:styleId="10">
    <w:name w:val="Hyperlink"/>
    <w:semiHidden/>
    <w:unhideWhenUsed/>
    <w:qFormat/>
    <w:uiPriority w:val="99"/>
    <w:rPr>
      <w:color w:val="0000FF"/>
      <w:u w:val="single"/>
    </w:rPr>
  </w:style>
  <w:style w:type="character" w:styleId="11">
    <w:name w:val="footnote reference"/>
    <w:semiHidden/>
    <w:qFormat/>
    <w:uiPriority w:val="99"/>
    <w:rPr>
      <w:vertAlign w:val="superscript"/>
    </w:rPr>
  </w:style>
  <w:style w:type="character" w:customStyle="1" w:styleId="12">
    <w:name w:val="页脚 Char"/>
    <w:link w:val="2"/>
    <w:semiHidden/>
    <w:locked/>
    <w:uiPriority w:val="99"/>
    <w:rPr>
      <w:rFonts w:ascii="Times New Roman" w:hAnsi="Times New Roman" w:eastAsia="宋体" w:cs="Times New Roman"/>
      <w:sz w:val="18"/>
      <w:szCs w:val="18"/>
    </w:rPr>
  </w:style>
  <w:style w:type="character" w:customStyle="1" w:styleId="13">
    <w:name w:val="页眉 Char"/>
    <w:link w:val="3"/>
    <w:semiHidden/>
    <w:qFormat/>
    <w:locked/>
    <w:uiPriority w:val="99"/>
    <w:rPr>
      <w:rFonts w:ascii="Times New Roman" w:hAnsi="Times New Roman" w:eastAsia="宋体" w:cs="Times New Roman"/>
      <w:sz w:val="18"/>
      <w:szCs w:val="18"/>
    </w:rPr>
  </w:style>
  <w:style w:type="character" w:customStyle="1" w:styleId="14">
    <w:name w:val="脚注文本 Char"/>
    <w:link w:val="5"/>
    <w:semiHidden/>
    <w:qFormat/>
    <w:locked/>
    <w:uiPriority w:val="99"/>
    <w:rPr>
      <w:rFonts w:ascii="Calibri" w:hAnsi="Calibri" w:cs="Calibri"/>
      <w:sz w:val="18"/>
      <w:szCs w:val="18"/>
    </w:rPr>
  </w:style>
  <w:style w:type="paragraph" w:customStyle="1" w:styleId="15">
    <w:name w:val="Char"/>
    <w:basedOn w:val="1"/>
    <w:qFormat/>
    <w:uiPriority w:val="99"/>
    <w:rPr>
      <w:rFonts w:ascii="Times New Roman" w:hAnsi="Times New Roman" w:cs="Times New Roman"/>
    </w:rPr>
  </w:style>
  <w:style w:type="character" w:customStyle="1" w:styleId="16">
    <w:name w:val="页码1"/>
    <w:qFormat/>
    <w:uiPriority w:val="99"/>
  </w:style>
  <w:style w:type="paragraph" w:customStyle="1" w:styleId="17">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EF9047-F505-411E-8CE1-8EBC4D33E90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2763</Words>
  <Characters>15753</Characters>
  <Lines>131</Lines>
  <Paragraphs>36</Paragraphs>
  <TotalTime>10</TotalTime>
  <ScaleCrop>false</ScaleCrop>
  <LinksUpToDate>false</LinksUpToDate>
  <CharactersWithSpaces>18480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2023-11-17T07:56:35Z</dcterms:modified>
  <dc:title>o</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31FD1C2FB03A42AC8C8F7A7CCFE1D437</vt:lpwstr>
  </property>
</Properties>
</file>