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14789"/>
        </w:tabs>
        <w:ind w:left="480" w:leftChars="200"/>
        <w:jc w:val="center"/>
      </w:pPr>
      <w:bookmarkStart w:id="0" w:name="_Toc_4_4_0000000019"/>
      <w:r>
        <w:rPr>
          <w:rFonts w:hint="eastAsia" w:ascii="方正小标宋_GBK" w:hAnsi="方正小标宋_GBK" w:eastAsia="方正小标宋_GBK" w:cs="方正小标宋_GBK"/>
          <w:color w:val="000000"/>
          <w:sz w:val="44"/>
        </w:rPr>
        <w:t>一、馆陶县教育体育局本级收支预算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1780500.00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1556600.00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57500.00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1780500.00</w:t>
            </w:r>
          </w:p>
        </w:tc>
        <w:tc>
          <w:tcPr>
            <w:tcW w:w="4535" w:type="dxa"/>
            <w:vAlign w:val="center"/>
          </w:tcPr>
          <w:p>
            <w:pPr>
              <w:pStyle w:val="18"/>
            </w:pPr>
            <w:r>
              <w:rPr>
                <w:rFonts w:hint="eastAsia"/>
              </w:rPr>
              <w:t>本年支出合计</w:t>
            </w:r>
          </w:p>
        </w:tc>
        <w:tc>
          <w:tcPr>
            <w:tcW w:w="2126" w:type="dxa"/>
            <w:vAlign w:val="center"/>
          </w:tcPr>
          <w:p>
            <w:pPr>
              <w:pStyle w:val="19"/>
            </w:pPr>
            <w:r>
              <w:t>1780500.00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1780500.00</w:t>
            </w:r>
          </w:p>
        </w:tc>
        <w:tc>
          <w:tcPr>
            <w:tcW w:w="4535" w:type="dxa"/>
            <w:vAlign w:val="center"/>
          </w:tcPr>
          <w:p>
            <w:pPr>
              <w:pStyle w:val="18"/>
            </w:pPr>
            <w:r>
              <w:rPr>
                <w:rFonts w:hint="eastAsia"/>
              </w:rPr>
              <w:t>支出总计</w:t>
            </w:r>
          </w:p>
        </w:tc>
        <w:tc>
          <w:tcPr>
            <w:tcW w:w="2126" w:type="dxa"/>
            <w:vAlign w:val="center"/>
          </w:tcPr>
          <w:p>
            <w:pPr>
              <w:pStyle w:val="19"/>
            </w:pPr>
            <w:r>
              <w:t>1780500.00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1780500.00</w:t>
            </w:r>
          </w:p>
        </w:tc>
        <w:tc>
          <w:tcPr>
            <w:tcW w:w="1134" w:type="dxa"/>
            <w:vAlign w:val="center"/>
          </w:tcPr>
          <w:p>
            <w:pPr>
              <w:pStyle w:val="19"/>
            </w:pPr>
            <w:r>
              <w:t>1780500.00</w:t>
            </w:r>
          </w:p>
        </w:tc>
        <w:tc>
          <w:tcPr>
            <w:tcW w:w="1134" w:type="dxa"/>
            <w:vAlign w:val="center"/>
          </w:tcPr>
          <w:p>
            <w:pPr>
              <w:pStyle w:val="19"/>
            </w:pPr>
            <w:r>
              <w:t>1780500.00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1556600.00</w:t>
            </w:r>
          </w:p>
        </w:tc>
        <w:tc>
          <w:tcPr>
            <w:tcW w:w="1134" w:type="dxa"/>
            <w:vAlign w:val="center"/>
          </w:tcPr>
          <w:p>
            <w:pPr>
              <w:pStyle w:val="15"/>
            </w:pPr>
            <w:r>
              <w:t>1556600.00</w:t>
            </w:r>
          </w:p>
        </w:tc>
        <w:tc>
          <w:tcPr>
            <w:tcW w:w="1134" w:type="dxa"/>
            <w:vAlign w:val="center"/>
          </w:tcPr>
          <w:p>
            <w:pPr>
              <w:pStyle w:val="15"/>
            </w:pPr>
            <w:r>
              <w:t>1556600.00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20501</w:t>
            </w:r>
          </w:p>
        </w:tc>
        <w:tc>
          <w:tcPr>
            <w:tcW w:w="1559" w:type="dxa"/>
            <w:vAlign w:val="center"/>
          </w:tcPr>
          <w:p>
            <w:pPr>
              <w:pStyle w:val="16"/>
            </w:pPr>
            <w:r>
              <w:rPr>
                <w:rFonts w:hint="eastAsia"/>
              </w:rPr>
              <w:t>教育管理事务</w:t>
            </w:r>
          </w:p>
        </w:tc>
        <w:tc>
          <w:tcPr>
            <w:tcW w:w="1134" w:type="dxa"/>
            <w:vAlign w:val="center"/>
          </w:tcPr>
          <w:p>
            <w:pPr>
              <w:pStyle w:val="15"/>
            </w:pPr>
            <w:r>
              <w:t>1556600.00</w:t>
            </w:r>
          </w:p>
        </w:tc>
        <w:tc>
          <w:tcPr>
            <w:tcW w:w="1134" w:type="dxa"/>
            <w:vAlign w:val="center"/>
          </w:tcPr>
          <w:p>
            <w:pPr>
              <w:pStyle w:val="15"/>
            </w:pPr>
            <w:r>
              <w:t>1556600.00</w:t>
            </w:r>
          </w:p>
        </w:tc>
        <w:tc>
          <w:tcPr>
            <w:tcW w:w="1134" w:type="dxa"/>
            <w:vAlign w:val="center"/>
          </w:tcPr>
          <w:p>
            <w:pPr>
              <w:pStyle w:val="15"/>
            </w:pPr>
            <w:r>
              <w:t>1556600.00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2050101</w:t>
            </w:r>
          </w:p>
        </w:tc>
        <w:tc>
          <w:tcPr>
            <w:tcW w:w="1559" w:type="dxa"/>
            <w:vAlign w:val="center"/>
          </w:tcPr>
          <w:p>
            <w:pPr>
              <w:pStyle w:val="16"/>
            </w:pPr>
            <w:r>
              <w:rPr>
                <w:rFonts w:hint="eastAsia"/>
              </w:rPr>
              <w:t>行政运行</w:t>
            </w:r>
          </w:p>
        </w:tc>
        <w:tc>
          <w:tcPr>
            <w:tcW w:w="1134" w:type="dxa"/>
            <w:vAlign w:val="center"/>
          </w:tcPr>
          <w:p>
            <w:pPr>
              <w:pStyle w:val="15"/>
            </w:pPr>
            <w:r>
              <w:t>1556600.00</w:t>
            </w:r>
          </w:p>
        </w:tc>
        <w:tc>
          <w:tcPr>
            <w:tcW w:w="1134" w:type="dxa"/>
            <w:vAlign w:val="center"/>
          </w:tcPr>
          <w:p>
            <w:pPr>
              <w:pStyle w:val="15"/>
            </w:pPr>
            <w:r>
              <w:t>1556600.00</w:t>
            </w:r>
          </w:p>
        </w:tc>
        <w:tc>
          <w:tcPr>
            <w:tcW w:w="1134" w:type="dxa"/>
            <w:vAlign w:val="center"/>
          </w:tcPr>
          <w:p>
            <w:pPr>
              <w:pStyle w:val="15"/>
            </w:pPr>
            <w:r>
              <w:t>1556600.00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122400.00</w:t>
            </w:r>
          </w:p>
        </w:tc>
        <w:tc>
          <w:tcPr>
            <w:tcW w:w="1134" w:type="dxa"/>
            <w:vAlign w:val="center"/>
          </w:tcPr>
          <w:p>
            <w:pPr>
              <w:pStyle w:val="15"/>
            </w:pPr>
            <w:r>
              <w:t>122400.00</w:t>
            </w:r>
          </w:p>
        </w:tc>
        <w:tc>
          <w:tcPr>
            <w:tcW w:w="1134" w:type="dxa"/>
            <w:vAlign w:val="center"/>
          </w:tcPr>
          <w:p>
            <w:pPr>
              <w:pStyle w:val="15"/>
            </w:pPr>
            <w:r>
              <w:t>122400.00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122400.00</w:t>
            </w:r>
          </w:p>
        </w:tc>
        <w:tc>
          <w:tcPr>
            <w:tcW w:w="1134" w:type="dxa"/>
            <w:vAlign w:val="center"/>
          </w:tcPr>
          <w:p>
            <w:pPr>
              <w:pStyle w:val="15"/>
            </w:pPr>
            <w:r>
              <w:t>122400.00</w:t>
            </w:r>
          </w:p>
        </w:tc>
        <w:tc>
          <w:tcPr>
            <w:tcW w:w="1134" w:type="dxa"/>
            <w:vAlign w:val="center"/>
          </w:tcPr>
          <w:p>
            <w:pPr>
              <w:pStyle w:val="15"/>
            </w:pPr>
            <w:r>
              <w:t>122400.00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81600.00</w:t>
            </w:r>
          </w:p>
        </w:tc>
        <w:tc>
          <w:tcPr>
            <w:tcW w:w="1134" w:type="dxa"/>
            <w:vAlign w:val="center"/>
          </w:tcPr>
          <w:p>
            <w:pPr>
              <w:pStyle w:val="15"/>
            </w:pPr>
            <w:r>
              <w:t>81600.00</w:t>
            </w:r>
          </w:p>
        </w:tc>
        <w:tc>
          <w:tcPr>
            <w:tcW w:w="1134" w:type="dxa"/>
            <w:vAlign w:val="center"/>
          </w:tcPr>
          <w:p>
            <w:pPr>
              <w:pStyle w:val="15"/>
            </w:pPr>
            <w:r>
              <w:t>81600.00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40800.00</w:t>
            </w:r>
          </w:p>
        </w:tc>
        <w:tc>
          <w:tcPr>
            <w:tcW w:w="1134" w:type="dxa"/>
            <w:vAlign w:val="center"/>
          </w:tcPr>
          <w:p>
            <w:pPr>
              <w:pStyle w:val="15"/>
            </w:pPr>
            <w:r>
              <w:t>40800.00</w:t>
            </w:r>
          </w:p>
        </w:tc>
        <w:tc>
          <w:tcPr>
            <w:tcW w:w="1134" w:type="dxa"/>
            <w:vAlign w:val="center"/>
          </w:tcPr>
          <w:p>
            <w:pPr>
              <w:pStyle w:val="15"/>
            </w:pPr>
            <w:r>
              <w:t>40800.00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44000.00</w:t>
            </w:r>
          </w:p>
        </w:tc>
        <w:tc>
          <w:tcPr>
            <w:tcW w:w="1134" w:type="dxa"/>
            <w:vAlign w:val="center"/>
          </w:tcPr>
          <w:p>
            <w:pPr>
              <w:pStyle w:val="15"/>
            </w:pPr>
            <w:r>
              <w:t>44000.00</w:t>
            </w:r>
          </w:p>
        </w:tc>
        <w:tc>
          <w:tcPr>
            <w:tcW w:w="1134" w:type="dxa"/>
            <w:vAlign w:val="center"/>
          </w:tcPr>
          <w:p>
            <w:pPr>
              <w:pStyle w:val="15"/>
            </w:pPr>
            <w:r>
              <w:t>44000.00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44000.00</w:t>
            </w:r>
          </w:p>
        </w:tc>
        <w:tc>
          <w:tcPr>
            <w:tcW w:w="1134" w:type="dxa"/>
            <w:vAlign w:val="center"/>
          </w:tcPr>
          <w:p>
            <w:pPr>
              <w:pStyle w:val="15"/>
            </w:pPr>
            <w:r>
              <w:t>44000.00</w:t>
            </w:r>
          </w:p>
        </w:tc>
        <w:tc>
          <w:tcPr>
            <w:tcW w:w="1134" w:type="dxa"/>
            <w:vAlign w:val="center"/>
          </w:tcPr>
          <w:p>
            <w:pPr>
              <w:pStyle w:val="15"/>
            </w:pPr>
            <w:r>
              <w:t>44000.00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44000.00</w:t>
            </w:r>
          </w:p>
        </w:tc>
        <w:tc>
          <w:tcPr>
            <w:tcW w:w="1134" w:type="dxa"/>
            <w:vAlign w:val="center"/>
          </w:tcPr>
          <w:p>
            <w:pPr>
              <w:pStyle w:val="15"/>
            </w:pPr>
            <w:r>
              <w:t>44000.00</w:t>
            </w:r>
          </w:p>
        </w:tc>
        <w:tc>
          <w:tcPr>
            <w:tcW w:w="1134" w:type="dxa"/>
            <w:vAlign w:val="center"/>
          </w:tcPr>
          <w:p>
            <w:pPr>
              <w:pStyle w:val="15"/>
            </w:pPr>
            <w:r>
              <w:t>44000.00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57500.00</w:t>
            </w:r>
          </w:p>
        </w:tc>
        <w:tc>
          <w:tcPr>
            <w:tcW w:w="1134" w:type="dxa"/>
            <w:vAlign w:val="center"/>
          </w:tcPr>
          <w:p>
            <w:pPr>
              <w:pStyle w:val="15"/>
            </w:pPr>
            <w:r>
              <w:t>57500.00</w:t>
            </w:r>
          </w:p>
        </w:tc>
        <w:tc>
          <w:tcPr>
            <w:tcW w:w="1134" w:type="dxa"/>
            <w:vAlign w:val="center"/>
          </w:tcPr>
          <w:p>
            <w:pPr>
              <w:pStyle w:val="15"/>
            </w:pPr>
            <w:r>
              <w:t>57500.00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57500.00</w:t>
            </w:r>
          </w:p>
        </w:tc>
        <w:tc>
          <w:tcPr>
            <w:tcW w:w="1134" w:type="dxa"/>
            <w:vAlign w:val="center"/>
          </w:tcPr>
          <w:p>
            <w:pPr>
              <w:pStyle w:val="15"/>
            </w:pPr>
            <w:r>
              <w:t>57500.00</w:t>
            </w:r>
          </w:p>
        </w:tc>
        <w:tc>
          <w:tcPr>
            <w:tcW w:w="1134" w:type="dxa"/>
            <w:vAlign w:val="center"/>
          </w:tcPr>
          <w:p>
            <w:pPr>
              <w:pStyle w:val="15"/>
            </w:pPr>
            <w:r>
              <w:t>57500.00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57500.00</w:t>
            </w:r>
          </w:p>
        </w:tc>
        <w:tc>
          <w:tcPr>
            <w:tcW w:w="1134" w:type="dxa"/>
            <w:vAlign w:val="center"/>
          </w:tcPr>
          <w:p>
            <w:pPr>
              <w:pStyle w:val="15"/>
            </w:pPr>
            <w:r>
              <w:t>57500.00</w:t>
            </w:r>
          </w:p>
        </w:tc>
        <w:tc>
          <w:tcPr>
            <w:tcW w:w="1134" w:type="dxa"/>
            <w:vAlign w:val="center"/>
          </w:tcPr>
          <w:p>
            <w:pPr>
              <w:pStyle w:val="15"/>
            </w:pPr>
            <w:r>
              <w:t>57500.00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1780500.00</w:t>
            </w:r>
          </w:p>
        </w:tc>
        <w:tc>
          <w:tcPr>
            <w:tcW w:w="1361" w:type="dxa"/>
            <w:vAlign w:val="center"/>
          </w:tcPr>
          <w:p>
            <w:pPr>
              <w:pStyle w:val="19"/>
            </w:pPr>
            <w:r>
              <w:t>1780500.00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1556600.00</w:t>
            </w:r>
          </w:p>
        </w:tc>
        <w:tc>
          <w:tcPr>
            <w:tcW w:w="1361" w:type="dxa"/>
            <w:vAlign w:val="center"/>
          </w:tcPr>
          <w:p>
            <w:pPr>
              <w:pStyle w:val="15"/>
            </w:pPr>
            <w:r>
              <w:t>1556600.00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20501</w:t>
            </w:r>
          </w:p>
        </w:tc>
        <w:tc>
          <w:tcPr>
            <w:tcW w:w="4535" w:type="dxa"/>
            <w:vAlign w:val="center"/>
          </w:tcPr>
          <w:p>
            <w:pPr>
              <w:pStyle w:val="16"/>
            </w:pPr>
            <w:r>
              <w:rPr>
                <w:rFonts w:hint="eastAsia"/>
              </w:rPr>
              <w:t>教育管理事务</w:t>
            </w:r>
          </w:p>
        </w:tc>
        <w:tc>
          <w:tcPr>
            <w:tcW w:w="1361" w:type="dxa"/>
            <w:vAlign w:val="center"/>
          </w:tcPr>
          <w:p>
            <w:pPr>
              <w:pStyle w:val="15"/>
            </w:pPr>
            <w:r>
              <w:t>1556600.00</w:t>
            </w:r>
          </w:p>
        </w:tc>
        <w:tc>
          <w:tcPr>
            <w:tcW w:w="1361" w:type="dxa"/>
            <w:vAlign w:val="center"/>
          </w:tcPr>
          <w:p>
            <w:pPr>
              <w:pStyle w:val="15"/>
            </w:pPr>
            <w:r>
              <w:t>1556600.00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2050101</w:t>
            </w:r>
          </w:p>
        </w:tc>
        <w:tc>
          <w:tcPr>
            <w:tcW w:w="4535" w:type="dxa"/>
            <w:vAlign w:val="center"/>
          </w:tcPr>
          <w:p>
            <w:pPr>
              <w:pStyle w:val="16"/>
            </w:pPr>
            <w:r>
              <w:rPr>
                <w:rFonts w:hint="eastAsia"/>
              </w:rPr>
              <w:t>行政运行</w:t>
            </w:r>
          </w:p>
        </w:tc>
        <w:tc>
          <w:tcPr>
            <w:tcW w:w="1361" w:type="dxa"/>
            <w:vAlign w:val="center"/>
          </w:tcPr>
          <w:p>
            <w:pPr>
              <w:pStyle w:val="15"/>
            </w:pPr>
            <w:r>
              <w:t>1556600.00</w:t>
            </w:r>
          </w:p>
        </w:tc>
        <w:tc>
          <w:tcPr>
            <w:tcW w:w="1361" w:type="dxa"/>
            <w:vAlign w:val="center"/>
          </w:tcPr>
          <w:p>
            <w:pPr>
              <w:pStyle w:val="15"/>
            </w:pPr>
            <w:r>
              <w:t>1556600.00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122400.00</w:t>
            </w:r>
          </w:p>
        </w:tc>
        <w:tc>
          <w:tcPr>
            <w:tcW w:w="1361" w:type="dxa"/>
            <w:vAlign w:val="center"/>
          </w:tcPr>
          <w:p>
            <w:pPr>
              <w:pStyle w:val="15"/>
            </w:pPr>
            <w:r>
              <w:t>122400.00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122400.00</w:t>
            </w:r>
          </w:p>
        </w:tc>
        <w:tc>
          <w:tcPr>
            <w:tcW w:w="1361" w:type="dxa"/>
            <w:vAlign w:val="center"/>
          </w:tcPr>
          <w:p>
            <w:pPr>
              <w:pStyle w:val="15"/>
            </w:pPr>
            <w:r>
              <w:t>122400.00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81600.00</w:t>
            </w:r>
          </w:p>
        </w:tc>
        <w:tc>
          <w:tcPr>
            <w:tcW w:w="1361" w:type="dxa"/>
            <w:vAlign w:val="center"/>
          </w:tcPr>
          <w:p>
            <w:pPr>
              <w:pStyle w:val="15"/>
            </w:pPr>
            <w:r>
              <w:t>81600.00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40800.00</w:t>
            </w:r>
          </w:p>
        </w:tc>
        <w:tc>
          <w:tcPr>
            <w:tcW w:w="1361" w:type="dxa"/>
            <w:vAlign w:val="center"/>
          </w:tcPr>
          <w:p>
            <w:pPr>
              <w:pStyle w:val="15"/>
            </w:pPr>
            <w:r>
              <w:t>40800.00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44000.00</w:t>
            </w:r>
          </w:p>
        </w:tc>
        <w:tc>
          <w:tcPr>
            <w:tcW w:w="1361" w:type="dxa"/>
            <w:vAlign w:val="center"/>
          </w:tcPr>
          <w:p>
            <w:pPr>
              <w:pStyle w:val="15"/>
            </w:pPr>
            <w:r>
              <w:t>44000.00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44000.00</w:t>
            </w:r>
          </w:p>
        </w:tc>
        <w:tc>
          <w:tcPr>
            <w:tcW w:w="1361" w:type="dxa"/>
            <w:vAlign w:val="center"/>
          </w:tcPr>
          <w:p>
            <w:pPr>
              <w:pStyle w:val="15"/>
            </w:pPr>
            <w:r>
              <w:t>44000.00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44000.00</w:t>
            </w:r>
          </w:p>
        </w:tc>
        <w:tc>
          <w:tcPr>
            <w:tcW w:w="1361" w:type="dxa"/>
            <w:vAlign w:val="center"/>
          </w:tcPr>
          <w:p>
            <w:pPr>
              <w:pStyle w:val="15"/>
            </w:pPr>
            <w:r>
              <w:t>44000.00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57500.00</w:t>
            </w:r>
          </w:p>
        </w:tc>
        <w:tc>
          <w:tcPr>
            <w:tcW w:w="1361" w:type="dxa"/>
            <w:vAlign w:val="center"/>
          </w:tcPr>
          <w:p>
            <w:pPr>
              <w:pStyle w:val="15"/>
            </w:pPr>
            <w:r>
              <w:t>57500.00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57500.00</w:t>
            </w:r>
          </w:p>
        </w:tc>
        <w:tc>
          <w:tcPr>
            <w:tcW w:w="1361" w:type="dxa"/>
            <w:vAlign w:val="center"/>
          </w:tcPr>
          <w:p>
            <w:pPr>
              <w:pStyle w:val="15"/>
            </w:pPr>
            <w:r>
              <w:t>57500.00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57500.00</w:t>
            </w:r>
          </w:p>
        </w:tc>
        <w:tc>
          <w:tcPr>
            <w:tcW w:w="1361" w:type="dxa"/>
            <w:vAlign w:val="center"/>
          </w:tcPr>
          <w:p>
            <w:pPr>
              <w:pStyle w:val="15"/>
            </w:pPr>
            <w:r>
              <w:t>57500.00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1780500.00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1556600.00</w:t>
            </w:r>
          </w:p>
        </w:tc>
        <w:tc>
          <w:tcPr>
            <w:tcW w:w="1474" w:type="dxa"/>
            <w:vAlign w:val="center"/>
          </w:tcPr>
          <w:p>
            <w:pPr>
              <w:pStyle w:val="15"/>
            </w:pPr>
            <w:r>
              <w:t>1556600.00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122400.00</w:t>
            </w:r>
          </w:p>
        </w:tc>
        <w:tc>
          <w:tcPr>
            <w:tcW w:w="1474" w:type="dxa"/>
            <w:vAlign w:val="center"/>
          </w:tcPr>
          <w:p>
            <w:pPr>
              <w:pStyle w:val="15"/>
            </w:pPr>
            <w:r>
              <w:t>122400.00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44000.00</w:t>
            </w:r>
          </w:p>
        </w:tc>
        <w:tc>
          <w:tcPr>
            <w:tcW w:w="1474" w:type="dxa"/>
            <w:vAlign w:val="center"/>
          </w:tcPr>
          <w:p>
            <w:pPr>
              <w:pStyle w:val="15"/>
            </w:pPr>
            <w:r>
              <w:t>44000.00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57500.00</w:t>
            </w:r>
          </w:p>
        </w:tc>
        <w:tc>
          <w:tcPr>
            <w:tcW w:w="1474" w:type="dxa"/>
            <w:vAlign w:val="center"/>
          </w:tcPr>
          <w:p>
            <w:pPr>
              <w:pStyle w:val="15"/>
            </w:pPr>
            <w:r>
              <w:t>57500.00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1780500.00</w:t>
            </w:r>
          </w:p>
        </w:tc>
        <w:tc>
          <w:tcPr>
            <w:tcW w:w="3402" w:type="dxa"/>
            <w:vAlign w:val="center"/>
          </w:tcPr>
          <w:p>
            <w:pPr>
              <w:pStyle w:val="18"/>
            </w:pPr>
            <w:r>
              <w:rPr>
                <w:rFonts w:hint="eastAsia"/>
              </w:rPr>
              <w:t>本年支出合计</w:t>
            </w:r>
          </w:p>
        </w:tc>
        <w:tc>
          <w:tcPr>
            <w:tcW w:w="1474" w:type="dxa"/>
            <w:vAlign w:val="center"/>
          </w:tcPr>
          <w:p>
            <w:pPr>
              <w:pStyle w:val="19"/>
            </w:pPr>
            <w:r>
              <w:t>1780500.00</w:t>
            </w:r>
          </w:p>
        </w:tc>
        <w:tc>
          <w:tcPr>
            <w:tcW w:w="1474" w:type="dxa"/>
            <w:vAlign w:val="center"/>
          </w:tcPr>
          <w:p>
            <w:pPr>
              <w:pStyle w:val="19"/>
            </w:pPr>
            <w:r>
              <w:t>1780500.00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1780500.00</w:t>
            </w:r>
          </w:p>
        </w:tc>
        <w:tc>
          <w:tcPr>
            <w:tcW w:w="3402" w:type="dxa"/>
            <w:vAlign w:val="center"/>
          </w:tcPr>
          <w:p>
            <w:pPr>
              <w:pStyle w:val="18"/>
            </w:pPr>
            <w:r>
              <w:rPr>
                <w:rFonts w:hint="eastAsia"/>
              </w:rPr>
              <w:t>支出总计</w:t>
            </w:r>
          </w:p>
        </w:tc>
        <w:tc>
          <w:tcPr>
            <w:tcW w:w="1474" w:type="dxa"/>
            <w:vAlign w:val="center"/>
          </w:tcPr>
          <w:p>
            <w:pPr>
              <w:pStyle w:val="19"/>
            </w:pPr>
            <w:r>
              <w:t>1780500.00</w:t>
            </w:r>
          </w:p>
        </w:tc>
        <w:tc>
          <w:tcPr>
            <w:tcW w:w="1474" w:type="dxa"/>
            <w:vAlign w:val="center"/>
          </w:tcPr>
          <w:p>
            <w:pPr>
              <w:pStyle w:val="19"/>
            </w:pPr>
            <w:r>
              <w:t>1780500.00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1780500.00</w:t>
            </w:r>
          </w:p>
        </w:tc>
        <w:tc>
          <w:tcPr>
            <w:tcW w:w="2551" w:type="dxa"/>
            <w:vAlign w:val="center"/>
          </w:tcPr>
          <w:p>
            <w:pPr>
              <w:pStyle w:val="19"/>
            </w:pPr>
            <w:r>
              <w:t>1780500.00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1556600.00</w:t>
            </w:r>
          </w:p>
        </w:tc>
        <w:tc>
          <w:tcPr>
            <w:tcW w:w="2551" w:type="dxa"/>
            <w:vAlign w:val="center"/>
          </w:tcPr>
          <w:p>
            <w:pPr>
              <w:pStyle w:val="15"/>
            </w:pPr>
            <w:r>
              <w:t>1556600.00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20501</w:t>
            </w:r>
          </w:p>
        </w:tc>
        <w:tc>
          <w:tcPr>
            <w:tcW w:w="4535" w:type="dxa"/>
            <w:vAlign w:val="center"/>
          </w:tcPr>
          <w:p>
            <w:pPr>
              <w:pStyle w:val="16"/>
            </w:pPr>
            <w:r>
              <w:rPr>
                <w:rFonts w:hint="eastAsia"/>
              </w:rPr>
              <w:t>教育管理事务</w:t>
            </w:r>
          </w:p>
        </w:tc>
        <w:tc>
          <w:tcPr>
            <w:tcW w:w="2551" w:type="dxa"/>
            <w:vAlign w:val="center"/>
          </w:tcPr>
          <w:p>
            <w:pPr>
              <w:pStyle w:val="15"/>
            </w:pPr>
            <w:r>
              <w:t>1556600.00</w:t>
            </w:r>
          </w:p>
        </w:tc>
        <w:tc>
          <w:tcPr>
            <w:tcW w:w="2551" w:type="dxa"/>
            <w:vAlign w:val="center"/>
          </w:tcPr>
          <w:p>
            <w:pPr>
              <w:pStyle w:val="15"/>
            </w:pPr>
            <w:r>
              <w:t>1556600.00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2050101</w:t>
            </w:r>
          </w:p>
        </w:tc>
        <w:tc>
          <w:tcPr>
            <w:tcW w:w="4535" w:type="dxa"/>
            <w:vAlign w:val="center"/>
          </w:tcPr>
          <w:p>
            <w:pPr>
              <w:pStyle w:val="16"/>
            </w:pPr>
            <w:r>
              <w:rPr>
                <w:rFonts w:hint="eastAsia"/>
              </w:rPr>
              <w:t>行政运行</w:t>
            </w:r>
          </w:p>
        </w:tc>
        <w:tc>
          <w:tcPr>
            <w:tcW w:w="2551" w:type="dxa"/>
            <w:vAlign w:val="center"/>
          </w:tcPr>
          <w:p>
            <w:pPr>
              <w:pStyle w:val="15"/>
            </w:pPr>
            <w:r>
              <w:t>1556600.00</w:t>
            </w:r>
          </w:p>
        </w:tc>
        <w:tc>
          <w:tcPr>
            <w:tcW w:w="2551" w:type="dxa"/>
            <w:vAlign w:val="center"/>
          </w:tcPr>
          <w:p>
            <w:pPr>
              <w:pStyle w:val="15"/>
            </w:pPr>
            <w:r>
              <w:t>1556600.00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122400.00</w:t>
            </w:r>
          </w:p>
        </w:tc>
        <w:tc>
          <w:tcPr>
            <w:tcW w:w="2551" w:type="dxa"/>
            <w:vAlign w:val="center"/>
          </w:tcPr>
          <w:p>
            <w:pPr>
              <w:pStyle w:val="15"/>
            </w:pPr>
            <w:r>
              <w:t>122400.00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122400.00</w:t>
            </w:r>
          </w:p>
        </w:tc>
        <w:tc>
          <w:tcPr>
            <w:tcW w:w="2551" w:type="dxa"/>
            <w:vAlign w:val="center"/>
          </w:tcPr>
          <w:p>
            <w:pPr>
              <w:pStyle w:val="15"/>
            </w:pPr>
            <w:r>
              <w:t>122400.00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81600.00</w:t>
            </w:r>
          </w:p>
        </w:tc>
        <w:tc>
          <w:tcPr>
            <w:tcW w:w="2551" w:type="dxa"/>
            <w:vAlign w:val="center"/>
          </w:tcPr>
          <w:p>
            <w:pPr>
              <w:pStyle w:val="15"/>
            </w:pPr>
            <w:r>
              <w:t>81600.00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40800.00</w:t>
            </w:r>
          </w:p>
        </w:tc>
        <w:tc>
          <w:tcPr>
            <w:tcW w:w="2551" w:type="dxa"/>
            <w:vAlign w:val="center"/>
          </w:tcPr>
          <w:p>
            <w:pPr>
              <w:pStyle w:val="15"/>
            </w:pPr>
            <w:r>
              <w:t>40800.00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44000.00</w:t>
            </w:r>
          </w:p>
        </w:tc>
        <w:tc>
          <w:tcPr>
            <w:tcW w:w="2551" w:type="dxa"/>
            <w:vAlign w:val="center"/>
          </w:tcPr>
          <w:p>
            <w:pPr>
              <w:pStyle w:val="15"/>
            </w:pPr>
            <w:r>
              <w:t>44000.00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44000.00</w:t>
            </w:r>
          </w:p>
        </w:tc>
        <w:tc>
          <w:tcPr>
            <w:tcW w:w="2551" w:type="dxa"/>
            <w:vAlign w:val="center"/>
          </w:tcPr>
          <w:p>
            <w:pPr>
              <w:pStyle w:val="15"/>
            </w:pPr>
            <w:r>
              <w:t>44000.00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44000.00</w:t>
            </w:r>
          </w:p>
        </w:tc>
        <w:tc>
          <w:tcPr>
            <w:tcW w:w="2551" w:type="dxa"/>
            <w:vAlign w:val="center"/>
          </w:tcPr>
          <w:p>
            <w:pPr>
              <w:pStyle w:val="15"/>
            </w:pPr>
            <w:r>
              <w:t>44000.00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57500.00</w:t>
            </w:r>
          </w:p>
        </w:tc>
        <w:tc>
          <w:tcPr>
            <w:tcW w:w="2551" w:type="dxa"/>
            <w:vAlign w:val="center"/>
          </w:tcPr>
          <w:p>
            <w:pPr>
              <w:pStyle w:val="15"/>
            </w:pPr>
            <w:r>
              <w:t>57500.00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57500.00</w:t>
            </w:r>
          </w:p>
        </w:tc>
        <w:tc>
          <w:tcPr>
            <w:tcW w:w="2551" w:type="dxa"/>
            <w:vAlign w:val="center"/>
          </w:tcPr>
          <w:p>
            <w:pPr>
              <w:pStyle w:val="15"/>
            </w:pPr>
            <w:r>
              <w:t>57500.00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57500.00</w:t>
            </w:r>
          </w:p>
        </w:tc>
        <w:tc>
          <w:tcPr>
            <w:tcW w:w="2551" w:type="dxa"/>
            <w:vAlign w:val="center"/>
          </w:tcPr>
          <w:p>
            <w:pPr>
              <w:pStyle w:val="15"/>
            </w:pPr>
            <w:r>
              <w:t>57500.00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1780500.00</w:t>
            </w:r>
          </w:p>
        </w:tc>
        <w:tc>
          <w:tcPr>
            <w:tcW w:w="2551" w:type="dxa"/>
            <w:vAlign w:val="center"/>
          </w:tcPr>
          <w:p>
            <w:pPr>
              <w:pStyle w:val="19"/>
            </w:pPr>
            <w:r>
              <w:t>1610500.00</w:t>
            </w:r>
          </w:p>
        </w:tc>
        <w:tc>
          <w:tcPr>
            <w:tcW w:w="2551" w:type="dxa"/>
            <w:vAlign w:val="center"/>
          </w:tcPr>
          <w:p>
            <w:pPr>
              <w:pStyle w:val="19"/>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1385500.00</w:t>
            </w:r>
          </w:p>
        </w:tc>
        <w:tc>
          <w:tcPr>
            <w:tcW w:w="2551" w:type="dxa"/>
            <w:vAlign w:val="center"/>
          </w:tcPr>
          <w:p>
            <w:pPr>
              <w:pStyle w:val="15"/>
            </w:pPr>
            <w:r>
              <w:t>1385500.00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378200.00</w:t>
            </w:r>
          </w:p>
        </w:tc>
        <w:tc>
          <w:tcPr>
            <w:tcW w:w="2551" w:type="dxa"/>
            <w:vAlign w:val="center"/>
          </w:tcPr>
          <w:p>
            <w:pPr>
              <w:pStyle w:val="15"/>
            </w:pPr>
            <w:r>
              <w:t>378200.00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140200.00</w:t>
            </w:r>
          </w:p>
        </w:tc>
        <w:tc>
          <w:tcPr>
            <w:tcW w:w="2551" w:type="dxa"/>
            <w:vAlign w:val="center"/>
          </w:tcPr>
          <w:p>
            <w:pPr>
              <w:pStyle w:val="15"/>
            </w:pPr>
            <w:r>
              <w:t>140200.00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639600.00</w:t>
            </w:r>
          </w:p>
        </w:tc>
        <w:tc>
          <w:tcPr>
            <w:tcW w:w="2551" w:type="dxa"/>
            <w:vAlign w:val="center"/>
          </w:tcPr>
          <w:p>
            <w:pPr>
              <w:pStyle w:val="15"/>
            </w:pPr>
            <w:r>
              <w:t>639600.00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81600.00</w:t>
            </w:r>
          </w:p>
        </w:tc>
        <w:tc>
          <w:tcPr>
            <w:tcW w:w="2551" w:type="dxa"/>
            <w:vAlign w:val="center"/>
          </w:tcPr>
          <w:p>
            <w:pPr>
              <w:pStyle w:val="15"/>
            </w:pPr>
            <w:r>
              <w:t>81600.00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40800.00</w:t>
            </w:r>
          </w:p>
        </w:tc>
        <w:tc>
          <w:tcPr>
            <w:tcW w:w="2551" w:type="dxa"/>
            <w:vAlign w:val="center"/>
          </w:tcPr>
          <w:p>
            <w:pPr>
              <w:pStyle w:val="15"/>
            </w:pPr>
            <w:r>
              <w:t>40800.00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41300.00</w:t>
            </w:r>
          </w:p>
        </w:tc>
        <w:tc>
          <w:tcPr>
            <w:tcW w:w="2551" w:type="dxa"/>
            <w:vAlign w:val="center"/>
          </w:tcPr>
          <w:p>
            <w:pPr>
              <w:pStyle w:val="15"/>
            </w:pPr>
            <w:r>
              <w:t>41300.00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6300.00</w:t>
            </w:r>
          </w:p>
        </w:tc>
        <w:tc>
          <w:tcPr>
            <w:tcW w:w="2551" w:type="dxa"/>
            <w:vAlign w:val="center"/>
          </w:tcPr>
          <w:p>
            <w:pPr>
              <w:pStyle w:val="15"/>
            </w:pPr>
            <w:r>
              <w:t>6300.00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57500.00</w:t>
            </w:r>
          </w:p>
        </w:tc>
        <w:tc>
          <w:tcPr>
            <w:tcW w:w="2551" w:type="dxa"/>
            <w:vAlign w:val="center"/>
          </w:tcPr>
          <w:p>
            <w:pPr>
              <w:pStyle w:val="15"/>
            </w:pPr>
            <w:r>
              <w:t>57500.00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170000.00</w:t>
            </w:r>
          </w:p>
        </w:tc>
        <w:tc>
          <w:tcPr>
            <w:tcW w:w="2551" w:type="dxa"/>
            <w:vAlign w:val="center"/>
          </w:tcPr>
          <w:p>
            <w:pPr>
              <w:pStyle w:val="15"/>
            </w:pPr>
          </w:p>
        </w:tc>
        <w:tc>
          <w:tcPr>
            <w:tcW w:w="2551" w:type="dxa"/>
            <w:vAlign w:val="center"/>
          </w:tcPr>
          <w:p>
            <w:pPr>
              <w:pStyle w:val="15"/>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40000.00</w:t>
            </w:r>
          </w:p>
        </w:tc>
        <w:tc>
          <w:tcPr>
            <w:tcW w:w="2551" w:type="dxa"/>
            <w:vAlign w:val="center"/>
          </w:tcPr>
          <w:p>
            <w:pPr>
              <w:pStyle w:val="15"/>
            </w:pPr>
          </w:p>
        </w:tc>
        <w:tc>
          <w:tcPr>
            <w:tcW w:w="2551"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5100.00</w:t>
            </w:r>
          </w:p>
        </w:tc>
        <w:tc>
          <w:tcPr>
            <w:tcW w:w="2551" w:type="dxa"/>
            <w:vAlign w:val="center"/>
          </w:tcPr>
          <w:p>
            <w:pPr>
              <w:pStyle w:val="15"/>
            </w:pPr>
          </w:p>
        </w:tc>
        <w:tc>
          <w:tcPr>
            <w:tcW w:w="2551" w:type="dxa"/>
            <w:vAlign w:val="center"/>
          </w:tcPr>
          <w:p>
            <w:pPr>
              <w:pStyle w:val="15"/>
            </w:pPr>
            <w:r>
              <w:t>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14900.00</w:t>
            </w:r>
          </w:p>
        </w:tc>
        <w:tc>
          <w:tcPr>
            <w:tcW w:w="2551" w:type="dxa"/>
            <w:vAlign w:val="center"/>
          </w:tcPr>
          <w:p>
            <w:pPr>
              <w:pStyle w:val="15"/>
            </w:pPr>
          </w:p>
        </w:tc>
        <w:tc>
          <w:tcPr>
            <w:tcW w:w="2551" w:type="dxa"/>
            <w:vAlign w:val="center"/>
          </w:tcPr>
          <w:p>
            <w:pPr>
              <w:pStyle w:val="15"/>
            </w:pPr>
            <w:r>
              <w:t>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225000.00</w:t>
            </w:r>
          </w:p>
        </w:tc>
        <w:tc>
          <w:tcPr>
            <w:tcW w:w="2551" w:type="dxa"/>
            <w:vAlign w:val="center"/>
          </w:tcPr>
          <w:p>
            <w:pPr>
              <w:pStyle w:val="15"/>
            </w:pPr>
            <w:r>
              <w:t>225000.00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225000.00</w:t>
            </w:r>
          </w:p>
        </w:tc>
        <w:tc>
          <w:tcPr>
            <w:tcW w:w="2551" w:type="dxa"/>
            <w:vAlign w:val="center"/>
          </w:tcPr>
          <w:p>
            <w:pPr>
              <w:pStyle w:val="15"/>
            </w:pPr>
            <w:r>
              <w:t>225000.00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方正书宋_GBK"/>
                <w:b/>
              </w:rPr>
            </w:pPr>
            <w:r>
              <w:rPr>
                <w:rFonts w:ascii="方正书宋_GBK" w:eastAsia="方正书宋_GBK"/>
                <w:b/>
              </w:rPr>
              <w:t>14900.00</w:t>
            </w:r>
          </w:p>
        </w:tc>
        <w:tc>
          <w:tcPr>
            <w:tcW w:w="2381" w:type="dxa"/>
            <w:vAlign w:val="center"/>
          </w:tcPr>
          <w:p>
            <w:pPr>
              <w:spacing w:line="300" w:lineRule="exact"/>
              <w:jc w:val="right"/>
              <w:rPr>
                <w:rFonts w:ascii="方正书宋_GBK" w:eastAsia="方正书宋_GBK"/>
                <w:b/>
              </w:rPr>
            </w:pPr>
            <w:r>
              <w:rPr>
                <w:rFonts w:ascii="方正书宋_GBK" w:eastAsia="方正书宋_GBK"/>
                <w:b/>
              </w:rPr>
              <w:t>14900.00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r>
              <w:rPr>
                <w:rFonts w:ascii="方正书宋_GBK" w:eastAsia="方正书宋_GBK"/>
              </w:rPr>
              <w:t>14900.00</w:t>
            </w:r>
          </w:p>
        </w:tc>
        <w:tc>
          <w:tcPr>
            <w:tcW w:w="2381" w:type="dxa"/>
            <w:vAlign w:val="center"/>
          </w:tcPr>
          <w:p>
            <w:pPr>
              <w:spacing w:line="300" w:lineRule="exact"/>
              <w:jc w:val="right"/>
              <w:rPr>
                <w:rFonts w:ascii="方正书宋_GBK" w:eastAsia="方正书宋_GBK"/>
              </w:rPr>
            </w:pPr>
            <w:r>
              <w:rPr>
                <w:rFonts w:ascii="方正书宋_GBK" w:eastAsia="方正书宋_GBK"/>
              </w:rPr>
              <w:t>14900.00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r>
              <w:rPr>
                <w:rFonts w:ascii="方正书宋_GBK" w:eastAsia="方正书宋_GBK"/>
              </w:rPr>
              <w:t>14900.00</w:t>
            </w:r>
          </w:p>
        </w:tc>
        <w:tc>
          <w:tcPr>
            <w:tcW w:w="2381" w:type="dxa"/>
            <w:vAlign w:val="center"/>
          </w:tcPr>
          <w:p>
            <w:pPr>
              <w:spacing w:line="300" w:lineRule="exact"/>
              <w:jc w:val="right"/>
              <w:rPr>
                <w:rFonts w:ascii="方正书宋_GBK" w:eastAsia="方正书宋_GBK"/>
              </w:rPr>
            </w:pPr>
            <w:r>
              <w:rPr>
                <w:rFonts w:ascii="方正书宋_GBK" w:eastAsia="方正书宋_GBK"/>
              </w:rPr>
              <w:t>14900.00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hint="eastAsia" w:ascii="方正小标宋_GBK" w:hAnsi="方正小标宋_GBK" w:eastAsia="方正小标宋_GBK" w:cs="方正小标宋_GBK"/>
          <w:color w:val="000000"/>
          <w:sz w:val="44"/>
        </w:rPr>
        <w:t>馆陶县教育体育局本级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预算法》、《地方预决算公开操作规程》和《关于进一步推进预算公开工作的实施意见》规定，现将馆陶县教育体育局本级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根据馆陶县委、人民政府办公室关于印发《中共馆陶县委教育工作委员会馆陶县教育体育局职能配置、内设机构和人员编制规定》的通知，教育体育局的主要职责是：</w:t>
      </w:r>
    </w:p>
    <w:p>
      <w:pPr>
        <w:pStyle w:val="29"/>
      </w:pPr>
      <w:r>
        <w:t>1.</w:t>
      </w:r>
      <w:r>
        <w:rPr>
          <w:rFonts w:hint="eastAsia"/>
        </w:rPr>
        <w:t>负责全县教育体育系统党的政治建设、思想建设、组织建设、作风建设、纪律建设和制度建设。</w:t>
      </w:r>
    </w:p>
    <w:p>
      <w:pPr>
        <w:pStyle w:val="29"/>
      </w:pPr>
      <w:r>
        <w:t>2.</w:t>
      </w:r>
      <w:r>
        <w:rPr>
          <w:rFonts w:hint="eastAsia"/>
        </w:rPr>
        <w:t>承担全县各级各类学校基层党组织和党员队伍建设工作。</w:t>
      </w:r>
    </w:p>
    <w:p>
      <w:pPr>
        <w:pStyle w:val="29"/>
      </w:pPr>
      <w:r>
        <w:t>3.</w:t>
      </w:r>
      <w:r>
        <w:rPr>
          <w:rFonts w:hint="eastAsia"/>
        </w:rPr>
        <w:t>指导全县各级各类学校意识形态和党的宣传教育工作，指导和督促党的统一战线方针政策贯彻落实。</w:t>
      </w:r>
    </w:p>
    <w:p>
      <w:pPr>
        <w:pStyle w:val="29"/>
      </w:pPr>
      <w:r>
        <w:t>4.</w:t>
      </w:r>
      <w:r>
        <w:rPr>
          <w:rFonts w:hint="eastAsia"/>
        </w:rPr>
        <w:t>按照干部管理权限，协助县有关部门做好所属学校领导班子及领导人员的管理工作，并指导干部队伍建设工作负责县属中小学、幼儿园和所属事业单位领导班子及领导人员的管理工作，指导干部队伍建设工作。</w:t>
      </w:r>
    </w:p>
    <w:p>
      <w:pPr>
        <w:pStyle w:val="29"/>
      </w:pPr>
      <w:r>
        <w:t>5.</w:t>
      </w:r>
      <w:r>
        <w:rPr>
          <w:rFonts w:hint="eastAsia"/>
        </w:rPr>
        <w:t>负责教育体育系统学生和教师的思想政治工作，指导学校思想政治工作队伍建设，指导中小学德育课程教育教学。</w:t>
      </w:r>
    </w:p>
    <w:p>
      <w:pPr>
        <w:pStyle w:val="29"/>
      </w:pPr>
      <w:r>
        <w:t>6.</w:t>
      </w:r>
      <w:r>
        <w:rPr>
          <w:rFonts w:hint="eastAsia"/>
        </w:rPr>
        <w:t>统筹管理教育体育系统人才工作。</w:t>
      </w:r>
    </w:p>
    <w:p>
      <w:pPr>
        <w:pStyle w:val="29"/>
      </w:pPr>
      <w:r>
        <w:t>7.</w:t>
      </w:r>
      <w:r>
        <w:rPr>
          <w:rFonts w:hint="eastAsia"/>
        </w:rPr>
        <w:t>负责教育体育系统安全稳定和校园及周边环境综合治理工作。</w:t>
      </w:r>
    </w:p>
    <w:p>
      <w:pPr>
        <w:pStyle w:val="29"/>
      </w:pPr>
      <w:r>
        <w:t>8.</w:t>
      </w:r>
      <w:r>
        <w:rPr>
          <w:rFonts w:hint="eastAsia"/>
        </w:rPr>
        <w:t>负责直属学校和事业单位的巡察工作。</w:t>
      </w:r>
    </w:p>
    <w:p>
      <w:pPr>
        <w:pStyle w:val="29"/>
      </w:pPr>
      <w:r>
        <w:t>9.</w:t>
      </w:r>
      <w:r>
        <w:rPr>
          <w:rFonts w:hint="eastAsia"/>
        </w:rPr>
        <w:t>组织实施教育体育改革与发展的政策，拟订全县教育改革与发展的规划并组织实施。</w:t>
      </w:r>
    </w:p>
    <w:p>
      <w:pPr>
        <w:pStyle w:val="29"/>
      </w:pPr>
      <w:r>
        <w:t>10.</w:t>
      </w:r>
      <w:r>
        <w:rPr>
          <w:rFonts w:hint="eastAsia"/>
        </w:rPr>
        <w:t>负责全县各级各类教育的统筹规划和协调管理，会同有关部门组织实施各级各类学校的设置标准，指导各级各类学校的教育教学改革，负责教育基本信息的统计、分析和发布。</w:t>
      </w:r>
    </w:p>
    <w:p>
      <w:pPr>
        <w:pStyle w:val="29"/>
      </w:pPr>
      <w:r>
        <w:t>11.</w:t>
      </w:r>
      <w:r>
        <w:rPr>
          <w:rFonts w:hint="eastAsia"/>
        </w:rPr>
        <w:t>负责基础教育管理工作，指导基础教育改革与发展。负责义务教育的协调指导，推进义务教育均衡发展和促进教育公平。指导普通高中教育、幼儿教育和特殊教育。落实基础教育教学政策，推进素质教育。</w:t>
      </w:r>
    </w:p>
    <w:p>
      <w:pPr>
        <w:pStyle w:val="29"/>
      </w:pPr>
      <w:r>
        <w:t>12.</w:t>
      </w:r>
      <w:r>
        <w:rPr>
          <w:rFonts w:hint="eastAsia"/>
        </w:rPr>
        <w:t>会同有关部门指导职业教育发展与改革，负责中等职业教育地方教材建设和职业指导工作。负责成人教育和社区教育指导工作。</w:t>
      </w:r>
    </w:p>
    <w:p>
      <w:pPr>
        <w:pStyle w:val="29"/>
      </w:pPr>
      <w:r>
        <w:t>13.</w:t>
      </w:r>
      <w:r>
        <w:rPr>
          <w:rFonts w:hint="eastAsia"/>
        </w:rPr>
        <w:t>指导各级各类学校的德育、体育、卫生与艺术和劳动教育及国防教育工作，指导各级各类学校的安全监督管理和校园周边综合治理工作。</w:t>
      </w:r>
    </w:p>
    <w:p>
      <w:pPr>
        <w:pStyle w:val="29"/>
      </w:pPr>
      <w:r>
        <w:t>14.</w:t>
      </w:r>
      <w:r>
        <w:rPr>
          <w:rFonts w:hint="eastAsia"/>
        </w:rPr>
        <w:t>负责全县普通高等院校招生考试、自学考试、成人招生考试、高中阶段招生考试、高中学考工作。负责全县教育体育系统各级各类学校的招生工作。</w:t>
      </w:r>
    </w:p>
    <w:p>
      <w:pPr>
        <w:pStyle w:val="29"/>
      </w:pPr>
      <w:r>
        <w:t>15.</w:t>
      </w:r>
      <w:r>
        <w:rPr>
          <w:rFonts w:hint="eastAsia"/>
        </w:rPr>
        <w:t>负责高校毕业生离校前的就业创业指导和服务工作，会同有关部门组织实施毕业生就业创业政策。</w:t>
      </w:r>
    </w:p>
    <w:p>
      <w:pPr>
        <w:pStyle w:val="29"/>
      </w:pPr>
      <w:r>
        <w:t>16.</w:t>
      </w:r>
      <w:r>
        <w:rPr>
          <w:rFonts w:hint="eastAsia"/>
        </w:rPr>
        <w:t>负责全县教师工作，贯彻落实各级各类教师资格标准；负责全县教师教育工作，规划、指导教育体育系统人才队伍建设，负责县级教学成果奖评审奖励工作，会同有关部门组织实施教育系统职称评聘、表彰奖励等工作。</w:t>
      </w:r>
    </w:p>
    <w:p>
      <w:pPr>
        <w:pStyle w:val="29"/>
      </w:pPr>
      <w:r>
        <w:t>17.</w:t>
      </w:r>
      <w:r>
        <w:rPr>
          <w:rFonts w:hint="eastAsia"/>
        </w:rPr>
        <w:t>负责本系统教育经费的统筹和内部审计，负责统计全县教育体育经费投入情况。</w:t>
      </w:r>
    </w:p>
    <w:p>
      <w:pPr>
        <w:pStyle w:val="29"/>
      </w:pPr>
      <w:r>
        <w:t>18.</w:t>
      </w:r>
      <w:r>
        <w:rPr>
          <w:rFonts w:hint="eastAsia"/>
        </w:rPr>
        <w:t>负责全县语言文字工作的规划指导、统筹协调和监督管理。承担县语言文字工作委员会交办的其他事项。</w:t>
      </w:r>
    </w:p>
    <w:p>
      <w:pPr>
        <w:pStyle w:val="29"/>
      </w:pPr>
      <w:r>
        <w:t>19.</w:t>
      </w:r>
      <w:r>
        <w:rPr>
          <w:rFonts w:hint="eastAsia"/>
        </w:rPr>
        <w:t>负责全县教育督导工作，落实教育督导的规章制度和标准，组织开展全县各级各类教育的督导评估、检查验收、质量检测等工作。承担馆陶县人民政府教育督导委员会交办的其他事项。</w:t>
      </w:r>
    </w:p>
    <w:p>
      <w:pPr>
        <w:pStyle w:val="29"/>
      </w:pPr>
      <w:r>
        <w:t>20.</w:t>
      </w:r>
      <w:r>
        <w:rPr>
          <w:rFonts w:hint="eastAsia"/>
        </w:rPr>
        <w:t>指导全县老年教育工作。</w:t>
      </w:r>
    </w:p>
    <w:p>
      <w:pPr>
        <w:pStyle w:val="29"/>
      </w:pPr>
      <w:r>
        <w:t>21.</w:t>
      </w:r>
      <w:r>
        <w:rPr>
          <w:rFonts w:hint="eastAsia"/>
        </w:rPr>
        <w:t>研究全县体育发展战略。推动多元化体育服务体系建设，推进体育公共服务和体育体制变革。</w:t>
      </w:r>
    </w:p>
    <w:p>
      <w:pPr>
        <w:pStyle w:val="29"/>
      </w:pPr>
      <w:r>
        <w:t>22.</w:t>
      </w:r>
      <w:r>
        <w:rPr>
          <w:rFonts w:hint="eastAsia"/>
        </w:rPr>
        <w:t>统筹规划全县群众体育发展。负责推行全民健身计划，监督实施国家体育锻炼标准，推动国民体质监测，指导公共体育设施建设，负责公共体育设施的监督管理工作。</w:t>
      </w:r>
    </w:p>
    <w:p>
      <w:pPr>
        <w:pStyle w:val="29"/>
      </w:pPr>
      <w:r>
        <w:t>23.</w:t>
      </w:r>
      <w:r>
        <w:rPr>
          <w:rFonts w:hint="eastAsia"/>
        </w:rPr>
        <w:t>统筹规划全县竞技体育发展。指导协调体育训练和体育竞赛，指导运动队伍建设，负责组织、协调、监督体育运动中的反兴奋剂工作。</w:t>
      </w:r>
    </w:p>
    <w:p>
      <w:pPr>
        <w:pStyle w:val="29"/>
      </w:pPr>
      <w:r>
        <w:t>24.</w:t>
      </w:r>
      <w:r>
        <w:rPr>
          <w:rFonts w:hint="eastAsia"/>
        </w:rPr>
        <w:t>统筹规划全县青少年体育发展，指导和推进青少年体育工作。</w:t>
      </w:r>
    </w:p>
    <w:p>
      <w:pPr>
        <w:pStyle w:val="29"/>
      </w:pPr>
      <w:r>
        <w:t>25.</w:t>
      </w:r>
      <w:r>
        <w:rPr>
          <w:rFonts w:hint="eastAsia"/>
        </w:rPr>
        <w:t>拟定全县体育产业发展规划。规范体育服务管理，推动体育标准化建设，协助省、市体育局做好体育彩票发行管理工作。</w:t>
      </w:r>
    </w:p>
    <w:p>
      <w:pPr>
        <w:pStyle w:val="29"/>
      </w:pPr>
      <w:r>
        <w:t>26.</w:t>
      </w:r>
      <w:r>
        <w:rPr>
          <w:rFonts w:hint="eastAsia"/>
        </w:rPr>
        <w:t>组织指导全县教育国际交流合作，会同有关部门指导相关工作，归口管理与港澳台地区的教育交流合作。指导、管理全县体育外事工作。</w:t>
      </w:r>
    </w:p>
    <w:p>
      <w:pPr>
        <w:pStyle w:val="29"/>
      </w:pPr>
      <w:r>
        <w:t>27.</w:t>
      </w:r>
      <w:r>
        <w:rPr>
          <w:rFonts w:hint="eastAsia"/>
        </w:rPr>
        <w:t>组织开展全县体育领域科技研究、技术攻关和成果推广。</w:t>
      </w:r>
    </w:p>
    <w:p>
      <w:pPr>
        <w:pStyle w:val="29"/>
      </w:pPr>
      <w:r>
        <w:t>28.</w:t>
      </w:r>
      <w:r>
        <w:rPr>
          <w:rFonts w:hint="eastAsia"/>
        </w:rPr>
        <w:t>指导全县性体育社管工作。</w:t>
      </w:r>
    </w:p>
    <w:p>
      <w:pPr>
        <w:pStyle w:val="29"/>
      </w:pPr>
      <w:r>
        <w:t>29.</w:t>
      </w:r>
      <w:r>
        <w:rPr>
          <w:rFonts w:hint="eastAsia"/>
        </w:rPr>
        <w:t>承办县委、县政府交办的其他工作事项。</w:t>
      </w:r>
    </w:p>
    <w:p>
      <w:pPr>
        <w:pStyle w:val="29"/>
      </w:pP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馆陶县教育体育局本级</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178.05</w:t>
      </w:r>
      <w:r>
        <w:rPr>
          <w:rFonts w:hint="eastAsia"/>
        </w:rPr>
        <w:t>万元，其中：一般公共预算收入</w:t>
      </w:r>
      <w:r>
        <w:t>178.05</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178.05</w:t>
      </w:r>
      <w:r>
        <w:rPr>
          <w:rFonts w:hint="eastAsia"/>
        </w:rPr>
        <w:t>万元，其中基本支出</w:t>
      </w:r>
      <w:r>
        <w:t>178.05</w:t>
      </w:r>
      <w:r>
        <w:rPr>
          <w:rFonts w:hint="eastAsia"/>
        </w:rPr>
        <w:t>万元，包括人员经费</w:t>
      </w:r>
      <w:r>
        <w:t>161.05</w:t>
      </w:r>
      <w:r>
        <w:rPr>
          <w:rFonts w:hint="eastAsia"/>
        </w:rPr>
        <w:t>万元和日常公用经费</w:t>
      </w:r>
      <w:r>
        <w:t>17</w:t>
      </w:r>
      <w:r>
        <w:rPr>
          <w:rFonts w:hint="eastAsia"/>
        </w:rPr>
        <w:t>万元；项目支出</w:t>
      </w:r>
      <w:r>
        <w:t>0</w:t>
      </w:r>
      <w:r>
        <w:rPr>
          <w:rFonts w:hint="eastAsia"/>
        </w:rPr>
        <w:t>万元。</w:t>
      </w:r>
    </w:p>
    <w:p>
      <w:pPr>
        <w:pStyle w:val="30"/>
      </w:pPr>
      <w:r>
        <w:t>3</w:t>
      </w:r>
      <w:r>
        <w:rPr>
          <w:rFonts w:hint="eastAsia"/>
        </w:rPr>
        <w:t>、比上年增减情况</w:t>
      </w:r>
    </w:p>
    <w:p>
      <w:pPr>
        <w:pStyle w:val="30"/>
      </w:pPr>
      <w:r>
        <w:t>2022</w:t>
      </w:r>
      <w:r>
        <w:rPr>
          <w:rFonts w:hint="eastAsia"/>
        </w:rPr>
        <w:t>年预算收支安排</w:t>
      </w:r>
      <w:r>
        <w:t>178.05</w:t>
      </w:r>
      <w:r>
        <w:rPr>
          <w:rFonts w:hint="eastAsia"/>
        </w:rPr>
        <w:t>万元，较</w:t>
      </w:r>
      <w:r>
        <w:t>2021</w:t>
      </w:r>
      <w:r>
        <w:rPr>
          <w:rFonts w:hint="eastAsia"/>
        </w:rPr>
        <w:t>年预算减少</w:t>
      </w:r>
      <w:r>
        <w:t>35.11</w:t>
      </w:r>
      <w:r>
        <w:rPr>
          <w:rFonts w:hint="eastAsia"/>
        </w:rPr>
        <w:t>万元，其中：基本支出增加</w:t>
      </w:r>
      <w:r>
        <w:t>14.89</w:t>
      </w:r>
      <w:r>
        <w:rPr>
          <w:rFonts w:hint="eastAsia"/>
        </w:rPr>
        <w:t>万元，主要为增加人员经费支出；项目支出减少</w:t>
      </w:r>
      <w:r>
        <w:t>25</w:t>
      </w:r>
      <w:r>
        <w:rPr>
          <w:rFonts w:hint="eastAsia"/>
        </w:rPr>
        <w:t>万元，主要为减少体育活动支出。</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t>17</w:t>
      </w:r>
      <w:r>
        <w:rPr>
          <w:rFonts w:hint="eastAsia"/>
        </w:rPr>
        <w:t>万元，主要用于办公、差旅、水电费等日常运行支出。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1.49</w:t>
      </w:r>
      <w:r>
        <w:rPr>
          <w:rFonts w:hint="eastAsia"/>
        </w:rPr>
        <w:t>万元，其中因公出国（境）费</w:t>
      </w:r>
      <w:r>
        <w:t>0</w:t>
      </w:r>
      <w:r>
        <w:rPr>
          <w:rFonts w:hint="eastAsia"/>
        </w:rPr>
        <w:t>万元；公务用车购置及运维费</w:t>
      </w:r>
      <w:r>
        <w:t>1.49</w:t>
      </w:r>
      <w:r>
        <w:rPr>
          <w:rFonts w:hint="eastAsia"/>
        </w:rPr>
        <w:t>万元（其中：公务用车购置费为</w:t>
      </w:r>
      <w:r>
        <w:t>0</w:t>
      </w:r>
      <w:r>
        <w:rPr>
          <w:rFonts w:hint="eastAsia"/>
        </w:rPr>
        <w:t>万元，公务用车运维费</w:t>
      </w:r>
      <w:r>
        <w:t>1.49</w:t>
      </w:r>
      <w:r>
        <w:rPr>
          <w:rFonts w:hint="eastAsia"/>
        </w:rPr>
        <w:t>万元</w:t>
      </w:r>
      <w:r>
        <w:t>)</w:t>
      </w:r>
      <w:r>
        <w:rPr>
          <w:rFonts w:hint="eastAsia"/>
        </w:rPr>
        <w:t>；公务接待费</w:t>
      </w:r>
      <w:r>
        <w:t>0</w:t>
      </w:r>
      <w:r>
        <w:rPr>
          <w:rFonts w:hint="eastAsia"/>
        </w:rPr>
        <w:t>万元。与</w:t>
      </w:r>
      <w:r>
        <w:t>2021</w:t>
      </w:r>
      <w:r>
        <w:rPr>
          <w:rFonts w:hint="eastAsia"/>
        </w:rPr>
        <w:t>年持平。</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eastAsia="方正仿宋_GBK"/>
          <w:sz w:val="28"/>
        </w:rPr>
      </w:pP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p>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年，馆陶县教育体育局本级安排政府采购预算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馆陶县教育体育局本级上年末固定资产金额为</w:t>
      </w:r>
      <w:r>
        <w:rPr>
          <w:rFonts w:hint="eastAsia" w:eastAsia="方正仿宋_GBK"/>
          <w:sz w:val="28"/>
        </w:rPr>
        <w:t>981.74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360001</w:t>
            </w:r>
            <w:r>
              <w:rPr>
                <w:rFonts w:hint="eastAsia"/>
              </w:rPr>
              <w:t>馆陶县教育体育局本级</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shd w:val="clear" w:color="auto" w:fill="auto"/>
            <w:vAlign w:val="center"/>
          </w:tcPr>
          <w:p>
            <w:pPr>
              <w:jc w:val="center"/>
              <w:rPr>
                <w:sz w:val="22"/>
              </w:rPr>
            </w:pPr>
            <w:r>
              <w:rPr>
                <w:sz w:val="22"/>
              </w:rPr>
              <w:t>——</w:t>
            </w:r>
          </w:p>
        </w:tc>
        <w:tc>
          <w:tcPr>
            <w:tcW w:w="2835" w:type="dxa"/>
            <w:shd w:val="clear" w:color="auto" w:fill="auto"/>
            <w:vAlign w:val="center"/>
          </w:tcPr>
          <w:p>
            <w:pPr>
              <w:jc w:val="center"/>
              <w:rPr>
                <w:sz w:val="22"/>
              </w:rPr>
            </w:pPr>
            <w:r>
              <w:rPr>
                <w:sz w:val="22"/>
              </w:rPr>
              <w:t>9,817,368.77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shd w:val="clear" w:color="auto" w:fill="auto"/>
            <w:vAlign w:val="center"/>
          </w:tcPr>
          <w:p>
            <w:pPr>
              <w:jc w:val="center"/>
              <w:rPr>
                <w:sz w:val="22"/>
              </w:rPr>
            </w:pPr>
            <w:r>
              <w:rPr>
                <w:sz w:val="22"/>
              </w:rPr>
              <w:t>5,282</w:t>
            </w:r>
          </w:p>
        </w:tc>
        <w:tc>
          <w:tcPr>
            <w:tcW w:w="2835" w:type="dxa"/>
            <w:shd w:val="clear" w:color="auto" w:fill="auto"/>
            <w:vAlign w:val="center"/>
          </w:tcPr>
          <w:p>
            <w:pPr>
              <w:jc w:val="center"/>
              <w:rPr>
                <w:sz w:val="22"/>
              </w:rPr>
            </w:pPr>
            <w:r>
              <w:rPr>
                <w:sz w:val="22"/>
              </w:rPr>
              <w:t>4,782,653.07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shd w:val="clear" w:color="auto" w:fill="auto"/>
            <w:vAlign w:val="center"/>
          </w:tcPr>
          <w:p>
            <w:pPr>
              <w:jc w:val="center"/>
              <w:rPr>
                <w:sz w:val="22"/>
              </w:rPr>
            </w:pPr>
            <w:r>
              <w:rPr>
                <w:sz w:val="22"/>
              </w:rPr>
              <w:t>5,282</w:t>
            </w:r>
          </w:p>
        </w:tc>
        <w:tc>
          <w:tcPr>
            <w:tcW w:w="2835" w:type="dxa"/>
            <w:shd w:val="clear" w:color="auto" w:fill="auto"/>
            <w:vAlign w:val="center"/>
          </w:tcPr>
          <w:p>
            <w:pPr>
              <w:jc w:val="center"/>
              <w:rPr>
                <w:sz w:val="22"/>
              </w:rPr>
            </w:pPr>
            <w:r>
              <w:rPr>
                <w:sz w:val="22"/>
              </w:rPr>
              <w:t>4,782,653.07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shd w:val="clear" w:color="auto" w:fill="auto"/>
            <w:vAlign w:val="center"/>
          </w:tcPr>
          <w:p>
            <w:pPr>
              <w:jc w:val="center"/>
              <w:rPr>
                <w:sz w:val="22"/>
              </w:rPr>
            </w:pPr>
            <w:r>
              <w:rPr>
                <w:rFonts w:hint="eastAsia"/>
                <w:sz w:val="22"/>
              </w:rPr>
              <w:t>1</w:t>
            </w:r>
          </w:p>
        </w:tc>
        <w:tc>
          <w:tcPr>
            <w:tcW w:w="2835" w:type="dxa"/>
            <w:shd w:val="clear" w:color="auto" w:fill="auto"/>
            <w:vAlign w:val="center"/>
          </w:tcPr>
          <w:p>
            <w:pPr>
              <w:jc w:val="center"/>
              <w:rPr>
                <w:sz w:val="22"/>
              </w:rPr>
            </w:pPr>
            <w:r>
              <w:rPr>
                <w:rFonts w:hint="eastAsia"/>
                <w:sz w:val="22"/>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shd w:val="clear" w:color="auto" w:fill="auto"/>
            <w:vAlign w:val="center"/>
          </w:tcPr>
          <w:p>
            <w:pPr>
              <w:jc w:val="center"/>
              <w:rPr>
                <w:sz w:val="22"/>
              </w:rPr>
            </w:pPr>
          </w:p>
        </w:tc>
        <w:tc>
          <w:tcPr>
            <w:tcW w:w="2835" w:type="dxa"/>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370" w:type="dxa"/>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shd w:val="clear" w:color="auto" w:fill="auto"/>
            <w:vAlign w:val="center"/>
          </w:tcPr>
          <w:p>
            <w:pPr>
              <w:jc w:val="center"/>
              <w:rPr>
                <w:sz w:val="22"/>
              </w:rPr>
            </w:pPr>
            <w:r>
              <w:rPr>
                <w:sz w:val="22"/>
              </w:rPr>
              <w:t>938.00</w:t>
            </w:r>
          </w:p>
        </w:tc>
        <w:tc>
          <w:tcPr>
            <w:tcW w:w="2835" w:type="dxa"/>
            <w:shd w:val="clear" w:color="auto" w:fill="auto"/>
            <w:vAlign w:val="center"/>
          </w:tcPr>
          <w:p>
            <w:pPr>
              <w:jc w:val="center"/>
              <w:rPr>
                <w:sz w:val="22"/>
              </w:rPr>
            </w:pPr>
            <w:r>
              <w:rPr>
                <w:sz w:val="22"/>
              </w:rPr>
              <w:t>5,034,715.70</w:t>
            </w:r>
          </w:p>
        </w:tc>
      </w:tr>
    </w:tbl>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roman"/>
    <w:pitch w:val="default"/>
    <w:sig w:usb0="00000000" w:usb1="00000000" w:usb2="00000010" w:usb3="00000000" w:csb0="00040000" w:csb1="00000000"/>
  </w:font>
  <w:font w:name="方正小标宋_GBK">
    <w:altName w:val="微软雅黑"/>
    <w:panose1 w:val="020B0604020202020204"/>
    <w:charset w:val="86"/>
    <w:family w:val="roman"/>
    <w:pitch w:val="default"/>
    <w:sig w:usb0="00000000" w:usb1="00000000" w:usb2="00000000" w:usb3="00000000" w:csb0="00040000" w:csb1="00000000"/>
  </w:font>
  <w:font w:name="方正书宋_GBK">
    <w:altName w:val="宋体"/>
    <w:panose1 w:val="020B0604020202020204"/>
    <w:charset w:val="86"/>
    <w:family w:val="roman"/>
    <w:pitch w:val="default"/>
    <w:sig w:usb0="00000000" w:usb1="00000000" w:usb2="00000010" w:usb3="00000000" w:csb0="00040000" w:csb1="00000000"/>
  </w:font>
  <w:font w:name="方正楷体_GBK">
    <w:altName w:val="宋体"/>
    <w:panose1 w:val="020B0604020202020204"/>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7F86D"/>
    <w:multiLevelType w:val="singleLevel"/>
    <w:tmpl w:val="35C7F86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2318FE"/>
    <w:rsid w:val="00272629"/>
    <w:rsid w:val="00425908"/>
    <w:rsid w:val="00441ACB"/>
    <w:rsid w:val="004B2FF8"/>
    <w:rsid w:val="006139AD"/>
    <w:rsid w:val="006617AB"/>
    <w:rsid w:val="0071242B"/>
    <w:rsid w:val="007C54C1"/>
    <w:rsid w:val="008948A2"/>
    <w:rsid w:val="00A25FC9"/>
    <w:rsid w:val="00A431A0"/>
    <w:rsid w:val="00A866CD"/>
    <w:rsid w:val="00AD5910"/>
    <w:rsid w:val="00BF6F45"/>
    <w:rsid w:val="00C81E0E"/>
    <w:rsid w:val="00CB669A"/>
    <w:rsid w:val="00F146E2"/>
    <w:rsid w:val="08ED4528"/>
    <w:rsid w:val="11611EC3"/>
    <w:rsid w:val="157D26F2"/>
    <w:rsid w:val="17B50356"/>
    <w:rsid w:val="1DB61457"/>
    <w:rsid w:val="22FD1C97"/>
    <w:rsid w:val="2B130674"/>
    <w:rsid w:val="2C6F5E0A"/>
    <w:rsid w:val="2F00311E"/>
    <w:rsid w:val="33984B20"/>
    <w:rsid w:val="43EA57C6"/>
    <w:rsid w:val="44F46187"/>
    <w:rsid w:val="5C0B0C07"/>
    <w:rsid w:val="5C83540E"/>
    <w:rsid w:val="624A7D95"/>
    <w:rsid w:val="67C96AC3"/>
    <w:rsid w:val="71EE3FF1"/>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5694</Words>
  <Characters>7613</Characters>
  <Lines>66</Lines>
  <Paragraphs>18</Paragraphs>
  <TotalTime>1</TotalTime>
  <ScaleCrop>false</ScaleCrop>
  <LinksUpToDate>false</LinksUpToDate>
  <CharactersWithSpaces>7740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2023-08-02T14:57:00Z</dcterms:created>
  <dc:creator>Administrator</dc:creator>
  <cp:lastModifiedBy>Sally</cp:lastModifiedBy>
  <dcterms:modified xsi:type="dcterms:W3CDTF">2024-05-30T09:00:43Z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C96425C82FC748808E2522A23C5E5459_12</vt:lpwstr>
  </property>
</Properties>
</file>