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馆陶县魏僧寨镇教委（中学）收支预算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3564800.00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2697700.00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461600.00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144000.00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261500.00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3564800.00</w:t>
            </w:r>
          </w:p>
        </w:tc>
        <w:tc>
          <w:tcPr>
            <w:tcW w:w="4535" w:type="dxa"/>
            <w:vAlign w:val="center"/>
          </w:tcPr>
          <w:p>
            <w:pPr>
              <w:pStyle w:val="18"/>
            </w:pPr>
            <w:r>
              <w:rPr>
                <w:rFonts w:hint="eastAsia"/>
              </w:rPr>
              <w:t>本年支出合计</w:t>
            </w:r>
          </w:p>
        </w:tc>
        <w:tc>
          <w:tcPr>
            <w:tcW w:w="2126" w:type="dxa"/>
            <w:vAlign w:val="center"/>
          </w:tcPr>
          <w:p>
            <w:pPr>
              <w:pStyle w:val="19"/>
            </w:pPr>
            <w:r>
              <w:t>3564800.00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3564800.00</w:t>
            </w:r>
          </w:p>
        </w:tc>
        <w:tc>
          <w:tcPr>
            <w:tcW w:w="4535" w:type="dxa"/>
            <w:vAlign w:val="center"/>
          </w:tcPr>
          <w:p>
            <w:pPr>
              <w:pStyle w:val="18"/>
            </w:pPr>
            <w:r>
              <w:rPr>
                <w:rFonts w:hint="eastAsia"/>
              </w:rPr>
              <w:t>支出总计</w:t>
            </w:r>
          </w:p>
        </w:tc>
        <w:tc>
          <w:tcPr>
            <w:tcW w:w="2126" w:type="dxa"/>
            <w:vAlign w:val="center"/>
          </w:tcPr>
          <w:p>
            <w:pPr>
              <w:pStyle w:val="19"/>
            </w:pPr>
            <w:r>
              <w:t>3564800.00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3564800.00</w:t>
            </w:r>
          </w:p>
        </w:tc>
        <w:tc>
          <w:tcPr>
            <w:tcW w:w="1134" w:type="dxa"/>
            <w:vAlign w:val="center"/>
          </w:tcPr>
          <w:p>
            <w:pPr>
              <w:pStyle w:val="19"/>
            </w:pPr>
            <w:r>
              <w:t>3564800.00</w:t>
            </w:r>
          </w:p>
        </w:tc>
        <w:tc>
          <w:tcPr>
            <w:tcW w:w="1134" w:type="dxa"/>
            <w:vAlign w:val="center"/>
          </w:tcPr>
          <w:p>
            <w:pPr>
              <w:pStyle w:val="19"/>
            </w:pPr>
            <w:r>
              <w:t>3564800.00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r>
              <w:t>2697700.00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r>
              <w:t>461600.00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308000.00</w:t>
            </w:r>
          </w:p>
        </w:tc>
        <w:tc>
          <w:tcPr>
            <w:tcW w:w="1134" w:type="dxa"/>
            <w:vAlign w:val="center"/>
          </w:tcPr>
          <w:p>
            <w:pPr>
              <w:pStyle w:val="15"/>
            </w:pPr>
            <w:r>
              <w:t>308000.00</w:t>
            </w:r>
          </w:p>
        </w:tc>
        <w:tc>
          <w:tcPr>
            <w:tcW w:w="1134" w:type="dxa"/>
            <w:vAlign w:val="center"/>
          </w:tcPr>
          <w:p>
            <w:pPr>
              <w:pStyle w:val="15"/>
            </w:pPr>
            <w:r>
              <w:t>308000.00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153600.00</w:t>
            </w:r>
          </w:p>
        </w:tc>
        <w:tc>
          <w:tcPr>
            <w:tcW w:w="1134" w:type="dxa"/>
            <w:vAlign w:val="center"/>
          </w:tcPr>
          <w:p>
            <w:pPr>
              <w:pStyle w:val="15"/>
            </w:pPr>
            <w:r>
              <w:t>153600.00</w:t>
            </w:r>
          </w:p>
        </w:tc>
        <w:tc>
          <w:tcPr>
            <w:tcW w:w="1134" w:type="dxa"/>
            <w:vAlign w:val="center"/>
          </w:tcPr>
          <w:p>
            <w:pPr>
              <w:pStyle w:val="15"/>
            </w:pPr>
            <w:r>
              <w:t>153600.00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r>
              <w:t>144000.00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r>
              <w:t>261500.00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3564800.00</w:t>
            </w:r>
          </w:p>
        </w:tc>
        <w:tc>
          <w:tcPr>
            <w:tcW w:w="1361" w:type="dxa"/>
            <w:vAlign w:val="center"/>
          </w:tcPr>
          <w:p>
            <w:pPr>
              <w:pStyle w:val="19"/>
            </w:pPr>
            <w:r>
              <w:t>3564800.00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2697700.00</w:t>
            </w:r>
          </w:p>
        </w:tc>
        <w:tc>
          <w:tcPr>
            <w:tcW w:w="1361" w:type="dxa"/>
            <w:vAlign w:val="center"/>
          </w:tcPr>
          <w:p>
            <w:pPr>
              <w:pStyle w:val="15"/>
            </w:pPr>
            <w:r>
              <w:t>2697700.00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461600.00</w:t>
            </w:r>
          </w:p>
        </w:tc>
        <w:tc>
          <w:tcPr>
            <w:tcW w:w="1361" w:type="dxa"/>
            <w:vAlign w:val="center"/>
          </w:tcPr>
          <w:p>
            <w:pPr>
              <w:pStyle w:val="15"/>
            </w:pPr>
            <w:r>
              <w:t>461600.00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461600.00</w:t>
            </w:r>
          </w:p>
        </w:tc>
        <w:tc>
          <w:tcPr>
            <w:tcW w:w="1361" w:type="dxa"/>
            <w:vAlign w:val="center"/>
          </w:tcPr>
          <w:p>
            <w:pPr>
              <w:pStyle w:val="15"/>
            </w:pPr>
            <w:r>
              <w:t>461600.00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308000.00</w:t>
            </w:r>
          </w:p>
        </w:tc>
        <w:tc>
          <w:tcPr>
            <w:tcW w:w="1361" w:type="dxa"/>
            <w:vAlign w:val="center"/>
          </w:tcPr>
          <w:p>
            <w:pPr>
              <w:pStyle w:val="15"/>
            </w:pPr>
            <w:r>
              <w:t>308000.00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153600.00</w:t>
            </w:r>
          </w:p>
        </w:tc>
        <w:tc>
          <w:tcPr>
            <w:tcW w:w="1361" w:type="dxa"/>
            <w:vAlign w:val="center"/>
          </w:tcPr>
          <w:p>
            <w:pPr>
              <w:pStyle w:val="15"/>
            </w:pPr>
            <w:r>
              <w:t>153600.00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144000.00</w:t>
            </w:r>
          </w:p>
        </w:tc>
        <w:tc>
          <w:tcPr>
            <w:tcW w:w="1361" w:type="dxa"/>
            <w:vAlign w:val="center"/>
          </w:tcPr>
          <w:p>
            <w:pPr>
              <w:pStyle w:val="15"/>
            </w:pPr>
            <w:r>
              <w:t>144000.00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261500.00</w:t>
            </w:r>
          </w:p>
        </w:tc>
        <w:tc>
          <w:tcPr>
            <w:tcW w:w="1361" w:type="dxa"/>
            <w:vAlign w:val="center"/>
          </w:tcPr>
          <w:p>
            <w:pPr>
              <w:pStyle w:val="15"/>
            </w:pPr>
            <w:r>
              <w:t>261500.00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3564800.00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2697700.00</w:t>
            </w:r>
          </w:p>
        </w:tc>
        <w:tc>
          <w:tcPr>
            <w:tcW w:w="1474" w:type="dxa"/>
            <w:vAlign w:val="center"/>
          </w:tcPr>
          <w:p>
            <w:pPr>
              <w:pStyle w:val="15"/>
            </w:pPr>
            <w:r>
              <w:t>2697700.00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461600.00</w:t>
            </w:r>
          </w:p>
        </w:tc>
        <w:tc>
          <w:tcPr>
            <w:tcW w:w="1474" w:type="dxa"/>
            <w:vAlign w:val="center"/>
          </w:tcPr>
          <w:p>
            <w:pPr>
              <w:pStyle w:val="15"/>
            </w:pPr>
            <w:r>
              <w:t>461600.00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144000.00</w:t>
            </w:r>
          </w:p>
        </w:tc>
        <w:tc>
          <w:tcPr>
            <w:tcW w:w="1474" w:type="dxa"/>
            <w:vAlign w:val="center"/>
          </w:tcPr>
          <w:p>
            <w:pPr>
              <w:pStyle w:val="15"/>
            </w:pPr>
            <w:r>
              <w:t>144000.00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261500.00</w:t>
            </w:r>
          </w:p>
        </w:tc>
        <w:tc>
          <w:tcPr>
            <w:tcW w:w="1474" w:type="dxa"/>
            <w:vAlign w:val="center"/>
          </w:tcPr>
          <w:p>
            <w:pPr>
              <w:pStyle w:val="15"/>
            </w:pPr>
            <w:r>
              <w:t>261500.00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3564800.00</w:t>
            </w:r>
          </w:p>
        </w:tc>
        <w:tc>
          <w:tcPr>
            <w:tcW w:w="3402" w:type="dxa"/>
            <w:vAlign w:val="center"/>
          </w:tcPr>
          <w:p>
            <w:pPr>
              <w:pStyle w:val="18"/>
            </w:pPr>
            <w:r>
              <w:rPr>
                <w:rFonts w:hint="eastAsia"/>
              </w:rPr>
              <w:t>本年支出合计</w:t>
            </w:r>
          </w:p>
        </w:tc>
        <w:tc>
          <w:tcPr>
            <w:tcW w:w="1474" w:type="dxa"/>
            <w:vAlign w:val="center"/>
          </w:tcPr>
          <w:p>
            <w:pPr>
              <w:pStyle w:val="19"/>
            </w:pPr>
            <w:r>
              <w:t>3564800.00</w:t>
            </w:r>
          </w:p>
        </w:tc>
        <w:tc>
          <w:tcPr>
            <w:tcW w:w="1474" w:type="dxa"/>
            <w:vAlign w:val="center"/>
          </w:tcPr>
          <w:p>
            <w:pPr>
              <w:pStyle w:val="19"/>
            </w:pPr>
            <w:r>
              <w:t>3564800.00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3564800.00</w:t>
            </w:r>
          </w:p>
        </w:tc>
        <w:tc>
          <w:tcPr>
            <w:tcW w:w="3402" w:type="dxa"/>
            <w:vAlign w:val="center"/>
          </w:tcPr>
          <w:p>
            <w:pPr>
              <w:pStyle w:val="18"/>
            </w:pPr>
            <w:r>
              <w:rPr>
                <w:rFonts w:hint="eastAsia"/>
              </w:rPr>
              <w:t>支出总计</w:t>
            </w:r>
          </w:p>
        </w:tc>
        <w:tc>
          <w:tcPr>
            <w:tcW w:w="1474" w:type="dxa"/>
            <w:vAlign w:val="center"/>
          </w:tcPr>
          <w:p>
            <w:pPr>
              <w:pStyle w:val="19"/>
            </w:pPr>
            <w:r>
              <w:t>3564800.00</w:t>
            </w:r>
          </w:p>
        </w:tc>
        <w:tc>
          <w:tcPr>
            <w:tcW w:w="1474" w:type="dxa"/>
            <w:vAlign w:val="center"/>
          </w:tcPr>
          <w:p>
            <w:pPr>
              <w:pStyle w:val="19"/>
            </w:pPr>
            <w:r>
              <w:t>3564800.00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3564800.00</w:t>
            </w:r>
          </w:p>
        </w:tc>
        <w:tc>
          <w:tcPr>
            <w:tcW w:w="2551" w:type="dxa"/>
            <w:vAlign w:val="center"/>
          </w:tcPr>
          <w:p>
            <w:pPr>
              <w:pStyle w:val="19"/>
            </w:pPr>
            <w:r>
              <w:t>3564800.00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2697700.00</w:t>
            </w:r>
          </w:p>
        </w:tc>
        <w:tc>
          <w:tcPr>
            <w:tcW w:w="2551" w:type="dxa"/>
            <w:vAlign w:val="center"/>
          </w:tcPr>
          <w:p>
            <w:pPr>
              <w:pStyle w:val="15"/>
            </w:pPr>
            <w:r>
              <w:t>2697700.00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461600.00</w:t>
            </w:r>
          </w:p>
        </w:tc>
        <w:tc>
          <w:tcPr>
            <w:tcW w:w="2551" w:type="dxa"/>
            <w:vAlign w:val="center"/>
          </w:tcPr>
          <w:p>
            <w:pPr>
              <w:pStyle w:val="15"/>
            </w:pPr>
            <w:r>
              <w:t>461600.00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461600.00</w:t>
            </w:r>
          </w:p>
        </w:tc>
        <w:tc>
          <w:tcPr>
            <w:tcW w:w="2551" w:type="dxa"/>
            <w:vAlign w:val="center"/>
          </w:tcPr>
          <w:p>
            <w:pPr>
              <w:pStyle w:val="15"/>
            </w:pPr>
            <w:r>
              <w:t>461600.00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308000.00</w:t>
            </w:r>
          </w:p>
        </w:tc>
        <w:tc>
          <w:tcPr>
            <w:tcW w:w="2551" w:type="dxa"/>
            <w:vAlign w:val="center"/>
          </w:tcPr>
          <w:p>
            <w:pPr>
              <w:pStyle w:val="15"/>
            </w:pPr>
            <w:r>
              <w:t>308000.00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153600.00</w:t>
            </w:r>
          </w:p>
        </w:tc>
        <w:tc>
          <w:tcPr>
            <w:tcW w:w="2551" w:type="dxa"/>
            <w:vAlign w:val="center"/>
          </w:tcPr>
          <w:p>
            <w:pPr>
              <w:pStyle w:val="15"/>
            </w:pPr>
            <w:r>
              <w:t>153600.00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144000.00</w:t>
            </w:r>
          </w:p>
        </w:tc>
        <w:tc>
          <w:tcPr>
            <w:tcW w:w="2551" w:type="dxa"/>
            <w:vAlign w:val="center"/>
          </w:tcPr>
          <w:p>
            <w:pPr>
              <w:pStyle w:val="15"/>
            </w:pPr>
            <w:r>
              <w:t>144000.00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3564800.00</w:t>
            </w:r>
          </w:p>
        </w:tc>
        <w:tc>
          <w:tcPr>
            <w:tcW w:w="2551" w:type="dxa"/>
            <w:vAlign w:val="center"/>
          </w:tcPr>
          <w:p>
            <w:pPr>
              <w:pStyle w:val="19"/>
            </w:pPr>
            <w:r>
              <w:t>3564800.00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3439800.00</w:t>
            </w:r>
          </w:p>
        </w:tc>
        <w:tc>
          <w:tcPr>
            <w:tcW w:w="2551" w:type="dxa"/>
            <w:vAlign w:val="center"/>
          </w:tcPr>
          <w:p>
            <w:pPr>
              <w:pStyle w:val="15"/>
            </w:pPr>
            <w:r>
              <w:t>3439800.00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1432900.00</w:t>
            </w:r>
          </w:p>
        </w:tc>
        <w:tc>
          <w:tcPr>
            <w:tcW w:w="2551" w:type="dxa"/>
            <w:vAlign w:val="center"/>
          </w:tcPr>
          <w:p>
            <w:pPr>
              <w:pStyle w:val="15"/>
            </w:pPr>
            <w:r>
              <w:t>1432900.00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265500.00</w:t>
            </w:r>
          </w:p>
        </w:tc>
        <w:tc>
          <w:tcPr>
            <w:tcW w:w="2551" w:type="dxa"/>
            <w:vAlign w:val="center"/>
          </w:tcPr>
          <w:p>
            <w:pPr>
              <w:pStyle w:val="15"/>
            </w:pPr>
            <w:r>
              <w:t>265500.00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375000.00</w:t>
            </w:r>
          </w:p>
        </w:tc>
        <w:tc>
          <w:tcPr>
            <w:tcW w:w="2551" w:type="dxa"/>
            <w:vAlign w:val="center"/>
          </w:tcPr>
          <w:p>
            <w:pPr>
              <w:pStyle w:val="15"/>
            </w:pPr>
            <w:r>
              <w:t>375000.00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485000.00</w:t>
            </w:r>
          </w:p>
        </w:tc>
        <w:tc>
          <w:tcPr>
            <w:tcW w:w="2551" w:type="dxa"/>
            <w:vAlign w:val="center"/>
          </w:tcPr>
          <w:p>
            <w:pPr>
              <w:pStyle w:val="15"/>
            </w:pPr>
            <w:r>
              <w:t>485000.00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308000.00</w:t>
            </w:r>
          </w:p>
        </w:tc>
        <w:tc>
          <w:tcPr>
            <w:tcW w:w="2551" w:type="dxa"/>
            <w:vAlign w:val="center"/>
          </w:tcPr>
          <w:p>
            <w:pPr>
              <w:pStyle w:val="15"/>
            </w:pPr>
            <w:r>
              <w:t>308000.00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153600.00</w:t>
            </w:r>
          </w:p>
        </w:tc>
        <w:tc>
          <w:tcPr>
            <w:tcW w:w="2551" w:type="dxa"/>
            <w:vAlign w:val="center"/>
          </w:tcPr>
          <w:p>
            <w:pPr>
              <w:pStyle w:val="15"/>
            </w:pPr>
            <w:r>
              <w:t>153600.00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142500.00</w:t>
            </w:r>
          </w:p>
        </w:tc>
        <w:tc>
          <w:tcPr>
            <w:tcW w:w="2551" w:type="dxa"/>
            <w:vAlign w:val="center"/>
          </w:tcPr>
          <w:p>
            <w:pPr>
              <w:pStyle w:val="15"/>
            </w:pPr>
            <w:r>
              <w:t>142500.00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15800.00</w:t>
            </w:r>
          </w:p>
        </w:tc>
        <w:tc>
          <w:tcPr>
            <w:tcW w:w="2551" w:type="dxa"/>
            <w:vAlign w:val="center"/>
          </w:tcPr>
          <w:p>
            <w:pPr>
              <w:pStyle w:val="15"/>
            </w:pPr>
            <w:r>
              <w:t>15800.00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261500.00</w:t>
            </w:r>
          </w:p>
        </w:tc>
        <w:tc>
          <w:tcPr>
            <w:tcW w:w="2551" w:type="dxa"/>
            <w:vAlign w:val="center"/>
          </w:tcPr>
          <w:p>
            <w:pPr>
              <w:pStyle w:val="15"/>
            </w:pPr>
            <w:r>
              <w:t>261500.00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馆陶县魏僧寨镇教委（中学）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预算法》、《地方预决算公开操作规程》和《关于进一步推进预算公开工作的实施意见》规定，现将馆陶县魏僧寨镇教委（中学）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馆陶县魏僧寨镇教委（中学）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356</w:t>
      </w:r>
      <w:r>
        <w:rPr>
          <w:rFonts w:hint="eastAsia"/>
          <w:lang w:eastAsia="zh-CN"/>
        </w:rPr>
        <w:t>.</w:t>
      </w:r>
      <w:r>
        <w:t>48</w:t>
      </w:r>
      <w:r>
        <w:rPr>
          <w:rFonts w:hint="eastAsia"/>
        </w:rPr>
        <w:t>万元，其中：一般公共预算收入</w:t>
      </w:r>
      <w:r>
        <w:t>356</w:t>
      </w:r>
      <w:r>
        <w:rPr>
          <w:rFonts w:hint="eastAsia"/>
          <w:lang w:eastAsia="zh-CN"/>
        </w:rPr>
        <w:t>.</w:t>
      </w:r>
      <w:r>
        <w:t>48</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t>收支预算总表支出栏、基本支出表、项目支出表按经济分类和支出功能分类科目编制，反映202</w:t>
      </w:r>
      <w:r>
        <w:rPr>
          <w:rFonts w:hint="eastAsia"/>
          <w:lang w:eastAsia="zh-CN"/>
        </w:rPr>
        <w:t>2</w:t>
      </w:r>
      <w:r>
        <w:t>年度单位预算中支出预算的总体情况。202</w:t>
      </w:r>
      <w:r>
        <w:rPr>
          <w:rFonts w:hint="eastAsia"/>
          <w:lang w:eastAsia="zh-CN"/>
        </w:rPr>
        <w:t>2</w:t>
      </w:r>
      <w:r>
        <w:t>年支出预算356</w:t>
      </w:r>
      <w:r>
        <w:rPr>
          <w:rFonts w:hint="eastAsia"/>
          <w:lang w:eastAsia="zh-CN"/>
        </w:rPr>
        <w:t>.</w:t>
      </w:r>
      <w:r>
        <w:t>48万元，其中基本支出356</w:t>
      </w:r>
      <w:r>
        <w:rPr>
          <w:rFonts w:hint="eastAsia"/>
          <w:lang w:eastAsia="zh-CN"/>
        </w:rPr>
        <w:t>.</w:t>
      </w:r>
      <w:r>
        <w:t>48万元，全部为人员经费；项目支出0万元。</w:t>
      </w:r>
    </w:p>
    <w:p>
      <w:pPr>
        <w:pStyle w:val="30"/>
      </w:pPr>
      <w:r>
        <w:t>3</w:t>
      </w:r>
      <w:r>
        <w:rPr>
          <w:rFonts w:hint="eastAsia"/>
        </w:rPr>
        <w:t>、比上年增减情况</w:t>
      </w:r>
    </w:p>
    <w:p>
      <w:pPr>
        <w:pStyle w:val="30"/>
        <w:rPr>
          <w:lang w:eastAsia="zh-CN"/>
        </w:rPr>
      </w:pPr>
      <w:r>
        <w:t>2022</w:t>
      </w:r>
      <w:r>
        <w:rPr>
          <w:rFonts w:hint="eastAsia"/>
        </w:rPr>
        <w:t>年预算收支安排</w:t>
      </w:r>
      <w:r>
        <w:t>356</w:t>
      </w:r>
      <w:r>
        <w:rPr>
          <w:rFonts w:hint="eastAsia"/>
          <w:lang w:eastAsia="zh-CN"/>
        </w:rPr>
        <w:t>.</w:t>
      </w:r>
      <w:r>
        <w:t>48</w:t>
      </w:r>
      <w:r>
        <w:rPr>
          <w:rFonts w:hint="eastAsia"/>
        </w:rPr>
        <w:t>万元，</w:t>
      </w:r>
      <w:r>
        <w:t>较202</w:t>
      </w:r>
      <w:r>
        <w:rPr>
          <w:rFonts w:hint="eastAsia"/>
          <w:lang w:eastAsia="zh-CN"/>
        </w:rPr>
        <w:t>1</w:t>
      </w:r>
      <w:r>
        <w:t>年预算增加</w:t>
      </w:r>
      <w:r>
        <w:rPr>
          <w:rFonts w:hint="eastAsia"/>
          <w:lang w:eastAsia="zh-CN"/>
        </w:rPr>
        <w:t>5.33</w:t>
      </w:r>
      <w:r>
        <w:t>万元，其中：基本支出增加</w:t>
      </w:r>
      <w:r>
        <w:rPr>
          <w:rFonts w:hint="eastAsia"/>
          <w:lang w:eastAsia="zh-CN"/>
        </w:rPr>
        <w:t>5.33</w:t>
      </w:r>
      <w:r>
        <w:t>万元，主要为增加人员经费支出；项目支出0万元，与上年持平</w:t>
      </w:r>
      <w:r>
        <w:rPr>
          <w:rFonts w:hint="eastAsia"/>
          <w:lang w:eastAsia="zh-CN"/>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年，馆陶县魏僧寨镇教委（中学）安排政府采购预算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馆陶县魏僧寨镇教委（中学）上年末固定资产金额为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360021</w:t>
            </w:r>
            <w:r>
              <w:rPr>
                <w:rFonts w:hint="eastAsia"/>
              </w:rPr>
              <w:t>馆陶县魏僧寨镇教委（中学）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C7CA5-CEB8-45CA-916F-E9D56473F7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roman"/>
    <w:pitch w:val="default"/>
    <w:sig w:usb0="00000001" w:usb1="080E0000" w:usb2="00000000" w:usb3="00000000" w:csb0="00040000" w:csb1="00000000"/>
    <w:embedRegular r:id="rId2" w:fontKey="{14537F10-DC3F-4C09-A0E0-5A6435E80386}"/>
  </w:font>
  <w:font w:name="方正小标宋_GBK">
    <w:panose1 w:val="03000509000000000000"/>
    <w:charset w:val="86"/>
    <w:family w:val="roman"/>
    <w:pitch w:val="default"/>
    <w:sig w:usb0="00000001" w:usb1="080E0000" w:usb2="00000000" w:usb3="00000000" w:csb0="00040000" w:csb1="00000000"/>
    <w:embedRegular r:id="rId3" w:fontKey="{6E161407-C46F-4163-B723-B5F2104BB3C8}"/>
  </w:font>
  <w:font w:name="方正书宋_GBK">
    <w:panose1 w:val="03000509000000000000"/>
    <w:charset w:val="86"/>
    <w:family w:val="roman"/>
    <w:pitch w:val="default"/>
    <w:sig w:usb0="00000001" w:usb1="080E0000" w:usb2="00000000" w:usb3="00000000" w:csb0="00040000" w:csb1="00000000"/>
    <w:embedRegular r:id="rId4" w:fontKey="{BFACA143-64A0-4A55-9273-AFFBFD219367}"/>
  </w:font>
  <w:font w:name="方正楷体_GBK">
    <w:panose1 w:val="03000509000000000000"/>
    <w:charset w:val="86"/>
    <w:family w:val="roman"/>
    <w:pitch w:val="default"/>
    <w:sig w:usb0="00000001" w:usb1="080E0000" w:usb2="00000000" w:usb3="00000000" w:csb0="00040000" w:csb1="00000000"/>
    <w:embedRegular r:id="rId5" w:fontKey="{601835B1-D010-4DD6-A3A9-185978D3983E}"/>
  </w:font>
  <w:font w:name="仿宋">
    <w:panose1 w:val="02010609060101010101"/>
    <w:charset w:val="86"/>
    <w:family w:val="modern"/>
    <w:pitch w:val="default"/>
    <w:sig w:usb0="800002BF" w:usb1="38CF7CFA" w:usb2="00000016" w:usb3="00000000" w:csb0="00040001" w:csb1="00000000"/>
    <w:embedRegular r:id="rId6" w:fontKey="{5EC99607-629F-429C-B253-7DC6B19C1A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B988F"/>
    <w:multiLevelType w:val="singleLevel"/>
    <w:tmpl w:val="A56B98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1B00"/>
    <w:rsid w:val="0000366C"/>
    <w:rsid w:val="00272629"/>
    <w:rsid w:val="00425908"/>
    <w:rsid w:val="004B2FF8"/>
    <w:rsid w:val="006139AD"/>
    <w:rsid w:val="006617AB"/>
    <w:rsid w:val="0071242B"/>
    <w:rsid w:val="007C54C1"/>
    <w:rsid w:val="008948A2"/>
    <w:rsid w:val="00A431A0"/>
    <w:rsid w:val="00AD5910"/>
    <w:rsid w:val="00BF6F45"/>
    <w:rsid w:val="00CB669A"/>
    <w:rsid w:val="00F146E2"/>
    <w:rsid w:val="00FF7499"/>
    <w:rsid w:val="09F708D8"/>
    <w:rsid w:val="11611EC3"/>
    <w:rsid w:val="12DD44CA"/>
    <w:rsid w:val="157D26F2"/>
    <w:rsid w:val="15E47BB5"/>
    <w:rsid w:val="16177733"/>
    <w:rsid w:val="16E66658"/>
    <w:rsid w:val="17B50356"/>
    <w:rsid w:val="1B806C4F"/>
    <w:rsid w:val="21827EA8"/>
    <w:rsid w:val="260C6234"/>
    <w:rsid w:val="27E75403"/>
    <w:rsid w:val="2B130674"/>
    <w:rsid w:val="2C6F5E0A"/>
    <w:rsid w:val="2CD60DF6"/>
    <w:rsid w:val="2F00311E"/>
    <w:rsid w:val="32372AB1"/>
    <w:rsid w:val="33984B20"/>
    <w:rsid w:val="36411A3A"/>
    <w:rsid w:val="3BF75498"/>
    <w:rsid w:val="3CA53816"/>
    <w:rsid w:val="3E833F0A"/>
    <w:rsid w:val="3F6C2995"/>
    <w:rsid w:val="40E127DD"/>
    <w:rsid w:val="415E6E35"/>
    <w:rsid w:val="43EA57C6"/>
    <w:rsid w:val="44F46187"/>
    <w:rsid w:val="48517779"/>
    <w:rsid w:val="4BA611CF"/>
    <w:rsid w:val="56ED1327"/>
    <w:rsid w:val="576A1541"/>
    <w:rsid w:val="583C2704"/>
    <w:rsid w:val="5C0B0C07"/>
    <w:rsid w:val="5C83540E"/>
    <w:rsid w:val="5CD0000B"/>
    <w:rsid w:val="624A7D95"/>
    <w:rsid w:val="67C96AC3"/>
    <w:rsid w:val="6B6E6802"/>
    <w:rsid w:val="6D9F38E2"/>
    <w:rsid w:val="71EE3FF1"/>
    <w:rsid w:val="71F2656D"/>
    <w:rsid w:val="724863C1"/>
    <w:rsid w:val="787847BE"/>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4579</Words>
  <Characters>6279</Characters>
  <Lines>27</Lines>
  <Paragraphs>15</Paragraphs>
  <TotalTime>0</TotalTime>
  <ScaleCrop>false</ScaleCrop>
  <LinksUpToDate>false</LinksUpToDate>
  <CharactersWithSpaces>6390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2024-05-30T06:55:04Z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9CF06306889C43918D34146E32596D09_13</vt:lpwstr>
  </property>
</Properties>
</file>