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ascii="宋体"/>
          <w:b/>
          <w:sz w:val="44"/>
          <w:szCs w:val="44"/>
        </w:rPr>
      </w:pPr>
    </w:p>
    <w:p>
      <w:pPr>
        <w:ind w:firstLine="883" w:firstLineChars="200"/>
        <w:jc w:val="center"/>
        <w:rPr>
          <w:rFonts w:ascii="宋体"/>
          <w:b/>
          <w:sz w:val="44"/>
          <w:szCs w:val="44"/>
        </w:rPr>
      </w:pPr>
      <w:r>
        <w:rPr>
          <w:rFonts w:hint="eastAsia" w:ascii="宋体" w:hAnsi="宋体"/>
          <w:b/>
          <w:sz w:val="44"/>
          <w:szCs w:val="44"/>
        </w:rPr>
        <w:t>馆陶县交通运输局</w:t>
      </w:r>
      <w:r>
        <w:rPr>
          <w:rFonts w:ascii="宋体" w:hAnsi="宋体"/>
          <w:b/>
          <w:sz w:val="44"/>
          <w:szCs w:val="44"/>
        </w:rPr>
        <w:t>2019</w:t>
      </w:r>
      <w:r>
        <w:rPr>
          <w:rFonts w:hint="eastAsia" w:ascii="宋体" w:hAnsi="宋体"/>
          <w:b/>
          <w:sz w:val="44"/>
          <w:szCs w:val="44"/>
        </w:rPr>
        <w:t>年部门预算信息公开</w:t>
      </w:r>
    </w:p>
    <w:p>
      <w:pPr>
        <w:ind w:firstLine="640" w:firstLineChars="200"/>
        <w:rPr>
          <w:rFonts w:ascii="仿宋_GB2312" w:hAnsi="Times New Roman" w:eastAsia="仿宋_GB2312"/>
          <w:sz w:val="32"/>
          <w:szCs w:val="32"/>
        </w:rPr>
      </w:pP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bookmarkStart w:id="3" w:name="_GoBack"/>
      <w:bookmarkEnd w:id="3"/>
      <w:r>
        <w:rPr>
          <w:rFonts w:hint="eastAsia" w:ascii="仿宋_GB2312" w:hAnsi="Times New Roman" w:eastAsia="仿宋_GB2312"/>
          <w:sz w:val="32"/>
          <w:szCs w:val="32"/>
        </w:rPr>
        <w:t>预算法》、《地方预决算公开操作规程》和《河北省省级预算公开办法》规定，现将馆陶县交通运输局</w:t>
      </w:r>
      <w:r>
        <w:rPr>
          <w:rFonts w:ascii="仿宋_GB2312" w:hAnsi="Times New Roman" w:eastAsia="仿宋_GB2312"/>
          <w:sz w:val="32"/>
          <w:szCs w:val="32"/>
        </w:rPr>
        <w:t>2019</w:t>
      </w:r>
      <w:r>
        <w:rPr>
          <w:rFonts w:hint="eastAsia" w:ascii="仿宋_GB2312" w:hAnsi="Times New Roman" w:eastAsia="仿宋_GB2312"/>
          <w:sz w:val="32"/>
          <w:szCs w:val="32"/>
        </w:rPr>
        <w:t>年部门预算公开如下：</w:t>
      </w:r>
    </w:p>
    <w:p>
      <w:pPr>
        <w:autoSpaceDE w:val="0"/>
        <w:autoSpaceDN w:val="0"/>
        <w:adjustRightInd w:val="0"/>
        <w:ind w:firstLine="600"/>
        <w:jc w:val="left"/>
        <w:rPr>
          <w:rFonts w:ascii="仿宋_GB2312" w:hAnsi="仿宋_GB2312" w:eastAsia="仿宋_GB2312" w:cs="仿宋_GB2312"/>
          <w:sz w:val="32"/>
          <w:szCs w:val="32"/>
        </w:rPr>
      </w:pPr>
      <w:r>
        <w:rPr>
          <w:rFonts w:hint="eastAsia" w:ascii="黑体" w:hAnsi="黑体" w:eastAsia="黑体" w:cs="黑体"/>
          <w:b/>
          <w:bCs/>
          <w:sz w:val="32"/>
          <w:szCs w:val="32"/>
        </w:rPr>
        <w:t>一、部门职责及机构设置情况</w:t>
      </w:r>
    </w:p>
    <w:p>
      <w:pPr>
        <w:autoSpaceDE w:val="0"/>
        <w:autoSpaceDN w:val="0"/>
        <w:adjustRightInd w:val="0"/>
        <w:ind w:firstLine="600"/>
        <w:jc w:val="left"/>
        <w:rPr>
          <w:rFonts w:ascii="仿宋_GB2312" w:hAnsi="仿宋_GB2312" w:eastAsia="仿宋_GB2312" w:cs="仿宋_GB2312"/>
          <w:sz w:val="32"/>
          <w:szCs w:val="32"/>
        </w:rPr>
      </w:pPr>
      <w:r>
        <w:rPr>
          <w:rFonts w:hint="eastAsia" w:ascii="仿宋_GB2312" w:hAnsi="仿宋_GB2312" w:eastAsia="仿宋_GB2312"/>
          <w:color w:val="000000"/>
          <w:sz w:val="32"/>
          <w:lang w:val="zh-CN"/>
        </w:rPr>
        <w:t>（一）部门职责</w:t>
      </w:r>
    </w:p>
    <w:p>
      <w:pPr>
        <w:widowControl/>
        <w:spacing w:before="75" w:after="75" w:line="270" w:lineRule="atLeast"/>
        <w:ind w:firstLine="640"/>
        <w:jc w:val="left"/>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根据馆陶县人民政府</w:t>
      </w:r>
      <w:r>
        <w:rPr>
          <w:rFonts w:ascii="仿宋_GB2312" w:hAnsi="Tahoma" w:eastAsia="仿宋_GB2312" w:cs="Tahoma"/>
          <w:color w:val="000000"/>
          <w:kern w:val="0"/>
          <w:sz w:val="32"/>
          <w:szCs w:val="32"/>
        </w:rPr>
        <w:t>[2010]57</w:t>
      </w:r>
      <w:r>
        <w:rPr>
          <w:rFonts w:hint="eastAsia" w:ascii="仿宋_GB2312" w:hAnsi="Tahoma" w:eastAsia="仿宋_GB2312" w:cs="Tahoma"/>
          <w:color w:val="000000"/>
          <w:kern w:val="0"/>
          <w:sz w:val="32"/>
          <w:szCs w:val="32"/>
        </w:rPr>
        <w:t>号文《关于印发馆陶县交通运输局主要职责内设机构和人员编制规定的通知》，交通运输局的主要职责是：</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1.</w:t>
      </w:r>
      <w:r>
        <w:rPr>
          <w:rFonts w:hint="eastAsia" w:ascii="仿宋_GB2312" w:hAnsi="Tahoma" w:eastAsia="仿宋_GB2312" w:cs="Tahoma"/>
          <w:color w:val="000000"/>
          <w:kern w:val="0"/>
          <w:sz w:val="32"/>
          <w:szCs w:val="32"/>
        </w:rPr>
        <w:t>承担全且综合运输体系的规划协调工作，会同有关部门组织编制综合运输体系规划，负责交通运输枢纽规划、建设和管理。</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2.</w:t>
      </w:r>
      <w:r>
        <w:rPr>
          <w:rFonts w:hint="eastAsia" w:ascii="仿宋_GB2312" w:hAnsi="Tahoma" w:eastAsia="仿宋_GB2312" w:cs="Tahoma"/>
          <w:color w:val="000000"/>
          <w:kern w:val="0"/>
          <w:sz w:val="32"/>
          <w:szCs w:val="32"/>
        </w:rPr>
        <w:t>组织拟定并监督实施全县公路、水路、地铁和轨道运输等行业方针政策、地方法规草案、发展战略和规划、中长期计划和年度计划。参与拟定有关政策和标准监督实施。指导公路、水路、地铁行业有关体制改革工作。</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3.</w:t>
      </w:r>
      <w:r>
        <w:rPr>
          <w:rFonts w:hint="eastAsia" w:ascii="仿宋_GB2312" w:hAnsi="Tahoma" w:eastAsia="仿宋_GB2312" w:cs="Tahoma"/>
          <w:color w:val="000000"/>
          <w:kern w:val="0"/>
          <w:sz w:val="32"/>
          <w:szCs w:val="32"/>
        </w:rPr>
        <w:t>组织推进全县城乡公交一体化的实施，指导协调运输企业客运线路运营。</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4.</w:t>
      </w:r>
      <w:r>
        <w:rPr>
          <w:rFonts w:hint="eastAsia" w:ascii="仿宋_GB2312" w:hAnsi="Tahoma" w:eastAsia="仿宋_GB2312" w:cs="Tahoma"/>
          <w:color w:val="000000"/>
          <w:kern w:val="0"/>
          <w:sz w:val="32"/>
          <w:szCs w:val="32"/>
        </w:rPr>
        <w:t>承担全县公路、水路运输市场监管职责。组织拟定公路、水路运输有关政策、准入退出制度、技术标准和运营规范并监督实施。负责运输市场、运输服务、车辆维修、停车场、搬运装卸、机动车性能检测、机动车驾驶学校和驾驶员培训的行业管理。负责和指导城乡客运及有关设施规划和管理，负责出租汽车行业管理工作。</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5.</w:t>
      </w:r>
      <w:r>
        <w:rPr>
          <w:rFonts w:hint="eastAsia" w:ascii="仿宋_GB2312" w:hAnsi="Tahoma" w:eastAsia="仿宋_GB2312" w:cs="Tahoma"/>
          <w:color w:val="000000"/>
          <w:kern w:val="0"/>
          <w:sz w:val="32"/>
          <w:szCs w:val="32"/>
        </w:rPr>
        <w:t>承担全县管辖水域水上交通安全监管责任。负责水上交通管制、船舶及相关水上设施检验、登记和防治污染及安全监管，负责船员管理、参与事故调查有关工作。</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6.</w:t>
      </w:r>
      <w:r>
        <w:rPr>
          <w:rFonts w:hint="eastAsia" w:ascii="仿宋_GB2312" w:hAnsi="Tahoma" w:eastAsia="仿宋_GB2312" w:cs="Tahoma"/>
          <w:color w:val="000000"/>
          <w:kern w:val="0"/>
          <w:sz w:val="32"/>
          <w:szCs w:val="32"/>
        </w:rPr>
        <w:t>负责提出全县交通运输行业固定资产投资规模和投资项目的报批工作；负责交通国有资产管理和交通专项资金的管理、使用；负责行业内部审计。</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7.</w:t>
      </w:r>
      <w:r>
        <w:rPr>
          <w:rFonts w:hint="eastAsia" w:ascii="仿宋_GB2312" w:hAnsi="Tahoma" w:eastAsia="仿宋_GB2312" w:cs="Tahoma"/>
          <w:color w:val="000000"/>
          <w:kern w:val="0"/>
          <w:sz w:val="32"/>
          <w:szCs w:val="32"/>
        </w:rPr>
        <w:t>承担全县公路建设市场监管责任。负责贯彻落实公路工程建设有关政策、制度和技术标准。组织公路及其设施建设、养护和管理；组织协调公路工程建设和工程质量、安全生产监督管理工作；负责全县交通基本建设项目招投标活动的监督管理；负责全县收费公路管理。</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8.</w:t>
      </w:r>
      <w:r>
        <w:rPr>
          <w:rFonts w:hint="eastAsia" w:ascii="仿宋_GB2312" w:hAnsi="Tahoma" w:eastAsia="仿宋_GB2312" w:cs="Tahoma"/>
          <w:color w:val="000000"/>
          <w:kern w:val="0"/>
          <w:sz w:val="32"/>
          <w:szCs w:val="32"/>
        </w:rPr>
        <w:t>承担全县公路、水路行业安全生产和应急管理工作。按规定组织协调国家、省、市重点物资和紧急客货运输。承担国防交通战备工作。</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9.</w:t>
      </w:r>
      <w:r>
        <w:rPr>
          <w:rFonts w:hint="eastAsia" w:ascii="仿宋_GB2312" w:hAnsi="Tahoma" w:eastAsia="仿宋_GB2312" w:cs="Tahoma"/>
          <w:color w:val="000000"/>
          <w:kern w:val="0"/>
          <w:sz w:val="32"/>
          <w:szCs w:val="32"/>
        </w:rPr>
        <w:t>拟定全县民航行业有关规划，负责全市民航业发展和管理的组织协调。</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10.</w:t>
      </w:r>
      <w:r>
        <w:rPr>
          <w:rFonts w:hint="eastAsia" w:ascii="仿宋_GB2312" w:hAnsi="Tahoma" w:eastAsia="仿宋_GB2312" w:cs="Tahoma"/>
          <w:color w:val="000000"/>
          <w:kern w:val="0"/>
          <w:sz w:val="32"/>
          <w:szCs w:val="32"/>
        </w:rPr>
        <w:t>承担全县公路路政管理，会同有关部门治理运输车辆超载。</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11.</w:t>
      </w:r>
      <w:r>
        <w:rPr>
          <w:rFonts w:hint="eastAsia" w:ascii="仿宋_GB2312" w:hAnsi="Tahoma" w:eastAsia="仿宋_GB2312" w:cs="Tahoma"/>
          <w:color w:val="000000"/>
          <w:kern w:val="0"/>
          <w:sz w:val="32"/>
          <w:szCs w:val="32"/>
        </w:rPr>
        <w:t>负责全县交通运输信息化建设，监测分析运行情况并发布有关信息。指导公路、水路行业环境保护和节能减排工作。</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12.</w:t>
      </w:r>
      <w:r>
        <w:rPr>
          <w:rFonts w:hint="eastAsia" w:ascii="仿宋_GB2312" w:hAnsi="Tahoma" w:eastAsia="仿宋_GB2312" w:cs="Tahoma"/>
          <w:color w:val="000000"/>
          <w:kern w:val="0"/>
          <w:sz w:val="32"/>
          <w:szCs w:val="32"/>
        </w:rPr>
        <w:t>拟定全县交通运输行业科技政策、技术标准和规范；指导交通运输行业精神文明建设。</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13.</w:t>
      </w:r>
      <w:r>
        <w:rPr>
          <w:rFonts w:hint="eastAsia" w:ascii="仿宋_GB2312" w:hAnsi="Tahoma" w:eastAsia="仿宋_GB2312" w:cs="Tahoma"/>
          <w:color w:val="000000"/>
          <w:kern w:val="0"/>
          <w:sz w:val="32"/>
          <w:szCs w:val="32"/>
        </w:rPr>
        <w:t>负责全县交通运输行业涉外事宜，指导利用外资，开展国际交通运输经济技术合作与交流。</w:t>
      </w:r>
    </w:p>
    <w:p>
      <w:pPr>
        <w:widowControl/>
        <w:spacing w:before="75" w:after="75" w:line="270" w:lineRule="atLeast"/>
        <w:ind w:firstLine="640"/>
        <w:jc w:val="lef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14.</w:t>
      </w:r>
      <w:r>
        <w:rPr>
          <w:rFonts w:hint="eastAsia" w:ascii="仿宋_GB2312" w:hAnsi="Tahoma" w:eastAsia="仿宋_GB2312" w:cs="Tahoma"/>
          <w:color w:val="000000"/>
          <w:kern w:val="0"/>
          <w:sz w:val="32"/>
          <w:szCs w:val="32"/>
        </w:rPr>
        <w:t>负责城市公共交通的行业管理，会同有关部门做好相关场站建设和线路设置工作。</w:t>
      </w:r>
    </w:p>
    <w:p>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pPr>
        <w:jc w:val="center"/>
        <w:outlineLvl w:val="0"/>
        <w:rPr>
          <w:rFonts w:ascii="仿宋_GB2312" w:hAnsi="Times New Roman" w:eastAsia="仿宋_GB2312"/>
          <w:sz w:val="32"/>
          <w:szCs w:val="24"/>
        </w:rPr>
      </w:pPr>
      <w:r>
        <w:rPr>
          <w:rFonts w:hint="eastAsia" w:ascii="仿宋_GB2312" w:hAnsi="Times New Roman" w:eastAsia="仿宋_GB2312"/>
          <w:sz w:val="32"/>
          <w:szCs w:val="24"/>
        </w:rPr>
        <w:t>部门机构设置情况</w:t>
      </w:r>
    </w:p>
    <w:tbl>
      <w:tblPr>
        <w:tblStyle w:val="9"/>
        <w:tblW w:w="136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219"/>
        <w:gridCol w:w="1588"/>
        <w:gridCol w:w="1787"/>
        <w:gridCol w:w="40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atLeast"/>
          <w:tblHeader/>
          <w:jc w:val="center"/>
        </w:trPr>
        <w:tc>
          <w:tcPr>
            <w:tcW w:w="6219"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单位名称</w:t>
            </w:r>
          </w:p>
        </w:tc>
        <w:tc>
          <w:tcPr>
            <w:tcW w:w="1588"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单位性质</w:t>
            </w:r>
          </w:p>
        </w:tc>
        <w:tc>
          <w:tcPr>
            <w:tcW w:w="1787"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单位规格</w:t>
            </w:r>
          </w:p>
        </w:tc>
        <w:tc>
          <w:tcPr>
            <w:tcW w:w="4063"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20" w:hRule="atLeast"/>
          <w:tblHeader/>
          <w:jc w:val="center"/>
        </w:trPr>
        <w:tc>
          <w:tcPr>
            <w:tcW w:w="6219" w:type="dxa"/>
            <w:vMerge w:val="continue"/>
            <w:vAlign w:val="center"/>
          </w:tcPr>
          <w:p>
            <w:pPr>
              <w:spacing w:line="300" w:lineRule="exact"/>
              <w:jc w:val="left"/>
              <w:outlineLvl w:val="0"/>
              <w:rPr>
                <w:rFonts w:ascii="Times New Roman" w:hAnsi="Times New Roman"/>
                <w:sz w:val="32"/>
                <w:szCs w:val="32"/>
              </w:rPr>
            </w:pPr>
          </w:p>
        </w:tc>
        <w:tc>
          <w:tcPr>
            <w:tcW w:w="1588" w:type="dxa"/>
            <w:vMerge w:val="continue"/>
            <w:vAlign w:val="center"/>
          </w:tcPr>
          <w:p>
            <w:pPr>
              <w:spacing w:line="300" w:lineRule="exact"/>
              <w:jc w:val="left"/>
              <w:outlineLvl w:val="0"/>
              <w:rPr>
                <w:rFonts w:ascii="Times New Roman" w:hAnsi="Times New Roman"/>
                <w:sz w:val="32"/>
                <w:szCs w:val="32"/>
              </w:rPr>
            </w:pPr>
          </w:p>
        </w:tc>
        <w:tc>
          <w:tcPr>
            <w:tcW w:w="1787" w:type="dxa"/>
            <w:vMerge w:val="continue"/>
            <w:vAlign w:val="center"/>
          </w:tcPr>
          <w:p>
            <w:pPr>
              <w:spacing w:line="300" w:lineRule="exact"/>
              <w:jc w:val="left"/>
              <w:outlineLvl w:val="0"/>
              <w:rPr>
                <w:rFonts w:ascii="Times New Roman" w:hAnsi="Times New Roman"/>
                <w:sz w:val="32"/>
                <w:szCs w:val="32"/>
              </w:rPr>
            </w:pPr>
          </w:p>
        </w:tc>
        <w:tc>
          <w:tcPr>
            <w:tcW w:w="4063" w:type="dxa"/>
            <w:vMerge w:val="continue"/>
            <w:vAlign w:val="center"/>
          </w:tcPr>
          <w:p>
            <w:pPr>
              <w:spacing w:line="300" w:lineRule="exact"/>
              <w:jc w:val="left"/>
              <w:outlineLvl w:val="0"/>
              <w:rPr>
                <w:rFonts w:ascii="Times New Roman" w:hAnsi="Times New Roman"/>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vAlign w:val="center"/>
          </w:tcPr>
          <w:p>
            <w:pPr>
              <w:spacing w:line="300" w:lineRule="exact"/>
              <w:jc w:val="center"/>
              <w:rPr>
                <w:rFonts w:ascii="方正书宋_GBK" w:eastAsia="方正书宋_GBK"/>
                <w:b/>
                <w:sz w:val="32"/>
                <w:szCs w:val="32"/>
              </w:rPr>
            </w:pPr>
            <w:r>
              <w:rPr>
                <w:rFonts w:hint="eastAsia" w:ascii="方正书宋_GBK" w:eastAsia="方正书宋_GBK"/>
                <w:b/>
                <w:sz w:val="32"/>
                <w:szCs w:val="32"/>
              </w:rPr>
              <w:t>合</w:t>
            </w:r>
            <w:r>
              <w:rPr>
                <w:rFonts w:ascii="方正书宋_GBK" w:eastAsia="方正书宋_GBK"/>
                <w:b/>
                <w:sz w:val="32"/>
                <w:szCs w:val="32"/>
              </w:rPr>
              <w:t xml:space="preserve">    </w:t>
            </w:r>
            <w:r>
              <w:rPr>
                <w:rFonts w:hint="eastAsia" w:ascii="方正书宋_GBK" w:eastAsia="方正书宋_GBK"/>
                <w:b/>
                <w:sz w:val="32"/>
                <w:szCs w:val="32"/>
              </w:rPr>
              <w:t>计</w:t>
            </w:r>
          </w:p>
        </w:tc>
        <w:tc>
          <w:tcPr>
            <w:tcW w:w="1588" w:type="dxa"/>
            <w:vAlign w:val="center"/>
          </w:tcPr>
          <w:p>
            <w:pPr>
              <w:spacing w:line="300" w:lineRule="exact"/>
              <w:jc w:val="center"/>
              <w:rPr>
                <w:rFonts w:ascii="方正书宋_GBK" w:eastAsia="方正书宋_GBK"/>
                <w:b/>
                <w:sz w:val="32"/>
                <w:szCs w:val="32"/>
              </w:rPr>
            </w:pPr>
          </w:p>
        </w:tc>
        <w:tc>
          <w:tcPr>
            <w:tcW w:w="1787" w:type="dxa"/>
            <w:vAlign w:val="center"/>
          </w:tcPr>
          <w:p>
            <w:pPr>
              <w:spacing w:line="300" w:lineRule="exact"/>
              <w:jc w:val="center"/>
              <w:rPr>
                <w:rFonts w:ascii="方正书宋_GBK" w:eastAsia="方正书宋_GBK"/>
                <w:b/>
                <w:sz w:val="32"/>
                <w:szCs w:val="32"/>
              </w:rPr>
            </w:pPr>
          </w:p>
        </w:tc>
        <w:tc>
          <w:tcPr>
            <w:tcW w:w="4063" w:type="dxa"/>
            <w:vAlign w:val="center"/>
          </w:tcPr>
          <w:p>
            <w:pPr>
              <w:spacing w:line="300" w:lineRule="exact"/>
              <w:jc w:val="center"/>
              <w:rPr>
                <w:rFonts w:ascii="方正书宋_GBK" w:eastAsia="方正书宋_GBK"/>
                <w:b/>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馆陶县交通运输局</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行政</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正科级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馆陶县交通运输局机关</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行政</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公路路政管理站</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运输管理站</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出租车客运管理站</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公路站</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地方公路管理站</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公路工程质量监督管理站</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联合稽查大队</w:t>
            </w:r>
          </w:p>
        </w:tc>
        <w:tc>
          <w:tcPr>
            <w:tcW w:w="1588" w:type="dxa"/>
          </w:tcPr>
          <w:p>
            <w:pPr>
              <w:widowControl/>
              <w:spacing w:before="75" w:after="75"/>
              <w:jc w:val="center"/>
              <w:rPr>
                <w:rFonts w:ascii="宋体" w:cs="宋体"/>
                <w:kern w:val="0"/>
                <w:sz w:val="24"/>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tcPr>
          <w:p>
            <w:pPr>
              <w:widowControl/>
              <w:spacing w:before="75" w:after="75"/>
              <w:jc w:val="center"/>
              <w:rPr>
                <w:rFonts w:ascii="宋体" w:cs="宋体"/>
                <w:kern w:val="0"/>
                <w:sz w:val="24"/>
              </w:rPr>
            </w:pPr>
            <w:r>
              <w:rPr>
                <w:rFonts w:hint="eastAsia" w:ascii="仿宋_GB2312" w:hAnsi="宋体" w:eastAsia="仿宋_GB2312" w:cs="宋体"/>
                <w:kern w:val="0"/>
                <w:sz w:val="24"/>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tcPr>
          <w:p>
            <w:pPr>
              <w:widowControl/>
              <w:spacing w:before="75" w:after="75"/>
              <w:jc w:val="center"/>
              <w:rPr>
                <w:rFonts w:ascii="宋体" w:cs="宋体"/>
                <w:kern w:val="0"/>
                <w:sz w:val="24"/>
              </w:rPr>
            </w:pPr>
            <w:r>
              <w:rPr>
                <w:rFonts w:hint="eastAsia" w:ascii="仿宋_GB2312" w:hAnsi="宋体" w:eastAsia="仿宋_GB2312" w:cs="宋体"/>
                <w:kern w:val="0"/>
                <w:sz w:val="24"/>
              </w:rPr>
              <w:t>公路运输超限超载管理站</w:t>
            </w:r>
          </w:p>
        </w:tc>
        <w:tc>
          <w:tcPr>
            <w:tcW w:w="1588" w:type="dxa"/>
            <w:vAlign w:val="center"/>
          </w:tcPr>
          <w:p>
            <w:pPr>
              <w:widowControl/>
              <w:spacing w:before="75" w:after="75"/>
              <w:jc w:val="center"/>
              <w:rPr>
                <w:rFonts w:ascii="仿宋_GB2312" w:eastAsia="仿宋_GB2312"/>
                <w:sz w:val="32"/>
                <w:szCs w:val="32"/>
              </w:rPr>
            </w:pPr>
            <w:r>
              <w:rPr>
                <w:rFonts w:hint="eastAsia" w:ascii="仿宋_GB2312" w:hAnsi="宋体" w:eastAsia="仿宋_GB2312" w:cs="宋体"/>
                <w:kern w:val="0"/>
                <w:sz w:val="24"/>
              </w:rPr>
              <w:t>事业</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正股级</w:t>
            </w:r>
          </w:p>
        </w:tc>
        <w:tc>
          <w:tcPr>
            <w:tcW w:w="4063" w:type="dxa"/>
            <w:vAlign w:val="center"/>
          </w:tcPr>
          <w:p>
            <w:pPr>
              <w:spacing w:line="300" w:lineRule="exact"/>
              <w:jc w:val="center"/>
              <w:rPr>
                <w:rFonts w:ascii="仿宋_GB2312" w:eastAsia="仿宋_GB2312"/>
                <w:sz w:val="32"/>
                <w:szCs w:val="32"/>
              </w:rPr>
            </w:pPr>
            <w:r>
              <w:rPr>
                <w:rFonts w:hint="eastAsia" w:ascii="仿宋_GB2312" w:hAnsi="宋体" w:eastAsia="仿宋_GB2312" w:cs="宋体"/>
                <w:kern w:val="0"/>
                <w:sz w:val="24"/>
              </w:rPr>
              <w:t>财政拨款</w:t>
            </w:r>
          </w:p>
        </w:tc>
      </w:tr>
    </w:tbl>
    <w:p/>
    <w:p>
      <w:pPr>
        <w:ind w:firstLine="640"/>
        <w:rPr>
          <w:rFonts w:ascii="黑体" w:hAnsi="黑体" w:eastAsia="黑体"/>
          <w:b/>
          <w:sz w:val="32"/>
          <w:szCs w:val="32"/>
        </w:rPr>
      </w:pPr>
      <w:r>
        <w:rPr>
          <w:rFonts w:hint="eastAsia" w:ascii="黑体" w:hAnsi="黑体" w:eastAsia="黑体"/>
          <w:b/>
          <w:sz w:val="32"/>
          <w:szCs w:val="32"/>
        </w:rPr>
        <w:t>二、部门预算安排的总体情况</w:t>
      </w:r>
    </w:p>
    <w:p>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按照预算管理有关规定，目前我县部门预算的编制实行综合预算制度，即全部收入和支出都反映在预算中。馆陶县交通运输局及所属事业单位的收支包含在部门预算中。</w:t>
      </w:r>
    </w:p>
    <w:p>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2019</w:t>
      </w:r>
      <w:r>
        <w:rPr>
          <w:rFonts w:hint="eastAsia" w:ascii="仿宋_GB2312" w:hAnsi="Times New Roman" w:eastAsia="仿宋_GB2312"/>
          <w:sz w:val="32"/>
          <w:szCs w:val="32"/>
        </w:rPr>
        <w:t>年预算收入</w:t>
      </w:r>
      <w:r>
        <w:rPr>
          <w:rFonts w:ascii="仿宋_GB2312" w:hAnsi="Times New Roman" w:eastAsia="仿宋_GB2312"/>
          <w:sz w:val="32"/>
          <w:szCs w:val="32"/>
        </w:rPr>
        <w:t xml:space="preserve"> 10641.33 </w:t>
      </w:r>
      <w:r>
        <w:rPr>
          <w:rFonts w:hint="eastAsia" w:ascii="仿宋_GB2312" w:hAnsi="Times New Roman" w:eastAsia="仿宋_GB2312"/>
          <w:sz w:val="32"/>
          <w:szCs w:val="32"/>
        </w:rPr>
        <w:t>万元，其中：一般公共预算收入</w:t>
      </w:r>
      <w:r>
        <w:rPr>
          <w:rFonts w:ascii="仿宋_GB2312" w:hAnsi="Times New Roman" w:eastAsia="仿宋_GB2312"/>
          <w:sz w:val="32"/>
          <w:szCs w:val="32"/>
        </w:rPr>
        <w:t>10454.4</w:t>
      </w:r>
      <w:r>
        <w:rPr>
          <w:rFonts w:hint="eastAsia" w:ascii="仿宋_GB2312" w:hAnsi="Times New Roman" w:eastAsia="仿宋_GB2312"/>
          <w:sz w:val="32"/>
          <w:szCs w:val="32"/>
        </w:rPr>
        <w:t>万元，基金预算收入</w:t>
      </w:r>
      <w:r>
        <w:rPr>
          <w:rFonts w:ascii="仿宋_GB2312" w:hAnsi="Times New Roman" w:eastAsia="仿宋_GB2312"/>
          <w:sz w:val="32"/>
          <w:szCs w:val="32"/>
        </w:rPr>
        <w:t>186.93</w:t>
      </w:r>
      <w:r>
        <w:rPr>
          <w:rFonts w:hint="eastAsia" w:ascii="仿宋_GB2312" w:hAnsi="Times New Roman" w:eastAsia="仿宋_GB2312"/>
          <w:sz w:val="32"/>
          <w:szCs w:val="32"/>
        </w:rPr>
        <w:t>万元。</w:t>
      </w:r>
    </w:p>
    <w:p>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收支预算总表支出栏、基本支出表、项目支出表按经济分类和支出功能分类科目编制，反映馆陶县交通运输局部门预算中支出预算的总体情况。</w:t>
      </w:r>
      <w:r>
        <w:rPr>
          <w:rFonts w:ascii="仿宋_GB2312" w:hAnsi="Times New Roman" w:eastAsia="仿宋_GB2312"/>
          <w:sz w:val="32"/>
          <w:szCs w:val="32"/>
        </w:rPr>
        <w:t>2019</w:t>
      </w:r>
      <w:r>
        <w:rPr>
          <w:rFonts w:hint="eastAsia" w:ascii="仿宋_GB2312" w:hAnsi="Times New Roman" w:eastAsia="仿宋_GB2312"/>
          <w:sz w:val="32"/>
          <w:szCs w:val="32"/>
        </w:rPr>
        <w:t>年支出预算</w:t>
      </w:r>
      <w:r>
        <w:rPr>
          <w:rFonts w:ascii="仿宋_GB2312" w:hAnsi="Times New Roman" w:eastAsia="仿宋_GB2312"/>
          <w:sz w:val="32"/>
          <w:szCs w:val="32"/>
        </w:rPr>
        <w:t>10641.33</w:t>
      </w:r>
      <w:r>
        <w:rPr>
          <w:rFonts w:hint="eastAsia" w:ascii="仿宋_GB2312" w:hAnsi="Times New Roman" w:eastAsia="仿宋_GB2312"/>
          <w:sz w:val="32"/>
          <w:szCs w:val="32"/>
        </w:rPr>
        <w:t>万元，其中基本支出</w:t>
      </w:r>
      <w:r>
        <w:rPr>
          <w:rFonts w:ascii="仿宋_GB2312" w:hAnsi="Times New Roman" w:eastAsia="仿宋_GB2312"/>
          <w:sz w:val="32"/>
          <w:szCs w:val="32"/>
        </w:rPr>
        <w:t xml:space="preserve">     2323.14</w:t>
      </w:r>
      <w:r>
        <w:rPr>
          <w:rFonts w:hint="eastAsia" w:ascii="仿宋_GB2312" w:hAnsi="Times New Roman" w:eastAsia="仿宋_GB2312"/>
          <w:sz w:val="32"/>
          <w:szCs w:val="32"/>
        </w:rPr>
        <w:t>万元，包括人员经费</w:t>
      </w:r>
      <w:r>
        <w:rPr>
          <w:rFonts w:ascii="仿宋_GB2312" w:hAnsi="Times New Roman" w:eastAsia="仿宋_GB2312"/>
          <w:sz w:val="32"/>
          <w:szCs w:val="32"/>
        </w:rPr>
        <w:t xml:space="preserve"> 1748.84</w:t>
      </w:r>
      <w:r>
        <w:rPr>
          <w:rFonts w:hint="eastAsia" w:ascii="仿宋_GB2312" w:hAnsi="Times New Roman" w:eastAsia="仿宋_GB2312"/>
          <w:sz w:val="32"/>
          <w:szCs w:val="32"/>
        </w:rPr>
        <w:t>万元和日常公用经费</w:t>
      </w:r>
      <w:r>
        <w:rPr>
          <w:rFonts w:ascii="仿宋_GB2312" w:hAnsi="Times New Roman" w:eastAsia="仿宋_GB2312"/>
          <w:sz w:val="32"/>
          <w:szCs w:val="32"/>
        </w:rPr>
        <w:t>574.3</w:t>
      </w:r>
      <w:r>
        <w:rPr>
          <w:rFonts w:hint="eastAsia" w:ascii="仿宋_GB2312" w:hAnsi="Times New Roman" w:eastAsia="仿宋_GB2312"/>
          <w:sz w:val="32"/>
          <w:szCs w:val="32"/>
        </w:rPr>
        <w:t>万元；项目支出</w:t>
      </w:r>
      <w:r>
        <w:rPr>
          <w:rFonts w:ascii="仿宋_GB2312" w:hAnsi="Times New Roman" w:eastAsia="仿宋_GB2312"/>
          <w:sz w:val="32"/>
          <w:szCs w:val="32"/>
        </w:rPr>
        <w:t>8131.26</w:t>
      </w:r>
      <w:r>
        <w:rPr>
          <w:rFonts w:hint="eastAsia" w:ascii="仿宋_GB2312" w:hAnsi="Times New Roman" w:eastAsia="仿宋_GB2312"/>
          <w:sz w:val="32"/>
          <w:szCs w:val="32"/>
        </w:rPr>
        <w:t>万元，主要为农村公路建设资金。</w:t>
      </w:r>
    </w:p>
    <w:p>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pPr>
        <w:ind w:firstLine="640"/>
        <w:rPr>
          <w:rFonts w:ascii="仿宋_GB2312" w:hAnsi="黑体" w:eastAsia="仿宋_GB2312"/>
          <w:sz w:val="32"/>
          <w:szCs w:val="32"/>
        </w:rPr>
      </w:pPr>
      <w:r>
        <w:rPr>
          <w:rFonts w:ascii="仿宋_GB2312" w:hAnsi="Times New Roman" w:eastAsia="仿宋_GB2312"/>
          <w:sz w:val="32"/>
          <w:szCs w:val="32"/>
        </w:rPr>
        <w:t>2019</w:t>
      </w:r>
      <w:r>
        <w:rPr>
          <w:rFonts w:hint="eastAsia" w:ascii="仿宋_GB2312" w:hAnsi="Times New Roman" w:eastAsia="仿宋_GB2312"/>
          <w:sz w:val="32"/>
          <w:szCs w:val="32"/>
        </w:rPr>
        <w:t>年预算收支安排</w:t>
      </w:r>
      <w:r>
        <w:rPr>
          <w:rFonts w:ascii="仿宋_GB2312" w:hAnsi="Times New Roman" w:eastAsia="仿宋_GB2312"/>
          <w:sz w:val="32"/>
          <w:szCs w:val="32"/>
        </w:rPr>
        <w:t>10641.33</w:t>
      </w:r>
      <w:r>
        <w:rPr>
          <w:rFonts w:hint="eastAsia" w:ascii="仿宋_GB2312" w:hAnsi="Times New Roman" w:eastAsia="仿宋_GB2312"/>
          <w:sz w:val="32"/>
          <w:szCs w:val="32"/>
        </w:rPr>
        <w:t>万元，较</w:t>
      </w:r>
      <w:r>
        <w:rPr>
          <w:rFonts w:ascii="仿宋_GB2312" w:hAnsi="Times New Roman" w:eastAsia="仿宋_GB2312"/>
          <w:sz w:val="32"/>
          <w:szCs w:val="32"/>
        </w:rPr>
        <w:t>2018</w:t>
      </w:r>
      <w:r>
        <w:rPr>
          <w:rFonts w:hint="eastAsia" w:ascii="仿宋_GB2312" w:hAnsi="Times New Roman" w:eastAsia="仿宋_GB2312"/>
          <w:sz w:val="32"/>
          <w:szCs w:val="32"/>
        </w:rPr>
        <w:t>年预算增加</w:t>
      </w:r>
      <w:r>
        <w:rPr>
          <w:rFonts w:ascii="仿宋_GB2312" w:hAnsi="Times New Roman" w:eastAsia="仿宋_GB2312"/>
          <w:sz w:val="32"/>
          <w:szCs w:val="32"/>
        </w:rPr>
        <w:t>456.01</w:t>
      </w:r>
      <w:r>
        <w:rPr>
          <w:rFonts w:hint="eastAsia" w:ascii="仿宋_GB2312" w:hAnsi="Times New Roman" w:eastAsia="仿宋_GB2312"/>
          <w:sz w:val="32"/>
          <w:szCs w:val="32"/>
        </w:rPr>
        <w:t>万元。其中：基本支出人员支出增加</w:t>
      </w:r>
      <w:r>
        <w:rPr>
          <w:rFonts w:ascii="仿宋_GB2312" w:hAnsi="Times New Roman" w:eastAsia="仿宋_GB2312"/>
          <w:sz w:val="32"/>
          <w:szCs w:val="32"/>
        </w:rPr>
        <w:t>105.34</w:t>
      </w:r>
      <w:r>
        <w:rPr>
          <w:rFonts w:hint="eastAsia" w:ascii="仿宋_GB2312" w:hAnsi="Times New Roman" w:eastAsia="仿宋_GB2312"/>
          <w:sz w:val="32"/>
          <w:szCs w:val="32"/>
        </w:rPr>
        <w:t>万元，主要原因为人员工资调资、养老保险缴纳等情况；公用经费增加</w:t>
      </w:r>
      <w:r>
        <w:rPr>
          <w:rFonts w:ascii="仿宋_GB2312" w:hAnsi="Times New Roman" w:eastAsia="仿宋_GB2312"/>
          <w:sz w:val="32"/>
          <w:szCs w:val="32"/>
        </w:rPr>
        <w:t>7.24</w:t>
      </w:r>
      <w:r>
        <w:rPr>
          <w:rFonts w:hint="eastAsia" w:ascii="仿宋_GB2312" w:hAnsi="Times New Roman" w:eastAsia="仿宋_GB2312"/>
          <w:sz w:val="32"/>
          <w:szCs w:val="32"/>
        </w:rPr>
        <w:t>万元，主要原因是考虑物价上涨等因素；项目支出增加</w:t>
      </w:r>
      <w:r>
        <w:rPr>
          <w:rFonts w:ascii="仿宋_GB2312" w:hAnsi="Times New Roman" w:eastAsia="仿宋_GB2312"/>
          <w:sz w:val="32"/>
          <w:szCs w:val="32"/>
        </w:rPr>
        <w:t>1297.26</w:t>
      </w:r>
      <w:r>
        <w:rPr>
          <w:rFonts w:hint="eastAsia" w:ascii="仿宋_GB2312" w:hAnsi="Times New Roman" w:eastAsia="仿宋_GB2312"/>
          <w:sz w:val="32"/>
          <w:szCs w:val="32"/>
        </w:rPr>
        <w:t>万元，主要是农村公路建设项目的增加。</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2019</w:t>
      </w:r>
      <w:r>
        <w:rPr>
          <w:rFonts w:hint="eastAsia" w:ascii="仿宋_GB2312" w:hAnsi="Times New Roman" w:eastAsia="仿宋_GB2312"/>
          <w:sz w:val="32"/>
          <w:szCs w:val="32"/>
        </w:rPr>
        <w:t>年，馆陶县交通运输局机关运行经费共计安排</w:t>
      </w:r>
      <w:r>
        <w:rPr>
          <w:rFonts w:ascii="仿宋_GB2312" w:hAnsi="Times New Roman" w:eastAsia="仿宋_GB2312"/>
          <w:sz w:val="32"/>
          <w:szCs w:val="32"/>
        </w:rPr>
        <w:t xml:space="preserve"> 574.3</w:t>
      </w:r>
      <w:r>
        <w:rPr>
          <w:rFonts w:hint="eastAsia" w:ascii="仿宋_GB2312" w:hAnsi="Times New Roman" w:eastAsia="仿宋_GB2312"/>
          <w:sz w:val="32"/>
          <w:szCs w:val="32"/>
        </w:rPr>
        <w:t>万元，主要用于办公费、印刷费、劳务费、维护费等日常运行支出。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2019</w:t>
      </w:r>
      <w:r>
        <w:rPr>
          <w:rFonts w:hint="eastAsia" w:ascii="仿宋_GB2312" w:hAnsi="Times New Roman" w:eastAsia="仿宋_GB2312"/>
          <w:sz w:val="32"/>
          <w:szCs w:val="32"/>
        </w:rPr>
        <w:t>年，馆陶县交通运输局财政拨款“三公”经费预算安排</w:t>
      </w:r>
      <w:r>
        <w:rPr>
          <w:rFonts w:ascii="仿宋_GB2312" w:hAnsi="Times New Roman" w:eastAsia="仿宋_GB2312"/>
          <w:sz w:val="32"/>
          <w:szCs w:val="32"/>
        </w:rPr>
        <w:t>16.2</w:t>
      </w:r>
      <w:r>
        <w:rPr>
          <w:rFonts w:hint="eastAsia" w:ascii="仿宋_GB2312" w:hAnsi="Times New Roman" w:eastAsia="仿宋_GB2312"/>
          <w:sz w:val="32"/>
          <w:szCs w:val="32"/>
        </w:rPr>
        <w:t>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w:t>
      </w:r>
      <w:r>
        <w:rPr>
          <w:rFonts w:ascii="仿宋_GB2312" w:hAnsi="Times New Roman" w:eastAsia="仿宋_GB2312"/>
          <w:sz w:val="32"/>
          <w:szCs w:val="32"/>
        </w:rPr>
        <w:t>15.6</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w:t>
      </w:r>
      <w:r>
        <w:rPr>
          <w:rFonts w:ascii="仿宋_GB2312" w:hAnsi="Times New Roman" w:eastAsia="仿宋_GB2312"/>
          <w:sz w:val="32"/>
          <w:szCs w:val="32"/>
        </w:rPr>
        <w:t>15.6</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，较上年减少</w:t>
      </w:r>
      <w:r>
        <w:rPr>
          <w:rFonts w:ascii="仿宋_GB2312" w:hAnsi="Times New Roman" w:eastAsia="仿宋_GB2312"/>
          <w:sz w:val="32"/>
          <w:szCs w:val="32"/>
        </w:rPr>
        <w:t>3.6</w:t>
      </w:r>
      <w:r>
        <w:rPr>
          <w:rFonts w:hint="eastAsia" w:ascii="仿宋_GB2312" w:hAnsi="Times New Roman" w:eastAsia="仿宋_GB2312"/>
          <w:sz w:val="32"/>
          <w:szCs w:val="32"/>
        </w:rPr>
        <w:t>万元；公务接待费</w:t>
      </w:r>
      <w:r>
        <w:rPr>
          <w:rFonts w:ascii="仿宋_GB2312" w:hAnsi="Times New Roman" w:eastAsia="仿宋_GB2312"/>
          <w:sz w:val="32"/>
          <w:szCs w:val="32"/>
        </w:rPr>
        <w:t>0.6</w:t>
      </w:r>
      <w:r>
        <w:rPr>
          <w:rFonts w:hint="eastAsia" w:ascii="仿宋_GB2312" w:hAnsi="Times New Roman" w:eastAsia="仿宋_GB2312"/>
          <w:sz w:val="32"/>
          <w:szCs w:val="32"/>
        </w:rPr>
        <w:t>万元，较上年减少</w:t>
      </w:r>
      <w:r>
        <w:rPr>
          <w:rFonts w:ascii="仿宋_GB2312" w:hAnsi="Times New Roman" w:eastAsia="仿宋_GB2312"/>
          <w:sz w:val="32"/>
          <w:szCs w:val="32"/>
        </w:rPr>
        <w:t>1.2</w:t>
      </w:r>
      <w:r>
        <w:rPr>
          <w:rFonts w:hint="eastAsia" w:ascii="仿宋_GB2312" w:hAnsi="Times New Roman" w:eastAsia="仿宋_GB2312"/>
          <w:sz w:val="32"/>
          <w:szCs w:val="32"/>
        </w:rPr>
        <w:t>万元。主要原因为加强三公经费管理，节约开支。</w:t>
      </w:r>
    </w:p>
    <w:p>
      <w:pPr>
        <w:ind w:firstLine="640"/>
        <w:rPr>
          <w:rFonts w:ascii="黑体" w:hAnsi="黑体" w:eastAsia="黑体"/>
          <w:b/>
          <w:sz w:val="32"/>
          <w:szCs w:val="32"/>
        </w:rPr>
      </w:pPr>
      <w:r>
        <w:rPr>
          <w:rFonts w:hint="eastAsia" w:ascii="黑体" w:hAnsi="黑体" w:eastAsia="黑体"/>
          <w:b/>
          <w:sz w:val="32"/>
          <w:szCs w:val="32"/>
        </w:rPr>
        <w:t>五、绩效预算信息</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640" w:lineRule="exact"/>
        <w:ind w:firstLine="643" w:firstLineChars="200"/>
        <w:rPr>
          <w:rFonts w:ascii="仿宋_GB2312" w:hAnsi="仿宋_GB2312" w:eastAsia="仿宋_GB2312" w:cs="仿宋_GB2312"/>
          <w:color w:val="000000"/>
          <w:kern w:val="0"/>
          <w:sz w:val="32"/>
          <w:szCs w:val="32"/>
        </w:rPr>
      </w:pPr>
      <w:bookmarkStart w:id="0" w:name="_Toc471398463"/>
      <w:r>
        <w:rPr>
          <w:rFonts w:hint="eastAsia" w:ascii="仿宋_GB2312" w:eastAsia="仿宋_GB2312"/>
          <w:b/>
          <w:sz w:val="32"/>
          <w:szCs w:val="32"/>
        </w:rPr>
        <w:t>总体绩效目标：</w:t>
      </w:r>
      <w:r>
        <w:rPr>
          <w:rFonts w:ascii="仿宋_GB2312" w:hAnsi="Arial" w:eastAsia="仿宋_GB2312" w:cs="Arial"/>
          <w:color w:val="000000"/>
          <w:sz w:val="32"/>
          <w:szCs w:val="32"/>
        </w:rPr>
        <w:t xml:space="preserve"> </w:t>
      </w:r>
      <w:r>
        <w:rPr>
          <w:rFonts w:ascii="仿宋_GB2312" w:hAnsi="Arial" w:eastAsia="仿宋_GB2312" w:cs="Arial"/>
          <w:color w:val="000000"/>
          <w:sz w:val="32"/>
          <w:szCs w:val="32"/>
        </w:rPr>
        <w:br w:type="textWrapping"/>
      </w:r>
      <w:r>
        <w:rPr>
          <w:rFonts w:ascii="仿宋_GB2312" w:hAnsi="Arial" w:eastAsia="仿宋_GB2312" w:cs="Arial"/>
          <w:color w:val="000000"/>
          <w:sz w:val="32"/>
          <w:szCs w:val="32"/>
          <w:shd w:val="clear" w:color="auto" w:fill="FFFFFF"/>
        </w:rPr>
        <w:t xml:space="preserve"> </w:t>
      </w:r>
      <w:r>
        <w:rPr>
          <w:rFonts w:ascii="仿宋_GB2312" w:hAnsi="Arial" w:eastAsia="仿宋_GB2312" w:cs="Arial"/>
          <w:bCs/>
          <w:color w:val="000000"/>
          <w:sz w:val="32"/>
          <w:szCs w:val="32"/>
          <w:shd w:val="clear" w:color="auto" w:fill="FFFFFF"/>
        </w:rPr>
        <w:t xml:space="preserve">   </w:t>
      </w:r>
      <w:r>
        <w:rPr>
          <w:rFonts w:hint="eastAsia" w:ascii="仿宋_GB2312" w:hAnsi="仿宋_GB2312" w:eastAsia="仿宋_GB2312" w:cs="仿宋_GB2312"/>
          <w:b/>
          <w:color w:val="000000"/>
          <w:kern w:val="0"/>
          <w:sz w:val="32"/>
          <w:szCs w:val="32"/>
        </w:rPr>
        <w:t>一、交通运输局</w:t>
      </w:r>
      <w:r>
        <w:rPr>
          <w:rFonts w:ascii="仿宋_GB2312" w:hAnsi="仿宋_GB2312" w:eastAsia="仿宋_GB2312" w:cs="仿宋_GB2312"/>
          <w:b/>
          <w:color w:val="000000"/>
          <w:kern w:val="0"/>
          <w:sz w:val="32"/>
          <w:szCs w:val="32"/>
        </w:rPr>
        <w:t>2019</w:t>
      </w:r>
      <w:r>
        <w:rPr>
          <w:rFonts w:hint="eastAsia" w:ascii="仿宋_GB2312" w:hAnsi="仿宋_GB2312" w:eastAsia="仿宋_GB2312" w:cs="仿宋_GB2312"/>
          <w:b/>
          <w:color w:val="000000"/>
          <w:kern w:val="0"/>
          <w:sz w:val="32"/>
          <w:szCs w:val="32"/>
        </w:rPr>
        <w:t>年年度发展规划目标。</w:t>
      </w:r>
      <w:r>
        <w:rPr>
          <w:rFonts w:ascii="仿宋_GB2312" w:eastAsia="仿宋_GB2312"/>
          <w:sz w:val="32"/>
          <w:szCs w:val="32"/>
        </w:rPr>
        <w:t>2019</w:t>
      </w:r>
      <w:r>
        <w:rPr>
          <w:rFonts w:hint="eastAsia" w:ascii="仿宋_GB2312" w:eastAsia="仿宋_GB2312"/>
          <w:sz w:val="32"/>
          <w:szCs w:val="32"/>
        </w:rPr>
        <w:t>年交通部门在县委县政府的正确领导下，围绕馆陶经济社会发展大局，以〈公路法〉、《公路运输条例》《邯郸市农村公路管理办法》等法律法规为准绳，结合我单位工作职责，局党组召开专门会议进行了分析研究，以全省公路建设三年会战和扶贫攻坚工作为契机，争取上级政策和资金支持，优化升级路网结构，以交通重点工程和农村公路建设为重点，开拓创新，扎实推进，继续保持交通事业持续快速健康发展的势头，明确</w:t>
      </w:r>
      <w:r>
        <w:rPr>
          <w:rFonts w:ascii="仿宋_GB2312" w:eastAsia="仿宋_GB2312"/>
          <w:sz w:val="32"/>
          <w:szCs w:val="32"/>
        </w:rPr>
        <w:t>2019</w:t>
      </w:r>
      <w:r>
        <w:rPr>
          <w:rFonts w:hint="eastAsia" w:ascii="仿宋_GB2312" w:eastAsia="仿宋_GB2312"/>
          <w:sz w:val="32"/>
          <w:szCs w:val="32"/>
        </w:rPr>
        <w:t>年的工作重点：</w:t>
      </w:r>
    </w:p>
    <w:p>
      <w:pPr>
        <w:pStyle w:val="17"/>
        <w:rPr>
          <w:rFonts w:ascii="仿宋_GB2312" w:eastAsia="仿宋_GB2312"/>
          <w:sz w:val="32"/>
          <w:szCs w:val="32"/>
          <w:lang w:eastAsia="zh-CN"/>
        </w:rPr>
      </w:pPr>
      <w:r>
        <w:rPr>
          <w:rFonts w:ascii="仿宋_GB2312" w:eastAsia="仿宋_GB2312"/>
          <w:sz w:val="32"/>
          <w:szCs w:val="32"/>
          <w:lang w:eastAsia="zh-CN"/>
        </w:rPr>
        <w:t xml:space="preserve">     1</w:t>
      </w:r>
      <w:r>
        <w:rPr>
          <w:rFonts w:hint="eastAsia" w:ascii="仿宋_GB2312" w:eastAsia="仿宋_GB2312"/>
          <w:sz w:val="32"/>
          <w:szCs w:val="32"/>
          <w:lang w:eastAsia="zh-CN"/>
        </w:rPr>
        <w:t>、紧盯</w:t>
      </w:r>
      <w:r>
        <w:rPr>
          <w:rFonts w:ascii="仿宋_GB2312" w:eastAsia="仿宋_GB2312"/>
          <w:sz w:val="32"/>
          <w:szCs w:val="32"/>
          <w:lang w:eastAsia="zh-CN"/>
        </w:rPr>
        <w:t>106</w:t>
      </w:r>
      <w:r>
        <w:rPr>
          <w:rFonts w:hint="eastAsia" w:ascii="仿宋_GB2312" w:eastAsia="仿宋_GB2312"/>
          <w:sz w:val="32"/>
          <w:szCs w:val="32"/>
          <w:lang w:eastAsia="zh-CN"/>
        </w:rPr>
        <w:t>国道绕城项目。积极做好前期手续跑办工作，争取尽快完成立项、工可批复。列入部、省建设计划，启动征地拆迁，力争</w:t>
      </w:r>
      <w:r>
        <w:rPr>
          <w:rFonts w:ascii="仿宋_GB2312" w:eastAsia="仿宋_GB2312"/>
          <w:sz w:val="32"/>
          <w:szCs w:val="32"/>
          <w:lang w:eastAsia="zh-CN"/>
        </w:rPr>
        <w:t>2019</w:t>
      </w:r>
      <w:r>
        <w:rPr>
          <w:rFonts w:hint="eastAsia" w:ascii="仿宋_GB2312" w:eastAsia="仿宋_GB2312"/>
          <w:sz w:val="32"/>
          <w:szCs w:val="32"/>
          <w:lang w:eastAsia="zh-CN"/>
        </w:rPr>
        <w:t>年开工建设。</w:t>
      </w:r>
    </w:p>
    <w:p>
      <w:pPr>
        <w:pStyle w:val="17"/>
        <w:rPr>
          <w:rFonts w:ascii="仿宋_GB2312" w:eastAsia="仿宋_GB2312"/>
          <w:sz w:val="32"/>
          <w:szCs w:val="32"/>
          <w:lang w:eastAsia="zh-CN"/>
        </w:rPr>
      </w:pPr>
      <w:r>
        <w:rPr>
          <w:rFonts w:ascii="仿宋_GB2312" w:eastAsia="仿宋_GB2312"/>
          <w:sz w:val="32"/>
          <w:szCs w:val="32"/>
          <w:lang w:eastAsia="zh-CN"/>
        </w:rPr>
        <w:t xml:space="preserve">     2</w:t>
      </w:r>
      <w:r>
        <w:rPr>
          <w:rFonts w:hint="eastAsia" w:ascii="仿宋_GB2312" w:eastAsia="仿宋_GB2312"/>
          <w:sz w:val="32"/>
          <w:szCs w:val="32"/>
          <w:lang w:eastAsia="zh-CN"/>
        </w:rPr>
        <w:t>、加快推进乡村道路建设。</w:t>
      </w:r>
      <w:r>
        <w:rPr>
          <w:rFonts w:ascii="仿宋_GB2312" w:eastAsia="仿宋_GB2312"/>
          <w:sz w:val="32"/>
          <w:szCs w:val="32"/>
          <w:lang w:eastAsia="zh-CN"/>
        </w:rPr>
        <w:t>2019</w:t>
      </w:r>
      <w:r>
        <w:rPr>
          <w:rFonts w:hint="eastAsia" w:ascii="仿宋_GB2312" w:eastAsia="仿宋_GB2312"/>
          <w:sz w:val="32"/>
          <w:szCs w:val="32"/>
          <w:lang w:eastAsia="zh-CN"/>
        </w:rPr>
        <w:t>年计划改建村道</w:t>
      </w:r>
      <w:r>
        <w:rPr>
          <w:rFonts w:ascii="仿宋_GB2312" w:eastAsia="仿宋_GB2312"/>
          <w:sz w:val="32"/>
          <w:szCs w:val="32"/>
          <w:lang w:eastAsia="zh-CN"/>
        </w:rPr>
        <w:t>200</w:t>
      </w:r>
      <w:r>
        <w:rPr>
          <w:rFonts w:hint="eastAsia" w:ascii="仿宋_GB2312" w:eastAsia="仿宋_GB2312"/>
          <w:sz w:val="32"/>
          <w:szCs w:val="32"/>
          <w:lang w:eastAsia="zh-CN"/>
        </w:rPr>
        <w:t>余公里，不断优化农村公路的“毛细血管”，助力乡村振兴。</w:t>
      </w:r>
    </w:p>
    <w:p>
      <w:pPr>
        <w:pStyle w:val="17"/>
        <w:rPr>
          <w:rFonts w:ascii="仿宋_GB2312" w:eastAsia="仿宋_GB2312"/>
          <w:sz w:val="32"/>
          <w:szCs w:val="32"/>
          <w:lang w:eastAsia="zh-CN"/>
        </w:rPr>
      </w:pPr>
      <w:r>
        <w:rPr>
          <w:rFonts w:ascii="仿宋_GB2312" w:eastAsia="仿宋_GB2312"/>
          <w:sz w:val="32"/>
          <w:szCs w:val="32"/>
          <w:lang w:eastAsia="zh-CN"/>
        </w:rPr>
        <w:t xml:space="preserve">     3</w:t>
      </w:r>
      <w:r>
        <w:rPr>
          <w:rFonts w:hint="eastAsia" w:ascii="仿宋_GB2312" w:eastAsia="仿宋_GB2312"/>
          <w:sz w:val="32"/>
          <w:szCs w:val="32"/>
          <w:lang w:eastAsia="zh-CN"/>
        </w:rPr>
        <w:t>、着力抓好</w:t>
      </w:r>
      <w:r>
        <w:rPr>
          <w:rFonts w:ascii="仿宋_GB2312" w:eastAsia="仿宋_GB2312"/>
          <w:sz w:val="32"/>
          <w:szCs w:val="32"/>
          <w:lang w:eastAsia="zh-CN"/>
        </w:rPr>
        <w:t>2018</w:t>
      </w:r>
      <w:r>
        <w:rPr>
          <w:rFonts w:hint="eastAsia" w:ascii="仿宋_GB2312" w:eastAsia="仿宋_GB2312"/>
          <w:sz w:val="32"/>
          <w:szCs w:val="32"/>
          <w:lang w:eastAsia="zh-CN"/>
        </w:rPr>
        <w:t>年续建项目及重点改建项目，提高县域公路通行水平。</w:t>
      </w:r>
    </w:p>
    <w:p>
      <w:pPr>
        <w:pStyle w:val="17"/>
        <w:rPr>
          <w:rFonts w:ascii="仿宋_GB2312" w:eastAsia="仿宋_GB2312"/>
          <w:sz w:val="32"/>
          <w:szCs w:val="32"/>
          <w:lang w:eastAsia="zh-CN"/>
        </w:rPr>
      </w:pPr>
      <w:r>
        <w:rPr>
          <w:rFonts w:ascii="仿宋_GB2312" w:eastAsia="仿宋_GB2312"/>
          <w:sz w:val="32"/>
          <w:szCs w:val="32"/>
          <w:lang w:eastAsia="zh-CN"/>
        </w:rPr>
        <w:t xml:space="preserve">     4</w:t>
      </w:r>
      <w:r>
        <w:rPr>
          <w:rFonts w:hint="eastAsia" w:ascii="仿宋_GB2312" w:eastAsia="仿宋_GB2312"/>
          <w:sz w:val="32"/>
          <w:szCs w:val="32"/>
          <w:lang w:eastAsia="zh-CN"/>
        </w:rPr>
        <w:t>、抓好</w:t>
      </w:r>
      <w:r>
        <w:rPr>
          <w:rFonts w:ascii="仿宋_GB2312" w:eastAsia="仿宋_GB2312"/>
          <w:sz w:val="32"/>
          <w:szCs w:val="32"/>
          <w:lang w:eastAsia="zh-CN"/>
        </w:rPr>
        <w:t>2018</w:t>
      </w:r>
      <w:r>
        <w:rPr>
          <w:rFonts w:hint="eastAsia" w:ascii="仿宋_GB2312" w:eastAsia="仿宋_GB2312"/>
          <w:sz w:val="32"/>
          <w:szCs w:val="32"/>
          <w:lang w:eastAsia="zh-CN"/>
        </w:rPr>
        <w:t>年农村公路改造工程及危桥改建工作。</w:t>
      </w:r>
    </w:p>
    <w:p>
      <w:pPr>
        <w:pStyle w:val="17"/>
        <w:rPr>
          <w:rFonts w:ascii="仿宋_GB2312" w:eastAsia="仿宋_GB2312"/>
          <w:sz w:val="32"/>
          <w:szCs w:val="32"/>
          <w:lang w:eastAsia="zh-CN"/>
        </w:rPr>
      </w:pPr>
      <w:r>
        <w:rPr>
          <w:rFonts w:ascii="仿宋_GB2312" w:eastAsia="仿宋_GB2312"/>
          <w:sz w:val="32"/>
          <w:szCs w:val="32"/>
          <w:lang w:eastAsia="zh-CN"/>
        </w:rPr>
        <w:t xml:space="preserve">     5</w:t>
      </w:r>
      <w:r>
        <w:rPr>
          <w:rFonts w:hint="eastAsia" w:ascii="仿宋_GB2312" w:eastAsia="仿宋_GB2312"/>
          <w:sz w:val="32"/>
          <w:szCs w:val="32"/>
          <w:lang w:eastAsia="zh-CN"/>
        </w:rPr>
        <w:t>、持续抓好公路管养工作。</w:t>
      </w:r>
    </w:p>
    <w:p>
      <w:pPr>
        <w:pStyle w:val="17"/>
        <w:rPr>
          <w:rFonts w:ascii="仿宋_GB2312" w:eastAsia="仿宋_GB2312"/>
          <w:sz w:val="32"/>
          <w:szCs w:val="32"/>
          <w:lang w:eastAsia="zh-CN"/>
        </w:rPr>
      </w:pPr>
      <w:r>
        <w:rPr>
          <w:rFonts w:ascii="仿宋_GB2312" w:eastAsia="仿宋_GB2312"/>
          <w:sz w:val="32"/>
          <w:szCs w:val="32"/>
          <w:lang w:eastAsia="zh-CN"/>
        </w:rPr>
        <w:t xml:space="preserve">     6</w:t>
      </w:r>
      <w:r>
        <w:rPr>
          <w:rFonts w:hint="eastAsia" w:ascii="仿宋_GB2312" w:eastAsia="仿宋_GB2312"/>
          <w:sz w:val="32"/>
          <w:szCs w:val="32"/>
          <w:lang w:eastAsia="zh-CN"/>
        </w:rPr>
        <w:t>、强化运输行业监管。</w:t>
      </w:r>
    </w:p>
    <w:p>
      <w:pPr>
        <w:pStyle w:val="17"/>
        <w:rPr>
          <w:rFonts w:ascii="仿宋_GB2312" w:eastAsia="仿宋_GB2312"/>
          <w:sz w:val="32"/>
          <w:szCs w:val="32"/>
          <w:lang w:eastAsia="zh-CN"/>
        </w:rPr>
      </w:pPr>
      <w:r>
        <w:rPr>
          <w:rFonts w:ascii="仿宋_GB2312" w:eastAsia="仿宋_GB2312"/>
          <w:sz w:val="32"/>
          <w:szCs w:val="32"/>
          <w:lang w:eastAsia="zh-CN"/>
        </w:rPr>
        <w:t xml:space="preserve">     7</w:t>
      </w:r>
      <w:r>
        <w:rPr>
          <w:rFonts w:hint="eastAsia" w:ascii="仿宋_GB2312" w:eastAsia="仿宋_GB2312"/>
          <w:sz w:val="32"/>
          <w:szCs w:val="32"/>
          <w:lang w:eastAsia="zh-CN"/>
        </w:rPr>
        <w:t>、抓实精神文明建设。</w:t>
      </w:r>
    </w:p>
    <w:p>
      <w:pPr>
        <w:pStyle w:val="17"/>
        <w:rPr>
          <w:rFonts w:ascii="仿宋_GB2312" w:eastAsia="仿宋_GB2312"/>
          <w:sz w:val="32"/>
          <w:szCs w:val="32"/>
          <w:lang w:eastAsia="zh-CN"/>
        </w:rPr>
      </w:pPr>
      <w:r>
        <w:rPr>
          <w:rFonts w:ascii="仿宋_GB2312" w:eastAsia="仿宋_GB2312"/>
          <w:sz w:val="32"/>
          <w:szCs w:val="32"/>
          <w:lang w:eastAsia="zh-CN"/>
        </w:rPr>
        <w:t xml:space="preserve">     8</w:t>
      </w:r>
      <w:r>
        <w:rPr>
          <w:rFonts w:hint="eastAsia" w:ascii="仿宋_GB2312" w:eastAsia="仿宋_GB2312"/>
          <w:sz w:val="32"/>
          <w:szCs w:val="32"/>
          <w:lang w:eastAsia="zh-CN"/>
        </w:rPr>
        <w:t>、抓牢安全稳定工作。</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640" w:lineRule="exact"/>
        <w:ind w:firstLine="640" w:firstLineChars="200"/>
        <w:rPr>
          <w:rFonts w:ascii="仿宋_GB2312" w:hAnsi="仿宋_GB2312" w:eastAsia="仿宋_GB2312" w:cs="仿宋_GB2312"/>
          <w:color w:val="000000"/>
          <w:kern w:val="0"/>
          <w:sz w:val="32"/>
          <w:szCs w:val="32"/>
        </w:rPr>
      </w:pPr>
    </w:p>
    <w:p>
      <w:pPr>
        <w:widowControl/>
        <w:autoSpaceDE w:val="0"/>
        <w:autoSpaceDN w:val="0"/>
        <w:adjustRightInd w:val="0"/>
        <w:spacing w:line="640" w:lineRule="exact"/>
        <w:ind w:firstLine="640" w:firstLineChars="200"/>
        <w:jc w:val="left"/>
        <w:rPr>
          <w:rFonts w:ascii="黑体" w:hAnsi="仿宋_GB2312" w:eastAsia="黑体" w:cs="仿宋_GB2312"/>
          <w:bCs/>
          <w:color w:val="000000"/>
          <w:kern w:val="0"/>
          <w:sz w:val="32"/>
          <w:szCs w:val="32"/>
        </w:rPr>
      </w:pPr>
      <w:r>
        <w:rPr>
          <w:rFonts w:hint="eastAsia" w:ascii="黑体" w:hAnsi="仿宋_GB2312" w:eastAsia="黑体" w:cs="仿宋_GB2312"/>
          <w:bCs/>
          <w:color w:val="000000"/>
          <w:kern w:val="0"/>
          <w:sz w:val="32"/>
          <w:szCs w:val="32"/>
        </w:rPr>
        <w:t>二、</w:t>
      </w:r>
      <w:r>
        <w:rPr>
          <w:rFonts w:hint="eastAsia" w:ascii="黑体" w:hAnsi="宋体" w:eastAsia="黑体" w:cs="宋体"/>
          <w:bCs/>
          <w:kern w:val="0"/>
          <w:sz w:val="32"/>
          <w:szCs w:val="32"/>
        </w:rPr>
        <w:t>交通运输部门职责分类目标绩效说明</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640" w:lineRule="exact"/>
        <w:ind w:firstLine="643" w:firstLineChars="200"/>
        <w:rPr>
          <w:rFonts w:ascii="仿宋_GB2312" w:hAnsi="黑体" w:eastAsia="仿宋_GB2312" w:cs="黑体"/>
          <w:b/>
          <w:kern w:val="0"/>
          <w:sz w:val="32"/>
          <w:szCs w:val="32"/>
        </w:rPr>
      </w:pPr>
      <w:r>
        <w:rPr>
          <w:rFonts w:hint="eastAsia" w:ascii="仿宋_GB2312" w:hAnsi="黑体" w:eastAsia="仿宋_GB2312" w:cs="黑体"/>
          <w:b/>
          <w:kern w:val="0"/>
          <w:sz w:val="32"/>
          <w:szCs w:val="32"/>
        </w:rPr>
        <w:t>一是交通运输基础设施建设</w:t>
      </w:r>
      <w:r>
        <w:rPr>
          <w:rFonts w:hint="eastAsia" w:ascii="仿宋_GB2312" w:hAnsi="黑体" w:eastAsia="仿宋_GB2312" w:cs="黑体"/>
          <w:kern w:val="0"/>
          <w:sz w:val="32"/>
          <w:szCs w:val="32"/>
        </w:rPr>
        <w:t>。</w:t>
      </w:r>
      <w:r>
        <w:rPr>
          <w:rFonts w:hint="eastAsia" w:ascii="仿宋_GB2312" w:hAnsi="仿宋_GB2312" w:eastAsia="仿宋_GB2312" w:cs="仿宋_GB2312"/>
          <w:kern w:val="0"/>
          <w:sz w:val="32"/>
          <w:szCs w:val="32"/>
        </w:rPr>
        <w:t>提出全县交通运输行业固定资产投资规模和方向</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按县政府规定权限审批、核准县规划内和年度计划规模内的固定资产投资项目，完成交通基础设施投资；对重点工程建设、工程质量和安全生产进行监管，对招投标活动进行监督管理。</w:t>
      </w:r>
      <w:r>
        <w:rPr>
          <w:rFonts w:hint="eastAsia" w:ascii="仿宋_GB2312" w:hAnsi="黑体" w:eastAsia="仿宋_GB2312" w:cs="黑体"/>
          <w:b/>
          <w:kern w:val="0"/>
          <w:sz w:val="32"/>
          <w:szCs w:val="32"/>
        </w:rPr>
        <w:t>二是交通运输基础设施养护、维护。</w:t>
      </w:r>
      <w:r>
        <w:rPr>
          <w:rFonts w:hint="eastAsia" w:ascii="仿宋_GB2312" w:hAnsi="仿宋_GB2312" w:eastAsia="仿宋_GB2312" w:cs="仿宋_GB2312"/>
          <w:kern w:val="0"/>
          <w:sz w:val="32"/>
          <w:szCs w:val="32"/>
        </w:rPr>
        <w:t>组织交通运输基础设施养护、维护，对招投标活动进行监督管理。</w:t>
      </w:r>
      <w:r>
        <w:rPr>
          <w:rFonts w:hint="eastAsia" w:ascii="仿宋_GB2312" w:hAnsi="黑体" w:eastAsia="仿宋_GB2312" w:cs="黑体"/>
          <w:b/>
          <w:kern w:val="0"/>
          <w:sz w:val="32"/>
          <w:szCs w:val="32"/>
        </w:rPr>
        <w:t>三是交通运输管理。</w:t>
      </w:r>
      <w:r>
        <w:rPr>
          <w:rFonts w:hint="eastAsia" w:ascii="仿宋_GB2312" w:hAnsi="仿宋_GB2312" w:eastAsia="仿宋_GB2312" w:cs="仿宋_GB2312"/>
          <w:kern w:val="0"/>
          <w:sz w:val="32"/>
          <w:szCs w:val="32"/>
        </w:rPr>
        <w:t>对全县公路及其设施的建设和养护进行管理；对全县交通运输市场进行监管，指导城乡客运及有关设施规划和管理，指导出租汽车行业管理。</w:t>
      </w:r>
      <w:r>
        <w:rPr>
          <w:rFonts w:hint="eastAsia" w:ascii="仿宋_GB2312" w:hAnsi="黑体" w:eastAsia="仿宋_GB2312" w:cs="黑体"/>
          <w:b/>
          <w:kern w:val="0"/>
          <w:sz w:val="32"/>
          <w:szCs w:val="32"/>
        </w:rPr>
        <w:t>四是收费公路管理</w:t>
      </w:r>
      <w:r>
        <w:rPr>
          <w:rFonts w:hint="eastAsia" w:ascii="仿宋_GB2312" w:hAnsi="黑体" w:eastAsia="仿宋_GB2312" w:cs="黑体"/>
          <w:kern w:val="0"/>
          <w:sz w:val="32"/>
          <w:szCs w:val="32"/>
        </w:rPr>
        <w:t>。</w:t>
      </w:r>
      <w:r>
        <w:rPr>
          <w:rFonts w:hint="eastAsia" w:ascii="仿宋_GB2312" w:hAnsi="仿宋_GB2312" w:eastAsia="仿宋_GB2312" w:cs="仿宋_GB2312"/>
          <w:kern w:val="0"/>
          <w:sz w:val="32"/>
          <w:szCs w:val="32"/>
        </w:rPr>
        <w:t>根据《收费公路管理条例》等相关规定，对收费公路进行管理。</w:t>
      </w:r>
      <w:r>
        <w:rPr>
          <w:rFonts w:hint="eastAsia" w:ascii="仿宋_GB2312" w:hAnsi="黑体" w:eastAsia="仿宋_GB2312" w:cs="黑体"/>
          <w:b/>
          <w:kern w:val="0"/>
          <w:sz w:val="32"/>
          <w:szCs w:val="32"/>
        </w:rPr>
        <w:t>五是交通政务管理。</w:t>
      </w:r>
      <w:r>
        <w:rPr>
          <w:rFonts w:hint="eastAsia" w:ascii="仿宋_GB2312" w:hAnsi="仿宋_GB2312" w:eastAsia="仿宋_GB2312" w:cs="仿宋_GB2312"/>
          <w:kern w:val="0"/>
          <w:sz w:val="32"/>
          <w:szCs w:val="32"/>
        </w:rPr>
        <w:t>负责交通运输综合交通运输体系建设，综合业务管理和综合事物管理。</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640" w:lineRule="exact"/>
        <w:ind w:firstLine="482" w:firstLineChars="150"/>
        <w:rPr>
          <w:rFonts w:ascii="黑体" w:eastAsia="黑体"/>
          <w:b/>
          <w:bCs/>
          <w:kern w:val="0"/>
          <w:sz w:val="32"/>
          <w:szCs w:val="32"/>
        </w:rPr>
      </w:pPr>
      <w:r>
        <w:rPr>
          <w:rFonts w:hint="eastAsia" w:ascii="黑体" w:hAnsi="仿宋_GB2312" w:eastAsia="黑体" w:cs="仿宋_GB2312"/>
          <w:b/>
          <w:kern w:val="0"/>
          <w:sz w:val="32"/>
          <w:szCs w:val="32"/>
        </w:rPr>
        <w:t>三、</w:t>
      </w:r>
      <w:r>
        <w:rPr>
          <w:rFonts w:hint="eastAsia" w:ascii="黑体" w:hAnsi="仿宋_GB2312" w:eastAsia="黑体" w:cs="仿宋_GB2312"/>
          <w:b/>
          <w:bCs/>
          <w:kern w:val="0"/>
          <w:sz w:val="32"/>
          <w:szCs w:val="32"/>
        </w:rPr>
        <w:t>实现本年度发展规划目标的保障措施</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40"/>
        <w:rPr>
          <w:rFonts w:ascii="仿宋_GB2312" w:hAnsi="宋体" w:eastAsia="仿宋_GB2312"/>
          <w:color w:val="000000"/>
          <w:sz w:val="32"/>
          <w:szCs w:val="32"/>
          <w:shd w:val="clear" w:color="auto" w:fill="FFFFFF"/>
        </w:rPr>
      </w:pPr>
      <w:r>
        <w:rPr>
          <w:rFonts w:hint="eastAsia" w:ascii="仿宋_GB2312" w:hAnsi="宋体" w:eastAsia="仿宋_GB2312"/>
          <w:color w:val="000000"/>
          <w:sz w:val="32"/>
          <w:szCs w:val="32"/>
          <w:shd w:val="clear" w:color="auto" w:fill="FFFFFF"/>
        </w:rPr>
        <w:t>按照县委县政府的决策部署以及省交通厅投资计划，结合本部门职责，为了更好地完成</w:t>
      </w:r>
      <w:r>
        <w:rPr>
          <w:rFonts w:ascii="仿宋_GB2312" w:hAnsi="宋体" w:eastAsia="仿宋_GB2312"/>
          <w:color w:val="000000"/>
          <w:sz w:val="32"/>
          <w:szCs w:val="32"/>
          <w:shd w:val="clear" w:color="auto" w:fill="FFFFFF"/>
        </w:rPr>
        <w:t>2019</w:t>
      </w:r>
      <w:r>
        <w:rPr>
          <w:rFonts w:hint="eastAsia" w:ascii="仿宋_GB2312" w:hAnsi="宋体" w:eastAsia="仿宋_GB2312"/>
          <w:color w:val="000000"/>
          <w:sz w:val="32"/>
          <w:szCs w:val="32"/>
          <w:shd w:val="clear" w:color="auto" w:fill="FFFFFF"/>
        </w:rPr>
        <w:t>年工作，主要措施如下：</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40"/>
        <w:rPr>
          <w:rFonts w:ascii="仿宋_GB2312" w:hAnsi="宋体" w:eastAsia="仿宋_GB2312"/>
          <w:b/>
          <w:color w:val="000000"/>
          <w:sz w:val="32"/>
          <w:szCs w:val="32"/>
          <w:shd w:val="clear" w:color="auto" w:fill="FFFFFF"/>
        </w:rPr>
      </w:pPr>
      <w:r>
        <w:rPr>
          <w:rFonts w:hint="eastAsia" w:ascii="仿宋_GB2312" w:hAnsi="宋体" w:eastAsia="仿宋_GB2312"/>
          <w:b/>
          <w:color w:val="000000"/>
          <w:sz w:val="32"/>
          <w:szCs w:val="32"/>
          <w:shd w:val="clear" w:color="auto" w:fill="FFFFFF"/>
        </w:rPr>
        <w:t>一是加强领导：</w:t>
      </w:r>
      <w:r>
        <w:rPr>
          <w:rFonts w:hint="eastAsia" w:ascii="仿宋_GB2312" w:hAnsi="宋体" w:eastAsia="仿宋_GB2312"/>
          <w:color w:val="000000"/>
          <w:sz w:val="32"/>
          <w:szCs w:val="32"/>
          <w:shd w:val="clear" w:color="auto" w:fill="FFFFFF"/>
        </w:rPr>
        <w:t>为了保证发展规划目标的实现，进一步落实各级责任，机关成立了以“一把手”为组长、党委成员为副组长、科室主任为成员的领导小组，对目标任务进行分解、落实责任，细化工作措施，确定完成期限等。局直各单位也要相应的成立领导机构和工作班子，形成“一级抓一级、层层抓落实”的局面，确保各项工作全面覆盖，无空白、无遗漏</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40"/>
        <w:rPr>
          <w:rFonts w:ascii="仿宋_GB2312" w:hAnsi="宋体" w:eastAsia="仿宋_GB2312"/>
          <w:color w:val="000000"/>
          <w:sz w:val="32"/>
          <w:szCs w:val="32"/>
          <w:shd w:val="clear" w:color="auto" w:fill="FFFFFF"/>
        </w:rPr>
      </w:pPr>
      <w:r>
        <w:rPr>
          <w:rFonts w:hint="eastAsia" w:ascii="仿宋_GB2312" w:hAnsi="宋体" w:eastAsia="仿宋_GB2312"/>
          <w:b/>
          <w:color w:val="000000"/>
          <w:sz w:val="32"/>
          <w:szCs w:val="32"/>
          <w:shd w:val="clear" w:color="auto" w:fill="FFFFFF"/>
        </w:rPr>
        <w:t>二是建章立制</w:t>
      </w:r>
      <w:r>
        <w:rPr>
          <w:rFonts w:hint="eastAsia" w:ascii="仿宋_GB2312" w:hAnsi="宋体" w:eastAsia="仿宋_GB2312"/>
          <w:color w:val="000000"/>
          <w:sz w:val="32"/>
          <w:szCs w:val="32"/>
          <w:shd w:val="clear" w:color="auto" w:fill="FFFFFF"/>
        </w:rPr>
        <w:t>：健全完善规章制度，一是积极探索农村公路工程招投标管理新办法。选择实力强、信誉好的施工队伍进入我县农村公路建设市场，在设计、施工、验收等关键环节引入群众参与管理和实施监督的机制，建立切实有效的质量监控管理机制，确保农村公路建设质量。二是制定和实施农村公路养护质量办法，建立管养长效机制。落实和加大养护资金的投入，加强管养检查，强化目标考核，不断提高整个农村公路的管养水平。三是实行安全稳定工作责任制，确保系统持久平安。继续实行领导一岗双责责任制，消除不稳定因素，整治不安全隐患，不断强化分管领导责任意识，落实意识，坚决杜绝较大和重特大安全事故发生。</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700"/>
        <w:rPr>
          <w:rFonts w:ascii="仿宋_GB2312" w:hAnsi="宋体" w:eastAsia="仿宋_GB2312"/>
          <w:b/>
          <w:color w:val="000000"/>
          <w:sz w:val="32"/>
          <w:szCs w:val="32"/>
          <w:shd w:val="clear" w:color="auto" w:fill="FFFFFF"/>
        </w:rPr>
      </w:pPr>
      <w:r>
        <w:rPr>
          <w:rFonts w:hint="eastAsia" w:ascii="仿宋_GB2312" w:hAnsi="宋体" w:eastAsia="仿宋_GB2312"/>
          <w:b/>
          <w:color w:val="000000"/>
          <w:sz w:val="32"/>
          <w:szCs w:val="32"/>
          <w:shd w:val="clear" w:color="auto" w:fill="FFFFFF"/>
        </w:rPr>
        <w:t>三、围绕目标，制定重点工作：</w:t>
      </w:r>
      <w:r>
        <w:rPr>
          <w:rFonts w:hint="eastAsia" w:ascii="仿宋_GB2312" w:hAnsi="宋体" w:eastAsia="仿宋_GB2312"/>
          <w:color w:val="000000"/>
          <w:sz w:val="32"/>
          <w:szCs w:val="32"/>
          <w:shd w:val="clear" w:color="auto" w:fill="FFFFFF"/>
        </w:rPr>
        <w:t>一是</w:t>
      </w:r>
      <w:r>
        <w:rPr>
          <w:rFonts w:ascii="仿宋_GB2312" w:hAnsi="宋体" w:eastAsia="仿宋_GB2312"/>
          <w:color w:val="000000"/>
          <w:sz w:val="32"/>
          <w:szCs w:val="32"/>
          <w:shd w:val="clear" w:color="auto" w:fill="FFFFFF"/>
        </w:rPr>
        <w:t>106</w:t>
      </w:r>
      <w:r>
        <w:rPr>
          <w:rFonts w:hint="eastAsia" w:ascii="仿宋_GB2312" w:hAnsi="宋体" w:eastAsia="仿宋_GB2312"/>
          <w:color w:val="000000"/>
          <w:sz w:val="32"/>
          <w:szCs w:val="32"/>
          <w:shd w:val="clear" w:color="auto" w:fill="FFFFFF"/>
        </w:rPr>
        <w:t>国道绕城项目。争取尽快完成立项、工可批复，力争</w:t>
      </w:r>
      <w:r>
        <w:rPr>
          <w:rFonts w:ascii="仿宋_GB2312" w:hAnsi="宋体" w:eastAsia="仿宋_GB2312"/>
          <w:color w:val="000000"/>
          <w:sz w:val="32"/>
          <w:szCs w:val="32"/>
          <w:shd w:val="clear" w:color="auto" w:fill="FFFFFF"/>
        </w:rPr>
        <w:t>2019</w:t>
      </w:r>
      <w:r>
        <w:rPr>
          <w:rFonts w:hint="eastAsia" w:ascii="仿宋_GB2312" w:hAnsi="宋体" w:eastAsia="仿宋_GB2312"/>
          <w:color w:val="000000"/>
          <w:sz w:val="32"/>
          <w:szCs w:val="32"/>
          <w:shd w:val="clear" w:color="auto" w:fill="FFFFFF"/>
        </w:rPr>
        <w:t>年开工建设。二是加快推进乡村道路建设。计划改建村道</w:t>
      </w:r>
      <w:r>
        <w:rPr>
          <w:rFonts w:ascii="仿宋_GB2312" w:hAnsi="宋体" w:eastAsia="仿宋_GB2312"/>
          <w:color w:val="000000"/>
          <w:sz w:val="32"/>
          <w:szCs w:val="32"/>
          <w:shd w:val="clear" w:color="auto" w:fill="FFFFFF"/>
        </w:rPr>
        <w:t>200</w:t>
      </w:r>
      <w:r>
        <w:rPr>
          <w:rFonts w:hint="eastAsia" w:ascii="仿宋_GB2312" w:hAnsi="宋体" w:eastAsia="仿宋_GB2312"/>
          <w:color w:val="000000"/>
          <w:sz w:val="32"/>
          <w:szCs w:val="32"/>
          <w:shd w:val="clear" w:color="auto" w:fill="FFFFFF"/>
        </w:rPr>
        <w:t>余公里，不断优化农村公路，助力乡村振兴；三是突出抓好大气污染防治，抓好道路扬尘治理、施工扬尘防控；四是开展超限运输治理。计划在</w:t>
      </w:r>
      <w:r>
        <w:rPr>
          <w:rFonts w:ascii="仿宋_GB2312" w:hAnsi="宋体" w:eastAsia="仿宋_GB2312"/>
          <w:color w:val="000000"/>
          <w:sz w:val="32"/>
          <w:szCs w:val="32"/>
          <w:shd w:val="clear" w:color="auto" w:fill="FFFFFF"/>
        </w:rPr>
        <w:t>309</w:t>
      </w:r>
      <w:r>
        <w:rPr>
          <w:rFonts w:hint="eastAsia" w:ascii="仿宋_GB2312" w:hAnsi="宋体" w:eastAsia="仿宋_GB2312"/>
          <w:color w:val="000000"/>
          <w:sz w:val="32"/>
          <w:szCs w:val="32"/>
          <w:shd w:val="clear" w:color="auto" w:fill="FFFFFF"/>
        </w:rPr>
        <w:t>国道设置治超“非现场执法”系统，实现检测、识别、认定一体化，提高治超工作成效。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20"/>
        <w:rPr>
          <w:rFonts w:ascii="仿宋_GB2312" w:hAnsi="宋体" w:eastAsia="仿宋_GB2312"/>
          <w:color w:val="000000"/>
          <w:sz w:val="32"/>
          <w:szCs w:val="32"/>
          <w:shd w:val="clear" w:color="auto" w:fill="FFFFFF"/>
        </w:rPr>
      </w:pPr>
      <w:r>
        <w:rPr>
          <w:rFonts w:hint="eastAsia" w:ascii="仿宋_GB2312" w:hAnsi="宋体" w:eastAsia="仿宋_GB2312"/>
          <w:b/>
          <w:color w:val="000000"/>
          <w:sz w:val="32"/>
          <w:szCs w:val="32"/>
          <w:shd w:val="clear" w:color="auto" w:fill="FFFFFF"/>
        </w:rPr>
        <w:t>四、提高队伍素质</w:t>
      </w:r>
      <w:r>
        <w:rPr>
          <w:rFonts w:hint="eastAsia" w:ascii="仿宋_GB2312" w:hAnsi="宋体" w:eastAsia="仿宋_GB2312"/>
          <w:color w:val="000000"/>
          <w:sz w:val="32"/>
          <w:szCs w:val="32"/>
          <w:shd w:val="clear" w:color="auto" w:fill="FFFFFF"/>
        </w:rPr>
        <w:t>：在交通系统树立终身学习的理念，围绕政策理论、业务知识、专业技术等内容，制定学习计划，完善学习资料，鼓励和支持职工学习。针对薄弱环节，开展学习培训、采取个人自学、专题辅导、专业培训等多种形式，通过强化学习教育，增强履职能力，提高机关办事效率，提升机关干部职工整体素质，</w:t>
      </w:r>
      <w:r>
        <w:rPr>
          <w:rFonts w:ascii="仿宋_GB2312" w:hAnsi="Arial" w:eastAsia="仿宋_GB2312"/>
          <w:color w:val="000000"/>
          <w:sz w:val="32"/>
          <w:szCs w:val="32"/>
        </w:rPr>
        <w:br w:type="textWrapping"/>
      </w:r>
      <w:r>
        <w:rPr>
          <w:rFonts w:hint="eastAsia" w:ascii="仿宋_GB2312" w:hAnsi="宋体" w:eastAsia="仿宋_GB2312"/>
          <w:color w:val="000000"/>
          <w:sz w:val="32"/>
          <w:szCs w:val="32"/>
          <w:shd w:val="clear" w:color="auto" w:fill="FFFFFF"/>
        </w:rPr>
        <w:t>　　</w:t>
      </w:r>
      <w:r>
        <w:rPr>
          <w:rFonts w:hint="eastAsia" w:ascii="仿宋_GB2312" w:hAnsi="宋体" w:eastAsia="仿宋_GB2312"/>
          <w:b/>
          <w:color w:val="000000"/>
          <w:sz w:val="32"/>
          <w:szCs w:val="32"/>
          <w:shd w:val="clear" w:color="auto" w:fill="FFFFFF"/>
        </w:rPr>
        <w:t>五、严守纪律规矩，持续改进作风：</w:t>
      </w:r>
      <w:r>
        <w:rPr>
          <w:rFonts w:hint="eastAsia" w:ascii="仿宋_GB2312" w:hAnsi="宋体" w:eastAsia="仿宋_GB2312"/>
          <w:color w:val="000000"/>
          <w:sz w:val="32"/>
          <w:szCs w:val="32"/>
          <w:shd w:val="clear" w:color="auto" w:fill="FFFFFF"/>
        </w:rPr>
        <w:t>严格落实各项规定，严肃工作纪律，持续有效的改进工作作风；认真落实中央八项规定，领导带头执行廉洁自律各项规定，坚决抵制“四风”反弹，把县委、县纪委的各项要求落到实处。党员干部以实际行动影响和带动职工，在内部树正气、刹歪风，旗帜鲜明，公平正义，围绕全年工作目标，坚持全程监督、严格管理、奖惩并重，充分调动每一名职工的工作积极性，为交通各项工作的顺利开展创造条件。　</w:t>
      </w:r>
      <w:r>
        <w:rPr>
          <w:rFonts w:hint="eastAsia" w:ascii="宋体" w:hAnsi="宋体"/>
          <w:color w:val="000000"/>
          <w:sz w:val="28"/>
          <w:shd w:val="clear" w:color="auto" w:fill="FFFFFF"/>
        </w:rPr>
        <w:t>　</w:t>
      </w:r>
    </w:p>
    <w:p>
      <w:pPr>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p>
          <w:p>
            <w:pPr>
              <w:jc w:val="center"/>
              <w:outlineLvl w:val="0"/>
              <w:rPr>
                <w:rFonts w:ascii="宋体"/>
                <w:b/>
                <w:sz w:val="32"/>
              </w:rPr>
            </w:pPr>
            <w:r>
              <w:rPr>
                <w:rFonts w:hint="eastAsia" w:ascii="宋体" w:hAnsi="宋体"/>
                <w:b/>
                <w:sz w:val="32"/>
              </w:rPr>
              <w:t>部门职责</w:t>
            </w:r>
            <w:r>
              <w:rPr>
                <w:rFonts w:ascii="宋体"/>
                <w:b/>
                <w:sz w:val="32"/>
              </w:rPr>
              <w:t>-</w:t>
            </w:r>
            <w:r>
              <w:rPr>
                <w:rFonts w:hint="eastAsia" w:ascii="宋体" w:hAnsi="宋体"/>
                <w:b/>
                <w:sz w:val="32"/>
              </w:rPr>
              <w:t>工作活动绩效目标</w:t>
            </w:r>
          </w:p>
          <w:p>
            <w:pPr>
              <w:spacing w:line="300" w:lineRule="exact"/>
              <w:ind w:right="-2969" w:rightChars="-1414"/>
              <w:jc w:val="left"/>
              <w:rPr>
                <w:rFonts w:ascii="方正小标宋_GBK" w:eastAsia="方正小标宋_GBK"/>
                <w:sz w:val="24"/>
              </w:rPr>
            </w:pPr>
            <w:r>
              <w:rPr>
                <w:rFonts w:ascii="方正小标宋_GBK" w:eastAsia="方正小标宋_GBK"/>
                <w:sz w:val="24"/>
              </w:rPr>
              <w:t>348</w:t>
            </w:r>
            <w:r>
              <w:rPr>
                <w:rFonts w:hint="eastAsia" w:ascii="方正小标宋_GBK" w:eastAsia="方正小标宋_GBK"/>
                <w:sz w:val="24"/>
              </w:rPr>
              <w:t>馆陶县交通局</w:t>
            </w:r>
            <w:r>
              <w:rPr>
                <w:rFonts w:ascii="方正小标宋_GBK" w:eastAsia="方正小标宋_GBK"/>
                <w:sz w:val="24"/>
              </w:rPr>
              <w:t xml:space="preserve">                                                                   </w:t>
            </w:r>
            <w:r>
              <w:rPr>
                <w:rFonts w:hint="eastAsia" w:ascii="方正书宋_GBK" w:eastAsia="方正书宋_GBK"/>
                <w:sz w:val="24"/>
              </w:rPr>
              <w:t>单位：元</w:t>
            </w:r>
          </w:p>
        </w:tc>
        <w:tc>
          <w:tcPr>
            <w:tcW w:w="2948" w:type="dxa"/>
            <w:gridSpan w:val="4"/>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pPr>
              <w:spacing w:line="300" w:lineRule="exact"/>
              <w:jc w:val="left"/>
              <w:outlineLvl w:val="0"/>
            </w:pPr>
          </w:p>
        </w:tc>
        <w:tc>
          <w:tcPr>
            <w:tcW w:w="12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1417" w:type="dxa"/>
            <w:vMerge w:val="continue"/>
            <w:vAlign w:val="center"/>
          </w:tcPr>
          <w:p>
            <w:pPr>
              <w:spacing w:line="300" w:lineRule="exact"/>
              <w:jc w:val="left"/>
              <w:outlineLvl w:val="0"/>
            </w:pP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交通运输基础设施建设</w:t>
            </w:r>
          </w:p>
        </w:tc>
        <w:tc>
          <w:tcPr>
            <w:tcW w:w="1276" w:type="dxa"/>
            <w:vAlign w:val="center"/>
          </w:tcPr>
          <w:p>
            <w:pPr>
              <w:spacing w:line="300" w:lineRule="exact"/>
              <w:jc w:val="left"/>
              <w:rPr>
                <w:rFonts w:ascii="方正书宋_GBK" w:eastAsia="方正书宋_GBK"/>
              </w:rPr>
            </w:pPr>
            <w:r>
              <w:rPr>
                <w:rFonts w:ascii="方正书宋_GBK" w:eastAsia="方正书宋_GBK"/>
              </w:rPr>
              <w:t>67920000</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提出全县交通运输行业固定资产投资规模和方向</w:t>
            </w:r>
            <w:r>
              <w:rPr>
                <w:rFonts w:ascii="方正书宋_GBK" w:eastAsia="方正书宋_GBK"/>
              </w:rPr>
              <w:t>,</w:t>
            </w:r>
            <w:r>
              <w:rPr>
                <w:rFonts w:hint="eastAsia" w:ascii="方正书宋_GBK" w:eastAsia="方正书宋_GBK"/>
              </w:rPr>
              <w:t>按县政府规定权限审批、核准县规划内和年度计划规模内的固定资产投资项目，完成交通基础设施投资；对重点工程建设、工程质量和安全生产进行监管，对招投标活动进行监督管理。</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普通干线公路投资总额万元，在建里程公里</w:t>
            </w:r>
            <w:r>
              <w:rPr>
                <w:rFonts w:ascii="方正书宋_GBK" w:eastAsia="方正书宋_GBK"/>
              </w:rPr>
              <w:t>;</w:t>
            </w:r>
            <w:r>
              <w:rPr>
                <w:rFonts w:hint="eastAsia" w:ascii="方正书宋_GBK" w:eastAsia="方正书宋_GBK"/>
              </w:rPr>
              <w:t>农村公路投资总额万元，建设里程公里</w:t>
            </w:r>
            <w:r>
              <w:rPr>
                <w:rFonts w:ascii="方正书宋_GBK" w:eastAsia="方正书宋_GBK"/>
              </w:rPr>
              <w:t>;</w:t>
            </w:r>
            <w:r>
              <w:rPr>
                <w:rFonts w:hint="eastAsia" w:ascii="方正书宋_GBK" w:eastAsia="方正书宋_GBK"/>
              </w:rPr>
              <w:t>农村客运站点总投资万元</w:t>
            </w:r>
            <w:r>
              <w:rPr>
                <w:rFonts w:ascii="方正书宋_GBK" w:eastAsia="方正书宋_GBK"/>
              </w:rPr>
              <w:t>,</w:t>
            </w:r>
            <w:r>
              <w:rPr>
                <w:rFonts w:hint="eastAsia" w:ascii="方正书宋_GBK" w:eastAsia="方正书宋_GBK"/>
              </w:rPr>
              <w:t>建设简易站个、候车亭个、招呼站牌个</w:t>
            </w:r>
            <w:r>
              <w:rPr>
                <w:rFonts w:ascii="方正书宋_GBK" w:eastAsia="方正书宋_GBK"/>
              </w:rPr>
              <w:t>;</w:t>
            </w:r>
            <w:r>
              <w:rPr>
                <w:rFonts w:hint="eastAsia" w:ascii="方正书宋_GBK" w:eastAsia="方正书宋_GBK"/>
              </w:rPr>
              <w:t>按时偿还到期公路建设贷款，无贷款违约发生。</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普通干线公路建设</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按照上级补助资金额度，组织实施各项普通国县干线公路建设，完成投资任务。</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普通干线公路投资总额万元，在建里程公里。</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年度普通干线公路建设项目工程质量合格率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年度普通干线公路建设项目投资完成率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农村公路建设</w:t>
            </w:r>
          </w:p>
        </w:tc>
        <w:tc>
          <w:tcPr>
            <w:tcW w:w="1276" w:type="dxa"/>
            <w:vMerge w:val="restart"/>
            <w:vAlign w:val="center"/>
          </w:tcPr>
          <w:p>
            <w:pPr>
              <w:spacing w:line="300" w:lineRule="exact"/>
              <w:jc w:val="left"/>
              <w:rPr>
                <w:rFonts w:ascii="方正书宋_GBK" w:eastAsia="方正书宋_GBK"/>
              </w:rPr>
            </w:pPr>
            <w:r>
              <w:rPr>
                <w:rFonts w:ascii="方正书宋_GBK" w:eastAsia="方正书宋_GBK"/>
              </w:rPr>
              <w:t>67920000</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按照上级补助资金额度，组织实施农村公路建设，完成投资任务。</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农村公路投资总额万元，建设里程公里。</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年度农村公路建设项目工程质量合格率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年度农村公路建设工程量</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年度农村公路建设投资完成率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归还公路建设贷款</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归还县级公路建设贷款。</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按时偿还到期公路建设贷款，无贷款违约发生</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贷款违约率</w:t>
            </w:r>
          </w:p>
        </w:tc>
        <w:tc>
          <w:tcPr>
            <w:tcW w:w="737" w:type="dxa"/>
            <w:vAlign w:val="center"/>
          </w:tcPr>
          <w:p>
            <w:pPr>
              <w:spacing w:line="300" w:lineRule="exact"/>
              <w:jc w:val="center"/>
              <w:rPr>
                <w:rFonts w:ascii="方正书宋_GBK" w:eastAsia="方正书宋_GBK"/>
              </w:rPr>
            </w:pPr>
            <w:r>
              <w:rPr>
                <w:rFonts w:ascii="方正书宋_GBK" w:eastAsia="方正书宋_GBK"/>
              </w:rPr>
              <w:t>0</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r>
              <w:rPr>
                <w:rFonts w:hint="eastAsia" w:ascii="方正书宋_GBK" w:eastAsia="方正书宋_GBK"/>
              </w:rPr>
              <w:t>大于</w:t>
            </w: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年度偿还本息金额</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还贷资金等于通行费收入减去人员经费、公用经费、项目支出等的数额，因此现无法估算</w:t>
            </w:r>
            <w:r>
              <w:rPr>
                <w:rFonts w:ascii="方正书宋_GBK" w:eastAsia="方正书宋_GBK"/>
              </w:rPr>
              <w:t>2017</w:t>
            </w:r>
            <w:r>
              <w:rPr>
                <w:rFonts w:hint="eastAsia" w:ascii="方正书宋_GBK" w:eastAsia="方正书宋_GBK"/>
              </w:rPr>
              <w:t>年还贷资金金额</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公路客运站（场）及城乡客运基础设施建设</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组织实施汽车客运站场新改（扩）建工程（含综合客货运枢纽、等级客运站、简易站、候车亭、招呼牌等）建设。</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农村客运站点总投资万元</w:t>
            </w:r>
            <w:r>
              <w:rPr>
                <w:rFonts w:ascii="方正书宋_GBK" w:eastAsia="方正书宋_GBK"/>
              </w:rPr>
              <w:t>,</w:t>
            </w:r>
            <w:r>
              <w:rPr>
                <w:rFonts w:hint="eastAsia" w:ascii="方正书宋_GBK" w:eastAsia="方正书宋_GBK"/>
              </w:rPr>
              <w:t>县补资金万元，建设四级站个、五级站个、简易站个、候车亭个、招呼站牌个。</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客运站覆盖率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&lt;65%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年度客货运场站建设工程量（万元）</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&lt;65%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年度客货运场站建设投资完成率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&lt;65%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交通基础设施建设的协调、监督和管理</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监管全县公路、水路、地方铁路建设市场，对公路、水路、地方铁路等有关重点工程建设、工程质量和安全生产及行业招投标活动进行监督和管理，做好建设过程中的协调管理工作。</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交通基础设施建设市场运转有序，各项业务顺利开展，工作任务按时完成。</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社会公众或服务对象对项目实施效果的满意程度</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vAlign w:val="center"/>
          </w:tcPr>
          <w:p>
            <w:pPr>
              <w:spacing w:line="300" w:lineRule="exact"/>
              <w:jc w:val="center"/>
              <w:rPr>
                <w:rFonts w:ascii="方正书宋_GBK" w:eastAsia="方正书宋_GBK"/>
              </w:rPr>
            </w:pPr>
            <w:r>
              <w:rPr>
                <w:rFonts w:ascii="方正书宋_GBK" w:eastAsia="方正书宋_GBK"/>
              </w:rPr>
              <w:t>&lt;60%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交通基础设施建设重点项目监督检查率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&lt;65%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交通配套设施建设</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其他与县级建设任务紧密相关的交通基础设施建设。</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其他各项业务顺利开展，工作任务按时完成。</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年度交通配套设施项目工程质量合格率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年度交通配套设施建设工程量</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工程量不便统计，建议仅考核项目投资，取消工程量考核</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交通配套设施建设投资完成率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交通运输基础设施养护、维护</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组织交通运输基础设施养护、维护，对招投标活动进行监督管理。</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干线公路大中修总投资万元，大中修里程公里；桥梁维修加固总投资万元，加固桥梁延米；安保及灾害防治工程总投资万元，治理隐患里程公里。</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普通干线公路养护</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对普通干线公路主体及其附属设施、设备进行保养中修、大修、维护等。</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干线公路大中修总投资万元，大中修里程公里；桥梁维修加固总投资万元，加固桥梁延米；安保及灾害防治工程总投资万元，治理隐患里程公里。</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养护工程合格率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年度普通干线公路养护工程量（万元）</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养护项目计划分年度下达，对应工程量不便统计，建议仅考核项目投资，取消工程量考核</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年度普通干线公路养护投资完成率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农村公路养护以奖代补</w:t>
            </w:r>
          </w:p>
        </w:tc>
        <w:tc>
          <w:tcPr>
            <w:tcW w:w="1276" w:type="dxa"/>
            <w:vMerge w:val="restart"/>
            <w:vAlign w:val="center"/>
          </w:tcPr>
          <w:p>
            <w:pPr>
              <w:spacing w:line="300" w:lineRule="exact"/>
              <w:jc w:val="left"/>
              <w:rPr>
                <w:rFonts w:ascii="方正书宋_GBK" w:eastAsia="方正书宋_GBK"/>
              </w:rPr>
            </w:pPr>
            <w:r>
              <w:rPr>
                <w:rFonts w:ascii="方正书宋_GBK" w:eastAsia="方正书宋_GBK"/>
              </w:rPr>
              <w:t>550000</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使用上级以奖代补资金对农村公路保养与维护进行资金补助，加强农村公路养护。</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恢复、提升农村公路原有基数指标，维护、完善交通工程、安全设施、服务管理等附属设施，保持良好的技术状况。</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年度农村公路养护工程质量合格率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路面完好率</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年度农村公路养护投资完成率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年度农村公路养护工程量（万元）</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水运工程维护</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航道、航标等水上设施维护。</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维护沿海航道、航标，恢复、提升原有技术标准和使用功能，保持良好的技术状况和服务能力。</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航道、航标运行正常率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航道、航标合格率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航道维护里程（公里）</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航道、航标巡查率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公路建设管理养护基础数据采集</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通过公路各项指标数据采集及桥梁隧道检测、交通量调查等方式，适时采集相关数据并及时更新；管理维护设备及数据采集信息系统。</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按时、保质、保量完成数据采集分析，为公路管理提供依据和支持。</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公路基础信息数据使用率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公路基础信息数据更新率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公路、水运工程养护监督和管理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对公路、水运工程及其设施养护工程质量安全及招投标活动进行监督和管理。</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各项业务顺利开展，按时完成工作。</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项目质量合格率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vAlign w:val="center"/>
          </w:tcPr>
          <w:p>
            <w:pPr>
              <w:spacing w:line="300" w:lineRule="exact"/>
              <w:jc w:val="center"/>
              <w:rPr>
                <w:rFonts w:ascii="方正书宋_GBK" w:eastAsia="方正书宋_GBK"/>
              </w:rPr>
            </w:pPr>
            <w:r>
              <w:rPr>
                <w:rFonts w:ascii="方正书宋_GBK" w:eastAsia="方正书宋_GBK"/>
              </w:rPr>
              <w:t>&lt;60%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交通配套设施养护</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其他与县级建设任务紧密相关的交通基础设施建设养护。</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恢复、提升公路、水路原有技术标准，维护、完善附属设施，保持良好的技术状况，保障通行能力和服务水平，资金使用合规。</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项目质量合格率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vAlign w:val="center"/>
          </w:tcPr>
          <w:p>
            <w:pPr>
              <w:spacing w:line="300" w:lineRule="exact"/>
              <w:jc w:val="center"/>
              <w:rPr>
                <w:rFonts w:ascii="方正书宋_GBK" w:eastAsia="方正书宋_GBK"/>
              </w:rPr>
            </w:pPr>
            <w:r>
              <w:rPr>
                <w:rFonts w:ascii="方正书宋_GBK" w:eastAsia="方正书宋_GBK"/>
              </w:rPr>
              <w:t>&lt;60%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设施（设备）运行正常率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98%</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交通运输管理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对全县公路及其设施的建设和养护进行管理；对全县交通运输市场进行监管，指导城乡客运及有关设施规划和管理，指导出租汽车行业管理。</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保障道路通畅，完成运输生产任务，确保安全生产，提高服务保障水平，交通运输统计、调查业务顺利开展。</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公路管理</w:t>
            </w:r>
          </w:p>
        </w:tc>
        <w:tc>
          <w:tcPr>
            <w:tcW w:w="1276" w:type="dxa"/>
            <w:vMerge w:val="restart"/>
            <w:vAlign w:val="center"/>
          </w:tcPr>
          <w:p>
            <w:pPr>
              <w:spacing w:line="300" w:lineRule="exact"/>
              <w:jc w:val="left"/>
              <w:rPr>
                <w:rFonts w:ascii="方正书宋_GBK" w:eastAsia="方正书宋_GBK"/>
              </w:rPr>
            </w:pPr>
            <w:r>
              <w:rPr>
                <w:rFonts w:ascii="方正书宋_GBK" w:eastAsia="方正书宋_GBK"/>
              </w:rPr>
              <w:t>11550000</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对公路建设、养护、运营及路政、治理超限超载进行管理。依法行使公路方面行政处罚权，对公路超限治理进行监督管理。</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提高公路运行能力，缓解繁忙路段交通压力；维护路产路权，治理超限运输，保障通行能力，提高服务水平</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超限超载率</w:t>
            </w:r>
          </w:p>
        </w:tc>
        <w:tc>
          <w:tcPr>
            <w:tcW w:w="737" w:type="dxa"/>
            <w:vAlign w:val="center"/>
          </w:tcPr>
          <w:p>
            <w:pPr>
              <w:spacing w:line="300" w:lineRule="exact"/>
              <w:jc w:val="center"/>
              <w:rPr>
                <w:rFonts w:ascii="方正书宋_GBK" w:eastAsia="方正书宋_GBK"/>
              </w:rPr>
            </w:pPr>
            <w:r>
              <w:rPr>
                <w:rFonts w:ascii="方正书宋_GBK" w:eastAsia="方正书宋_GBK"/>
              </w:rPr>
              <w:t>&lt;2.5%</w:t>
            </w:r>
          </w:p>
        </w:tc>
        <w:tc>
          <w:tcPr>
            <w:tcW w:w="737" w:type="dxa"/>
            <w:vAlign w:val="center"/>
          </w:tcPr>
          <w:p>
            <w:pPr>
              <w:spacing w:line="300" w:lineRule="exact"/>
              <w:jc w:val="center"/>
              <w:rPr>
                <w:rFonts w:ascii="方正书宋_GBK" w:eastAsia="方正书宋_GBK"/>
              </w:rPr>
            </w:pPr>
            <w:r>
              <w:rPr>
                <w:rFonts w:ascii="方正书宋_GBK" w:eastAsia="方正书宋_GBK"/>
              </w:rPr>
              <w:t>&lt;3%</w:t>
            </w:r>
          </w:p>
        </w:tc>
        <w:tc>
          <w:tcPr>
            <w:tcW w:w="737" w:type="dxa"/>
            <w:vAlign w:val="center"/>
          </w:tcPr>
          <w:p>
            <w:pPr>
              <w:spacing w:line="300" w:lineRule="exact"/>
              <w:jc w:val="center"/>
              <w:rPr>
                <w:rFonts w:ascii="方正书宋_GBK" w:eastAsia="方正书宋_GBK"/>
              </w:rPr>
            </w:pPr>
            <w:r>
              <w:rPr>
                <w:rFonts w:ascii="方正书宋_GBK" w:eastAsia="方正书宋_GBK"/>
              </w:rPr>
              <w:t>&lt;3.5%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行政处罚事项完成率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道路运输管理</w:t>
            </w:r>
          </w:p>
        </w:tc>
        <w:tc>
          <w:tcPr>
            <w:tcW w:w="1276" w:type="dxa"/>
            <w:vMerge w:val="restart"/>
            <w:vAlign w:val="center"/>
          </w:tcPr>
          <w:p>
            <w:pPr>
              <w:spacing w:line="300" w:lineRule="exact"/>
              <w:jc w:val="left"/>
              <w:rPr>
                <w:rFonts w:ascii="方正书宋_GBK" w:eastAsia="方正书宋_GBK"/>
              </w:rPr>
            </w:pPr>
            <w:r>
              <w:rPr>
                <w:rFonts w:ascii="方正书宋_GBK" w:eastAsia="方正书宋_GBK"/>
              </w:rPr>
              <w:t>1300000</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对全县道路旅客运输、农村客运公交化改造、货运业发展转型升级、从业人员、道路运输相关业务进行行业管理、市场监管及安全检查，依法行使道路运输行政许可、行政处罚强制权，监督检查有关道路运输法律法规的执行情况，对全县货运源头治超工作进行监督检查。</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道路运输管理旅客周转量</w:t>
            </w:r>
            <w:r>
              <w:rPr>
                <w:rFonts w:ascii="方正书宋_GBK" w:eastAsia="方正书宋_GBK"/>
              </w:rPr>
              <w:t>**</w:t>
            </w:r>
            <w:r>
              <w:rPr>
                <w:rFonts w:hint="eastAsia" w:ascii="方正书宋_GBK" w:eastAsia="方正书宋_GBK"/>
              </w:rPr>
              <w:t>万人公里，公路货物周转量</w:t>
            </w:r>
            <w:r>
              <w:rPr>
                <w:rFonts w:ascii="方正书宋_GBK" w:eastAsia="方正书宋_GBK"/>
              </w:rPr>
              <w:t>**</w:t>
            </w:r>
            <w:r>
              <w:rPr>
                <w:rFonts w:hint="eastAsia" w:ascii="方正书宋_GBK" w:eastAsia="方正书宋_GBK"/>
              </w:rPr>
              <w:t>万吨公里。</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超限超载率</w:t>
            </w:r>
          </w:p>
        </w:tc>
        <w:tc>
          <w:tcPr>
            <w:tcW w:w="737" w:type="dxa"/>
            <w:vAlign w:val="center"/>
          </w:tcPr>
          <w:p>
            <w:pPr>
              <w:spacing w:line="300" w:lineRule="exact"/>
              <w:jc w:val="center"/>
              <w:rPr>
                <w:rFonts w:ascii="方正书宋_GBK" w:eastAsia="方正书宋_GBK"/>
              </w:rPr>
            </w:pPr>
            <w:r>
              <w:rPr>
                <w:rFonts w:ascii="方正书宋_GBK" w:eastAsia="方正书宋_GBK"/>
              </w:rPr>
              <w:t>&lt;2.5%</w:t>
            </w:r>
          </w:p>
        </w:tc>
        <w:tc>
          <w:tcPr>
            <w:tcW w:w="737" w:type="dxa"/>
            <w:vAlign w:val="center"/>
          </w:tcPr>
          <w:p>
            <w:pPr>
              <w:spacing w:line="300" w:lineRule="exact"/>
              <w:jc w:val="center"/>
              <w:rPr>
                <w:rFonts w:ascii="方正书宋_GBK" w:eastAsia="方正书宋_GBK"/>
              </w:rPr>
            </w:pPr>
            <w:r>
              <w:rPr>
                <w:rFonts w:ascii="方正书宋_GBK" w:eastAsia="方正书宋_GBK"/>
              </w:rPr>
              <w:t>&lt;3%</w:t>
            </w:r>
          </w:p>
        </w:tc>
        <w:tc>
          <w:tcPr>
            <w:tcW w:w="737" w:type="dxa"/>
            <w:vAlign w:val="center"/>
          </w:tcPr>
          <w:p>
            <w:pPr>
              <w:spacing w:line="300" w:lineRule="exact"/>
              <w:jc w:val="center"/>
              <w:rPr>
                <w:rFonts w:ascii="方正书宋_GBK" w:eastAsia="方正书宋_GBK"/>
              </w:rPr>
            </w:pPr>
            <w:r>
              <w:rPr>
                <w:rFonts w:ascii="方正书宋_GBK" w:eastAsia="方正书宋_GBK"/>
              </w:rPr>
              <w:t>&lt;3.5%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营业性客货运周转量目标完成率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&lt;65%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城市客运管理</w:t>
            </w:r>
          </w:p>
        </w:tc>
        <w:tc>
          <w:tcPr>
            <w:tcW w:w="1276" w:type="dxa"/>
            <w:vMerge w:val="restart"/>
            <w:vAlign w:val="center"/>
          </w:tcPr>
          <w:p>
            <w:pPr>
              <w:spacing w:line="300" w:lineRule="exact"/>
              <w:jc w:val="left"/>
              <w:rPr>
                <w:rFonts w:ascii="方正书宋_GBK" w:eastAsia="方正书宋_GBK"/>
              </w:rPr>
            </w:pPr>
            <w:r>
              <w:rPr>
                <w:rFonts w:ascii="方正书宋_GBK" w:eastAsia="方正书宋_GBK"/>
              </w:rPr>
              <w:t>542600</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对全县城市客运（含公共汽电车、轨道交通、出租汽车、汽车租赁）进行行业管理。</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城市客运管理业务顺利开展，按时完成工作。并保障行业安全稳与稳定。</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安全生产维稳控制目标是否实现</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实现</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r>
              <w:rPr>
                <w:rFonts w:hint="eastAsia" w:ascii="方正书宋_GBK" w:eastAsia="方正书宋_GBK"/>
              </w:rPr>
              <w:t>未实现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管理车辆数</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运送旅客数增长率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运送旅客数增长率和管理车辆数，不适合作为产出指标，这两个指标不是越多越好，受很多因素影响，如行业管理政策、人们出行方式的选择等</w:t>
            </w: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交通运输统计及调查</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组织业务培训，统计、分析、评估、价格监测，发布相关信息。</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交通运输统计、调查业务顺利开展，按时完成工作，数据科学准确。</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统计数据发布率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年度统计工作完成率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收费公路管理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根据《收费公路管理条例》等相关规定，对收费公路进行管理。</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收费设施正常运营，道路安全畅通，通行费收入完成</w:t>
            </w:r>
            <w:r>
              <w:rPr>
                <w:rFonts w:ascii="方正书宋_GBK" w:eastAsia="方正书宋_GBK"/>
              </w:rPr>
              <w:t xml:space="preserve"> </w:t>
            </w:r>
            <w:r>
              <w:rPr>
                <w:rFonts w:hint="eastAsia" w:ascii="方正书宋_GBK" w:eastAsia="方正书宋_GBK"/>
              </w:rPr>
              <w:t>万元。</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收费公路运营管理</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根据《收费公路管理条例》等相关规定，对收费公路进行管理。维持收费公路正常运营、安全畅通；为司乘人员和车辆提供紧急救援；更新维护收费设施设备；维护路产路权；为收费人员提供必要生活工作保障；为收费人员及票款提供安全保障等工作。</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收费设施正常运营，道路安全畅通，通行费收入完成</w:t>
            </w:r>
            <w:r>
              <w:rPr>
                <w:rFonts w:ascii="方正书宋_GBK" w:eastAsia="方正书宋_GBK"/>
              </w:rPr>
              <w:t xml:space="preserve">  </w:t>
            </w:r>
            <w:r>
              <w:rPr>
                <w:rFonts w:hint="eastAsia" w:ascii="方正书宋_GBK" w:eastAsia="方正书宋_GBK"/>
              </w:rPr>
              <w:t>万元。</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收费设施（设备）运行正常率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pPr>
              <w:spacing w:line="300" w:lineRule="exact"/>
              <w:jc w:val="center"/>
              <w:rPr>
                <w:rFonts w:ascii="方正书宋_GBK" w:eastAsia="方正书宋_GBK"/>
              </w:rPr>
            </w:pPr>
            <w:r>
              <w:rPr>
                <w:rFonts w:ascii="方正书宋_GBK" w:eastAsia="方正书宋_GBK"/>
              </w:rPr>
              <w:t>&lt;75%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收入完成率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交通政务管理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负责交通运输综合交通运输体系建设，综合业务管理和综合事物管理。</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各项业务工作畅通，机关正常高效运转，应急事项处理及时。</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综合业务管理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调研提出规划和建议，工作部署、协调推动、普查统计、督促指导、行政审批、业务监管及县委、政府交办的其他事项等行政管理事项。</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加强管理，圆满满完成县委、县政府交办任务</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综合业务管理工作完成率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综合事务管理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加强机关事务性管理，开展机关自身能力建设。</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加强机关事务性管理，提高机关自身工作能力。</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综合事务管理工作完成率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bookmarkEnd w:id="1"/>
    </w:tbl>
    <w:p>
      <w:pPr>
        <w:rPr>
          <w:rFonts w:ascii="楷体_GB2312" w:hAnsi="黑体" w:eastAsia="楷体_GB2312"/>
          <w:b/>
          <w:sz w:val="32"/>
          <w:szCs w:val="32"/>
        </w:rPr>
      </w:pPr>
    </w:p>
    <w:bookmarkEnd w:id="0"/>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pPr>
        <w:ind w:firstLine="630"/>
        <w:outlineLvl w:val="0"/>
        <w:rPr>
          <w:rFonts w:ascii="仿宋_GB2312" w:hAnsi="Times New Roman" w:eastAsia="仿宋_GB2312"/>
          <w:sz w:val="32"/>
          <w:szCs w:val="24"/>
        </w:rPr>
      </w:pPr>
      <w:bookmarkStart w:id="2" w:name="_Toc471398468"/>
      <w:r>
        <w:rPr>
          <w:rFonts w:ascii="仿宋_GB2312" w:hAnsi="Times New Roman" w:eastAsia="仿宋_GB2312"/>
          <w:sz w:val="32"/>
          <w:szCs w:val="24"/>
        </w:rPr>
        <w:t>2019</w:t>
      </w:r>
      <w:r>
        <w:rPr>
          <w:rFonts w:hint="eastAsia" w:ascii="仿宋_GB2312" w:hAnsi="Times New Roman" w:eastAsia="仿宋_GB2312"/>
          <w:sz w:val="32"/>
          <w:szCs w:val="24"/>
        </w:rPr>
        <w:t>年，我单位安排政府采购预算</w:t>
      </w:r>
      <w:r>
        <w:rPr>
          <w:rFonts w:ascii="仿宋_GB2312" w:hAnsi="Times New Roman" w:eastAsia="仿宋_GB2312"/>
          <w:sz w:val="32"/>
          <w:szCs w:val="24"/>
        </w:rPr>
        <w:t>61.9</w:t>
      </w:r>
      <w:r>
        <w:rPr>
          <w:rFonts w:hint="eastAsia" w:ascii="仿宋_GB2312" w:hAnsi="Times New Roman" w:eastAsia="仿宋_GB2312"/>
          <w:sz w:val="32"/>
          <w:szCs w:val="24"/>
        </w:rPr>
        <w:t>万元。具体内容见下表。</w:t>
      </w:r>
    </w:p>
    <w:tbl>
      <w:tblPr>
        <w:tblStyle w:val="9"/>
        <w:tblW w:w="14580" w:type="dxa"/>
        <w:tblInd w:w="93" w:type="dxa"/>
        <w:tblLayout w:type="autofit"/>
        <w:tblCellMar>
          <w:top w:w="0" w:type="dxa"/>
          <w:left w:w="108" w:type="dxa"/>
          <w:bottom w:w="0" w:type="dxa"/>
          <w:right w:w="108" w:type="dxa"/>
        </w:tblCellMar>
      </w:tblPr>
      <w:tblGrid>
        <w:gridCol w:w="376"/>
        <w:gridCol w:w="697"/>
        <w:gridCol w:w="2780"/>
        <w:gridCol w:w="692"/>
        <w:gridCol w:w="3422"/>
        <w:gridCol w:w="1896"/>
        <w:gridCol w:w="377"/>
        <w:gridCol w:w="377"/>
        <w:gridCol w:w="377"/>
        <w:gridCol w:w="457"/>
        <w:gridCol w:w="617"/>
        <w:gridCol w:w="457"/>
        <w:gridCol w:w="698"/>
        <w:gridCol w:w="853"/>
        <w:gridCol w:w="617"/>
      </w:tblGrid>
      <w:tr>
        <w:tblPrEx>
          <w:tblCellMar>
            <w:top w:w="0" w:type="dxa"/>
            <w:left w:w="108" w:type="dxa"/>
            <w:bottom w:w="0" w:type="dxa"/>
            <w:right w:w="108" w:type="dxa"/>
          </w:tblCellMar>
        </w:tblPrEx>
        <w:trPr>
          <w:trHeight w:val="540" w:hRule="atLeast"/>
        </w:trPr>
        <w:tc>
          <w:tcPr>
            <w:tcW w:w="14580" w:type="dxa"/>
            <w:gridSpan w:val="15"/>
            <w:tcBorders>
              <w:top w:val="single" w:color="auto" w:sz="4" w:space="0"/>
              <w:left w:val="single" w:color="auto" w:sz="4" w:space="0"/>
              <w:bottom w:val="single" w:color="auto" w:sz="4" w:space="0"/>
              <w:right w:val="single" w:color="auto" w:sz="4" w:space="0"/>
            </w:tcBorders>
            <w:shd w:val="clear" w:color="auto" w:fill="E4ECF7"/>
          </w:tcPr>
          <w:p>
            <w:pPr>
              <w:widowControl/>
              <w:jc w:val="center"/>
              <w:rPr>
                <w:rFonts w:ascii="宋体" w:cs="宋体"/>
                <w:b/>
                <w:bCs/>
                <w:kern w:val="0"/>
                <w:sz w:val="44"/>
                <w:szCs w:val="44"/>
              </w:rPr>
            </w:pPr>
            <w:r>
              <w:rPr>
                <w:rFonts w:hint="eastAsia" w:ascii="宋体" w:hAnsi="宋体" w:cs="宋体"/>
                <w:b/>
                <w:bCs/>
                <w:kern w:val="0"/>
                <w:sz w:val="44"/>
                <w:szCs w:val="44"/>
              </w:rPr>
              <w:t>政府采购预算表</w:t>
            </w:r>
          </w:p>
        </w:tc>
      </w:tr>
      <w:tr>
        <w:tblPrEx>
          <w:tblCellMar>
            <w:top w:w="0" w:type="dxa"/>
            <w:left w:w="108" w:type="dxa"/>
            <w:bottom w:w="0" w:type="dxa"/>
            <w:right w:w="108" w:type="dxa"/>
          </w:tblCellMar>
        </w:tblPrEx>
        <w:trPr>
          <w:trHeight w:val="225" w:hRule="atLeast"/>
        </w:trPr>
        <w:tc>
          <w:tcPr>
            <w:tcW w:w="13170" w:type="dxa"/>
            <w:gridSpan w:val="13"/>
            <w:tcBorders>
              <w:top w:val="single" w:color="auto" w:sz="4" w:space="0"/>
              <w:left w:val="single" w:color="auto" w:sz="4" w:space="0"/>
              <w:bottom w:val="single" w:color="auto" w:sz="4" w:space="0"/>
              <w:right w:val="single" w:color="auto" w:sz="4" w:space="0"/>
            </w:tcBorders>
            <w:shd w:val="clear" w:color="auto" w:fill="E4ECF7"/>
          </w:tcPr>
          <w:p>
            <w:pPr>
              <w:widowControl/>
              <w:rPr>
                <w:rFonts w:ascii="宋体" w:cs="宋体"/>
                <w:kern w:val="0"/>
                <w:sz w:val="18"/>
                <w:szCs w:val="18"/>
              </w:rPr>
            </w:pPr>
            <w:r>
              <w:rPr>
                <w:rFonts w:hint="eastAsia" w:ascii="宋体" w:hAnsi="宋体" w:cs="宋体"/>
                <w:kern w:val="0"/>
                <w:sz w:val="18"/>
                <w:szCs w:val="18"/>
              </w:rPr>
              <w:t>部门编码及名称：</w:t>
            </w:r>
            <w:r>
              <w:rPr>
                <w:rFonts w:ascii="宋体" w:hAnsi="宋体" w:cs="宋体"/>
                <w:kern w:val="0"/>
                <w:sz w:val="18"/>
                <w:szCs w:val="18"/>
              </w:rPr>
              <w:t>[348]</w:t>
            </w:r>
            <w:r>
              <w:rPr>
                <w:rFonts w:hint="eastAsia" w:ascii="宋体" w:hAnsi="宋体" w:cs="宋体"/>
                <w:kern w:val="0"/>
                <w:sz w:val="18"/>
                <w:szCs w:val="18"/>
              </w:rPr>
              <w:t>馆陶县交通局</w:t>
            </w:r>
          </w:p>
        </w:tc>
        <w:tc>
          <w:tcPr>
            <w:tcW w:w="1410" w:type="dxa"/>
            <w:gridSpan w:val="2"/>
            <w:tcBorders>
              <w:top w:val="single" w:color="auto" w:sz="4" w:space="0"/>
              <w:left w:val="nil"/>
              <w:bottom w:val="single" w:color="auto" w:sz="4" w:space="0"/>
              <w:right w:val="single" w:color="auto" w:sz="4" w:space="0"/>
            </w:tcBorders>
            <w:shd w:val="clear" w:color="auto" w:fill="E4ECF7"/>
          </w:tcPr>
          <w:p>
            <w:pPr>
              <w:widowControl/>
              <w:jc w:val="right"/>
              <w:rPr>
                <w:rFonts w:ascii="宋体" w:cs="宋体"/>
                <w:kern w:val="0"/>
                <w:sz w:val="18"/>
                <w:szCs w:val="18"/>
              </w:rPr>
            </w:pPr>
            <w:r>
              <w:rPr>
                <w:rFonts w:hint="eastAsia" w:ascii="宋体" w:hAnsi="宋体" w:cs="宋体"/>
                <w:kern w:val="0"/>
                <w:sz w:val="18"/>
                <w:szCs w:val="18"/>
              </w:rPr>
              <w:t>金额单位：元</w:t>
            </w:r>
          </w:p>
        </w:tc>
      </w:tr>
      <w:tr>
        <w:tblPrEx>
          <w:tblCellMar>
            <w:top w:w="0" w:type="dxa"/>
            <w:left w:w="108" w:type="dxa"/>
            <w:bottom w:w="0" w:type="dxa"/>
            <w:right w:w="108" w:type="dxa"/>
          </w:tblCellMar>
        </w:tblPrEx>
        <w:trPr>
          <w:trHeight w:val="225" w:hRule="atLeast"/>
        </w:trPr>
        <w:tc>
          <w:tcPr>
            <w:tcW w:w="21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序号</w:t>
            </w:r>
          </w:p>
        </w:tc>
        <w:tc>
          <w:tcPr>
            <w:tcW w:w="57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单位编码</w:t>
            </w:r>
          </w:p>
        </w:tc>
        <w:tc>
          <w:tcPr>
            <w:tcW w:w="309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单位名称</w:t>
            </w:r>
          </w:p>
        </w:tc>
        <w:tc>
          <w:tcPr>
            <w:tcW w:w="4560" w:type="dxa"/>
            <w:gridSpan w:val="2"/>
            <w:vMerge w:val="restart"/>
            <w:tcBorders>
              <w:top w:val="single" w:color="auto" w:sz="4" w:space="0"/>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所属项目</w:t>
            </w:r>
          </w:p>
        </w:tc>
        <w:tc>
          <w:tcPr>
            <w:tcW w:w="210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采购物品目录序号、物品名称</w:t>
            </w:r>
          </w:p>
        </w:tc>
        <w:tc>
          <w:tcPr>
            <w:tcW w:w="39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采购类别</w:t>
            </w:r>
          </w:p>
        </w:tc>
        <w:tc>
          <w:tcPr>
            <w:tcW w:w="39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采购物品产地</w:t>
            </w:r>
          </w:p>
        </w:tc>
        <w:tc>
          <w:tcPr>
            <w:tcW w:w="21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产品规格</w:t>
            </w:r>
          </w:p>
        </w:tc>
        <w:tc>
          <w:tcPr>
            <w:tcW w:w="30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单位</w:t>
            </w:r>
            <w:r>
              <w:rPr>
                <w:rFonts w:ascii="宋体" w:hAnsi="宋体" w:cs="宋体"/>
                <w:kern w:val="0"/>
                <w:sz w:val="18"/>
                <w:szCs w:val="18"/>
              </w:rPr>
              <w:t>(</w:t>
            </w:r>
            <w:r>
              <w:rPr>
                <w:rFonts w:hint="eastAsia" w:ascii="宋体" w:hAnsi="宋体" w:cs="宋体"/>
                <w:kern w:val="0"/>
                <w:sz w:val="18"/>
                <w:szCs w:val="18"/>
              </w:rPr>
              <w:t>万元</w:t>
            </w:r>
            <w:r>
              <w:rPr>
                <w:rFonts w:ascii="宋体" w:hAnsi="宋体" w:cs="宋体"/>
                <w:kern w:val="0"/>
                <w:sz w:val="18"/>
                <w:szCs w:val="18"/>
              </w:rPr>
              <w:t>)</w:t>
            </w:r>
          </w:p>
        </w:tc>
        <w:tc>
          <w:tcPr>
            <w:tcW w:w="48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单价</w:t>
            </w:r>
          </w:p>
        </w:tc>
        <w:tc>
          <w:tcPr>
            <w:tcW w:w="30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数量</w:t>
            </w:r>
          </w:p>
        </w:tc>
        <w:tc>
          <w:tcPr>
            <w:tcW w:w="57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政府采购计划金额</w:t>
            </w:r>
          </w:p>
        </w:tc>
        <w:tc>
          <w:tcPr>
            <w:tcW w:w="93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政府采购政策功能</w:t>
            </w:r>
          </w:p>
        </w:tc>
        <w:tc>
          <w:tcPr>
            <w:tcW w:w="48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是否本级采购</w:t>
            </w:r>
          </w:p>
        </w:tc>
      </w:tr>
      <w:tr>
        <w:tblPrEx>
          <w:tblCellMar>
            <w:top w:w="0" w:type="dxa"/>
            <w:left w:w="108" w:type="dxa"/>
            <w:bottom w:w="0" w:type="dxa"/>
            <w:right w:w="108" w:type="dxa"/>
          </w:tblCellMar>
        </w:tblPrEx>
        <w:trPr>
          <w:trHeight w:val="312" w:hRule="atLeast"/>
        </w:trPr>
        <w:tc>
          <w:tcPr>
            <w:tcW w:w="2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7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总计</w:t>
            </w:r>
          </w:p>
        </w:tc>
        <w:tc>
          <w:tcPr>
            <w:tcW w:w="9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r>
      <w:tr>
        <w:tblPrEx>
          <w:tblCellMar>
            <w:top w:w="0" w:type="dxa"/>
            <w:left w:w="108" w:type="dxa"/>
            <w:bottom w:w="0" w:type="dxa"/>
            <w:right w:w="108" w:type="dxa"/>
          </w:tblCellMar>
        </w:tblPrEx>
        <w:trPr>
          <w:trHeight w:val="450" w:hRule="atLeast"/>
        </w:trPr>
        <w:tc>
          <w:tcPr>
            <w:tcW w:w="2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5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项目资金性质</w:t>
            </w:r>
          </w:p>
        </w:tc>
        <w:tc>
          <w:tcPr>
            <w:tcW w:w="3810" w:type="dxa"/>
            <w:vMerge w:val="restart"/>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项目编号、名称、功能分类科目、经济分类科目</w:t>
            </w:r>
          </w:p>
        </w:tc>
        <w:tc>
          <w:tcPr>
            <w:tcW w:w="2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r>
      <w:tr>
        <w:tblPrEx>
          <w:tblCellMar>
            <w:top w:w="0" w:type="dxa"/>
            <w:left w:w="108" w:type="dxa"/>
            <w:bottom w:w="0" w:type="dxa"/>
            <w:right w:w="108" w:type="dxa"/>
          </w:tblCellMar>
        </w:tblPrEx>
        <w:trPr>
          <w:trHeight w:val="312" w:hRule="atLeast"/>
        </w:trPr>
        <w:tc>
          <w:tcPr>
            <w:tcW w:w="2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shd w:val="clear" w:color="auto" w:fill="E4ECF7"/>
          </w:tcPr>
          <w:p>
            <w:pPr>
              <w:widowControl/>
              <w:jc w:val="center"/>
              <w:rPr>
                <w:rFonts w:ascii="宋体" w:cs="宋体"/>
                <w:kern w:val="0"/>
                <w:sz w:val="18"/>
                <w:szCs w:val="18"/>
              </w:rPr>
            </w:pPr>
            <w:r>
              <w:rPr>
                <w:rFonts w:hint="eastAsia" w:ascii="宋体" w:hAnsi="宋体" w:cs="宋体"/>
                <w:kern w:val="0"/>
                <w:sz w:val="18"/>
                <w:szCs w:val="18"/>
              </w:rPr>
              <w:t>栏次</w:t>
            </w:r>
          </w:p>
        </w:tc>
        <w:tc>
          <w:tcPr>
            <w:tcW w:w="57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1</w:t>
            </w:r>
          </w:p>
        </w:tc>
        <w:tc>
          <w:tcPr>
            <w:tcW w:w="309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2</w:t>
            </w:r>
          </w:p>
        </w:tc>
        <w:tc>
          <w:tcPr>
            <w:tcW w:w="75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3</w:t>
            </w:r>
          </w:p>
        </w:tc>
        <w:tc>
          <w:tcPr>
            <w:tcW w:w="381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4</w:t>
            </w:r>
          </w:p>
        </w:tc>
        <w:tc>
          <w:tcPr>
            <w:tcW w:w="210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5</w:t>
            </w:r>
          </w:p>
        </w:tc>
        <w:tc>
          <w:tcPr>
            <w:tcW w:w="39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6</w:t>
            </w:r>
          </w:p>
        </w:tc>
        <w:tc>
          <w:tcPr>
            <w:tcW w:w="39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7</w:t>
            </w:r>
          </w:p>
        </w:tc>
        <w:tc>
          <w:tcPr>
            <w:tcW w:w="21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8</w:t>
            </w:r>
          </w:p>
        </w:tc>
        <w:tc>
          <w:tcPr>
            <w:tcW w:w="30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9</w:t>
            </w:r>
          </w:p>
        </w:tc>
        <w:tc>
          <w:tcPr>
            <w:tcW w:w="48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10</w:t>
            </w:r>
          </w:p>
        </w:tc>
        <w:tc>
          <w:tcPr>
            <w:tcW w:w="30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11</w:t>
            </w:r>
          </w:p>
        </w:tc>
        <w:tc>
          <w:tcPr>
            <w:tcW w:w="57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12</w:t>
            </w:r>
          </w:p>
        </w:tc>
        <w:tc>
          <w:tcPr>
            <w:tcW w:w="93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27</w:t>
            </w:r>
          </w:p>
        </w:tc>
        <w:tc>
          <w:tcPr>
            <w:tcW w:w="480" w:type="dxa"/>
            <w:tcBorders>
              <w:top w:val="nil"/>
              <w:left w:val="nil"/>
              <w:bottom w:val="single" w:color="auto" w:sz="4" w:space="0"/>
              <w:right w:val="single" w:color="auto" w:sz="4" w:space="0"/>
            </w:tcBorders>
            <w:shd w:val="clear" w:color="auto" w:fill="E4ECF7"/>
          </w:tcPr>
          <w:p>
            <w:pPr>
              <w:widowControl/>
              <w:jc w:val="center"/>
              <w:rPr>
                <w:rFonts w:ascii="宋体" w:cs="宋体"/>
                <w:kern w:val="0"/>
                <w:sz w:val="18"/>
                <w:szCs w:val="18"/>
              </w:rPr>
            </w:pPr>
            <w:r>
              <w:rPr>
                <w:rFonts w:ascii="宋体" w:hAnsi="宋体" w:cs="宋体"/>
                <w:kern w:val="0"/>
                <w:sz w:val="18"/>
                <w:szCs w:val="18"/>
              </w:rPr>
              <w:t>28</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8</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总计</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0</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619000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9</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348003</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馆陶县交通运输局公路路政管理站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[A020101]</w:t>
            </w:r>
            <w:r>
              <w:rPr>
                <w:rFonts w:hint="eastAsia" w:ascii="宋体" w:hAnsi="宋体" w:cs="宋体"/>
                <w:kern w:val="0"/>
                <w:sz w:val="18"/>
                <w:szCs w:val="18"/>
              </w:rPr>
              <w:t>计算机设备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环保产品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10</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348003</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馆陶县交通运输局公路路政管理站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[A0206180203]</w:t>
            </w:r>
            <w:r>
              <w:rPr>
                <w:rFonts w:hint="eastAsia" w:ascii="宋体" w:hAnsi="宋体" w:cs="宋体"/>
                <w:kern w:val="0"/>
                <w:sz w:val="18"/>
                <w:szCs w:val="18"/>
              </w:rPr>
              <w:t>空调机</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环保产品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11</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348003</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馆陶县交通运输局公路路政管理站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[40][</w:t>
            </w:r>
            <w:r>
              <w:rPr>
                <w:rFonts w:hint="eastAsia" w:ascii="宋体" w:hAnsi="宋体" w:cs="宋体"/>
                <w:kern w:val="0"/>
                <w:sz w:val="18"/>
                <w:szCs w:val="18"/>
              </w:rPr>
              <w:t>（</w:t>
            </w:r>
            <w:r>
              <w:rPr>
                <w:rFonts w:ascii="宋体" w:hAnsi="宋体" w:cs="宋体"/>
                <w:kern w:val="0"/>
                <w:sz w:val="18"/>
                <w:szCs w:val="18"/>
              </w:rPr>
              <w:t>20</w:t>
            </w:r>
            <w:r>
              <w:rPr>
                <w:rFonts w:hint="eastAsia" w:ascii="宋体" w:hAnsi="宋体" w:cs="宋体"/>
                <w:kern w:val="0"/>
                <w:sz w:val="18"/>
                <w:szCs w:val="18"/>
              </w:rPr>
              <w:t>）被装购置费</w:t>
            </w:r>
            <w:r>
              <w:rPr>
                <w:rFonts w:ascii="宋体" w:hAnsi="宋体" w:cs="宋体"/>
                <w:kern w:val="0"/>
                <w:sz w:val="18"/>
                <w:szCs w:val="18"/>
              </w:rPr>
              <w:t>][2140112][30224]</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[A070301]</w:t>
            </w:r>
            <w:r>
              <w:rPr>
                <w:rFonts w:hint="eastAsia" w:ascii="宋体" w:hAnsi="宋体" w:cs="宋体"/>
                <w:kern w:val="0"/>
                <w:sz w:val="18"/>
                <w:szCs w:val="18"/>
              </w:rPr>
              <w:t>被服</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套</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100</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50000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环保产品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12</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348004</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馆陶县交通局运输管理站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[A020101]</w:t>
            </w:r>
            <w:r>
              <w:rPr>
                <w:rFonts w:hint="eastAsia" w:ascii="宋体" w:hAnsi="宋体" w:cs="宋体"/>
                <w:kern w:val="0"/>
                <w:sz w:val="18"/>
                <w:szCs w:val="18"/>
              </w:rPr>
              <w:t>计算机设备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13</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348004</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馆陶县交通局运输管理站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[A02010601]</w:t>
            </w:r>
            <w:r>
              <w:rPr>
                <w:rFonts w:hint="eastAsia" w:ascii="宋体" w:hAnsi="宋体" w:cs="宋体"/>
                <w:kern w:val="0"/>
                <w:sz w:val="18"/>
                <w:szCs w:val="18"/>
              </w:rPr>
              <w:t>打印设备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2400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7200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14</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348004</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馆陶县交通局运输管理站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[A02010601]</w:t>
            </w:r>
            <w:r>
              <w:rPr>
                <w:rFonts w:hint="eastAsia" w:ascii="宋体" w:hAnsi="宋体" w:cs="宋体"/>
                <w:kern w:val="0"/>
                <w:sz w:val="18"/>
                <w:szCs w:val="18"/>
              </w:rPr>
              <w:t>打印设备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5900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5900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15</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348004</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馆陶县交通局运输管理站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[A020205]</w:t>
            </w:r>
            <w:r>
              <w:rPr>
                <w:rFonts w:hint="eastAsia" w:ascii="宋体" w:hAnsi="宋体" w:cs="宋体"/>
                <w:kern w:val="0"/>
                <w:sz w:val="18"/>
                <w:szCs w:val="18"/>
              </w:rPr>
              <w:t>照相机及器材</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3000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16</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348004</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馆陶县交通局运输管理站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[A0206180203]</w:t>
            </w:r>
            <w:r>
              <w:rPr>
                <w:rFonts w:hint="eastAsia" w:ascii="宋体" w:hAnsi="宋体" w:cs="宋体"/>
                <w:kern w:val="0"/>
                <w:sz w:val="18"/>
                <w:szCs w:val="18"/>
              </w:rPr>
              <w:t>空调机</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2900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2900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17</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348004</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馆陶县交通局运输管理站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][2140112][31002]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[A06]</w:t>
            </w:r>
            <w:r>
              <w:rPr>
                <w:rFonts w:hint="eastAsia" w:ascii="宋体" w:hAnsi="宋体" w:cs="宋体"/>
                <w:kern w:val="0"/>
                <w:sz w:val="18"/>
                <w:szCs w:val="18"/>
              </w:rPr>
              <w:t>家具用具</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5000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18</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348005</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馆陶县交通局出租车客运管理站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[A020201]</w:t>
            </w:r>
            <w:r>
              <w:rPr>
                <w:rFonts w:hint="eastAsia" w:ascii="宋体" w:hAnsi="宋体" w:cs="宋体"/>
                <w:kern w:val="0"/>
                <w:sz w:val="18"/>
                <w:szCs w:val="18"/>
              </w:rPr>
              <w:t>复印机</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元</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5000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19</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348005</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馆陶县交通局出租车客运管理站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w:t>
            </w:r>
            <w:r>
              <w:rPr>
                <w:rFonts w:hint="eastAsia" w:ascii="宋体" w:hAnsi="宋体" w:cs="宋体"/>
                <w:kern w:val="0"/>
                <w:sz w:val="18"/>
                <w:szCs w:val="18"/>
              </w:rPr>
              <w:t>计算机设备及软件</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6000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6000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20</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348005</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馆陶县交通局出租车客运管理站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w:t>
            </w:r>
            <w:r>
              <w:rPr>
                <w:rFonts w:hint="eastAsia" w:ascii="宋体" w:hAnsi="宋体" w:cs="宋体"/>
                <w:kern w:val="0"/>
                <w:sz w:val="18"/>
                <w:szCs w:val="18"/>
              </w:rPr>
              <w:t>计算机设备及软件</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元</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8000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8000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21</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348006</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馆陶县公路站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[A020101]</w:t>
            </w:r>
            <w:r>
              <w:rPr>
                <w:rFonts w:hint="eastAsia" w:ascii="宋体" w:hAnsi="宋体" w:cs="宋体"/>
                <w:kern w:val="0"/>
                <w:sz w:val="18"/>
                <w:szCs w:val="18"/>
              </w:rPr>
              <w:t>计算机设备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环保产品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22</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348006</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馆陶县公路站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[A020204]</w:t>
            </w:r>
            <w:r>
              <w:rPr>
                <w:rFonts w:hint="eastAsia" w:ascii="宋体" w:hAnsi="宋体" w:cs="宋体"/>
                <w:kern w:val="0"/>
                <w:sz w:val="18"/>
                <w:szCs w:val="18"/>
              </w:rPr>
              <w:t>多功能一体机</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6000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环保产品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23</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348007</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馆陶县地方公路站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[A020101]</w:t>
            </w:r>
            <w:r>
              <w:rPr>
                <w:rFonts w:hint="eastAsia" w:ascii="宋体" w:hAnsi="宋体" w:cs="宋体"/>
                <w:kern w:val="0"/>
                <w:sz w:val="18"/>
                <w:szCs w:val="18"/>
              </w:rPr>
              <w:t>计算机设备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8000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8000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24</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348007</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馆陶县地方公路站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[A02010601]</w:t>
            </w:r>
            <w:r>
              <w:rPr>
                <w:rFonts w:hint="eastAsia" w:ascii="宋体" w:hAnsi="宋体" w:cs="宋体"/>
                <w:kern w:val="0"/>
                <w:sz w:val="18"/>
                <w:szCs w:val="18"/>
              </w:rPr>
              <w:t>打印设备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10000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节能产品</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25</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348009</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馆陶县交通局公路工程质量监督站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[A0206180203]</w:t>
            </w:r>
            <w:r>
              <w:rPr>
                <w:rFonts w:hint="eastAsia" w:ascii="宋体" w:hAnsi="宋体" w:cs="宋体"/>
                <w:kern w:val="0"/>
                <w:sz w:val="18"/>
                <w:szCs w:val="18"/>
              </w:rPr>
              <w:t>空调机</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台</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4000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4000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26</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348009</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馆陶县交通局公路工程质量监督站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[A0210]</w:t>
            </w:r>
            <w:r>
              <w:rPr>
                <w:rFonts w:hint="eastAsia" w:ascii="宋体" w:hAnsi="宋体" w:cs="宋体"/>
                <w:kern w:val="0"/>
                <w:sz w:val="18"/>
                <w:szCs w:val="18"/>
              </w:rPr>
              <w:t>仪器仪表</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套</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46000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46000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27</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348010</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馆陶县交通局联合稽查大队</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[A02010601]</w:t>
            </w:r>
            <w:r>
              <w:rPr>
                <w:rFonts w:hint="eastAsia" w:ascii="宋体" w:hAnsi="宋体" w:cs="宋体"/>
                <w:kern w:val="0"/>
                <w:sz w:val="18"/>
                <w:szCs w:val="18"/>
              </w:rPr>
              <w:t>打印设备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28</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348010</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馆陶县交通局联合稽查大队</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[A020101]</w:t>
            </w:r>
            <w:r>
              <w:rPr>
                <w:rFonts w:hint="eastAsia" w:ascii="宋体" w:hAnsi="宋体" w:cs="宋体"/>
                <w:kern w:val="0"/>
                <w:sz w:val="18"/>
                <w:szCs w:val="18"/>
              </w:rPr>
              <w:t>计算机设备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25000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29</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348010</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馆陶县交通局联合稽查大队</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[A0201060901]</w:t>
            </w:r>
            <w:r>
              <w:rPr>
                <w:rFonts w:hint="eastAsia" w:ascii="宋体" w:hAnsi="宋体" w:cs="宋体"/>
                <w:kern w:val="0"/>
                <w:sz w:val="18"/>
                <w:szCs w:val="18"/>
              </w:rPr>
              <w:t>扫描仪</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6000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30</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348010</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馆陶县交通局联合稽查大队</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w:t>
            </w: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2200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11000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31</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348011</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馆陶县交通运输局公路运输超限管理站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[39][</w:t>
            </w:r>
            <w:r>
              <w:rPr>
                <w:rFonts w:hint="eastAsia" w:ascii="宋体" w:hAnsi="宋体" w:cs="宋体"/>
                <w:kern w:val="0"/>
                <w:sz w:val="18"/>
                <w:szCs w:val="18"/>
              </w:rPr>
              <w:t>（</w:t>
            </w:r>
            <w:r>
              <w:rPr>
                <w:rFonts w:ascii="宋体" w:hAnsi="宋体" w:cs="宋体"/>
                <w:kern w:val="0"/>
                <w:sz w:val="18"/>
                <w:szCs w:val="18"/>
              </w:rPr>
              <w:t>19</w:t>
            </w:r>
            <w:r>
              <w:rPr>
                <w:rFonts w:hint="eastAsia" w:ascii="宋体" w:hAnsi="宋体" w:cs="宋体"/>
                <w:kern w:val="0"/>
                <w:sz w:val="18"/>
                <w:szCs w:val="18"/>
              </w:rPr>
              <w:t>）专用材料费</w:t>
            </w:r>
            <w:r>
              <w:rPr>
                <w:rFonts w:ascii="宋体" w:hAnsi="宋体" w:cs="宋体"/>
                <w:kern w:val="0"/>
                <w:sz w:val="18"/>
                <w:szCs w:val="18"/>
              </w:rPr>
              <w:t>][2140110][30218]</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[A99]</w:t>
            </w:r>
            <w:r>
              <w:rPr>
                <w:rFonts w:hint="eastAsia" w:ascii="宋体" w:hAnsi="宋体" w:cs="宋体"/>
                <w:kern w:val="0"/>
                <w:sz w:val="18"/>
                <w:szCs w:val="18"/>
              </w:rPr>
              <w:t>其他货物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套</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100</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50000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32</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348011</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馆陶县交通运输局公路运输超限管理站</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[40][</w:t>
            </w:r>
            <w:r>
              <w:rPr>
                <w:rFonts w:hint="eastAsia" w:ascii="宋体" w:hAnsi="宋体" w:cs="宋体"/>
                <w:kern w:val="0"/>
                <w:sz w:val="18"/>
                <w:szCs w:val="18"/>
              </w:rPr>
              <w:t>（</w:t>
            </w:r>
            <w:r>
              <w:rPr>
                <w:rFonts w:ascii="宋体" w:hAnsi="宋体" w:cs="宋体"/>
                <w:kern w:val="0"/>
                <w:sz w:val="18"/>
                <w:szCs w:val="18"/>
              </w:rPr>
              <w:t>20</w:t>
            </w:r>
            <w:r>
              <w:rPr>
                <w:rFonts w:hint="eastAsia" w:ascii="宋体" w:hAnsi="宋体" w:cs="宋体"/>
                <w:kern w:val="0"/>
                <w:sz w:val="18"/>
                <w:szCs w:val="18"/>
              </w:rPr>
              <w:t>）被装购置费</w:t>
            </w:r>
            <w:r>
              <w:rPr>
                <w:rFonts w:ascii="宋体" w:hAnsi="宋体" w:cs="宋体"/>
                <w:kern w:val="0"/>
                <w:sz w:val="18"/>
                <w:szCs w:val="18"/>
              </w:rPr>
              <w:t>][2140110][30224]</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[A070301]</w:t>
            </w:r>
            <w:r>
              <w:rPr>
                <w:rFonts w:hint="eastAsia" w:ascii="宋体" w:hAnsi="宋体" w:cs="宋体"/>
                <w:kern w:val="0"/>
                <w:sz w:val="18"/>
                <w:szCs w:val="18"/>
              </w:rPr>
              <w:t>被服</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套</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700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100</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70000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TRUE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33</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[A020101]</w:t>
            </w:r>
            <w:r>
              <w:rPr>
                <w:rFonts w:hint="eastAsia" w:ascii="宋体" w:hAnsi="宋体" w:cs="宋体"/>
                <w:kern w:val="0"/>
                <w:sz w:val="18"/>
                <w:szCs w:val="18"/>
              </w:rPr>
              <w:t>计算机设备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8</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40000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34</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[A020102]</w:t>
            </w:r>
            <w:r>
              <w:rPr>
                <w:rFonts w:hint="eastAsia" w:ascii="宋体" w:hAnsi="宋体" w:cs="宋体"/>
                <w:kern w:val="0"/>
                <w:sz w:val="18"/>
                <w:szCs w:val="18"/>
              </w:rPr>
              <w:t>计算机网络设备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10000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20000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35</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[A02010508]</w:t>
            </w:r>
            <w:r>
              <w:rPr>
                <w:rFonts w:hint="eastAsia" w:ascii="宋体" w:hAnsi="宋体" w:cs="宋体"/>
                <w:kern w:val="0"/>
                <w:sz w:val="18"/>
                <w:szCs w:val="18"/>
              </w:rPr>
              <w:t>移动存储设备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36</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[A02010601]</w:t>
            </w:r>
            <w:r>
              <w:rPr>
                <w:rFonts w:hint="eastAsia" w:ascii="宋体" w:hAnsi="宋体" w:cs="宋体"/>
                <w:kern w:val="0"/>
                <w:sz w:val="18"/>
                <w:szCs w:val="18"/>
              </w:rPr>
              <w:t>打印设备</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4</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20000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37</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[A0201060901]</w:t>
            </w:r>
            <w:r>
              <w:rPr>
                <w:rFonts w:hint="eastAsia" w:ascii="宋体" w:hAnsi="宋体" w:cs="宋体"/>
                <w:kern w:val="0"/>
                <w:sz w:val="18"/>
                <w:szCs w:val="18"/>
              </w:rPr>
              <w:t>扫描仪</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38</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[14][</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）办公设备购置费</w:t>
            </w:r>
            <w:r>
              <w:rPr>
                <w:rFonts w:ascii="宋体" w:hAnsi="宋体" w:cs="宋体"/>
                <w:kern w:val="0"/>
                <w:sz w:val="18"/>
                <w:szCs w:val="18"/>
              </w:rPr>
              <w:t>][2140199][31002]</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[A020201]</w:t>
            </w:r>
            <w:r>
              <w:rPr>
                <w:rFonts w:hint="eastAsia" w:ascii="宋体" w:hAnsi="宋体" w:cs="宋体"/>
                <w:kern w:val="0"/>
                <w:sz w:val="18"/>
                <w:szCs w:val="18"/>
              </w:rPr>
              <w:t>复印机</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货物</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5000</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2</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r>
        <w:tblPrEx>
          <w:tblCellMar>
            <w:top w:w="0" w:type="dxa"/>
            <w:left w:w="108" w:type="dxa"/>
            <w:bottom w:w="0" w:type="dxa"/>
            <w:right w:w="108" w:type="dxa"/>
          </w:tblCellMar>
        </w:tblPrEx>
        <w:trPr>
          <w:trHeight w:val="225" w:hRule="atLeast"/>
        </w:trPr>
        <w:tc>
          <w:tcPr>
            <w:tcW w:w="210" w:type="dxa"/>
            <w:tcBorders>
              <w:top w:val="nil"/>
              <w:left w:val="single" w:color="auto" w:sz="4" w:space="0"/>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39</w:t>
            </w:r>
          </w:p>
        </w:tc>
        <w:tc>
          <w:tcPr>
            <w:tcW w:w="57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348012</w:t>
            </w:r>
          </w:p>
        </w:tc>
        <w:tc>
          <w:tcPr>
            <w:tcW w:w="30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馆陶县交通局机关（事业）</w:t>
            </w:r>
          </w:p>
        </w:tc>
        <w:tc>
          <w:tcPr>
            <w:tcW w:w="75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日常公用</w:t>
            </w:r>
          </w:p>
        </w:tc>
        <w:tc>
          <w:tcPr>
            <w:tcW w:w="38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[12][</w:t>
            </w:r>
            <w:r>
              <w:rPr>
                <w:rFonts w:hint="eastAsia" w:ascii="宋体" w:hAnsi="宋体" w:cs="宋体"/>
                <w:kern w:val="0"/>
                <w:sz w:val="18"/>
                <w:szCs w:val="18"/>
              </w:rPr>
              <w:t>（</w:t>
            </w:r>
            <w:r>
              <w:rPr>
                <w:rFonts w:ascii="宋体" w:hAnsi="宋体" w:cs="宋体"/>
                <w:kern w:val="0"/>
                <w:sz w:val="18"/>
                <w:szCs w:val="18"/>
              </w:rPr>
              <w:t>8</w:t>
            </w:r>
            <w:r>
              <w:rPr>
                <w:rFonts w:hint="eastAsia" w:ascii="宋体" w:hAnsi="宋体" w:cs="宋体"/>
                <w:kern w:val="0"/>
                <w:sz w:val="18"/>
                <w:szCs w:val="18"/>
              </w:rPr>
              <w:t>）维修（护）费</w:t>
            </w:r>
            <w:r>
              <w:rPr>
                <w:rFonts w:ascii="宋体" w:hAnsi="宋体" w:cs="宋体"/>
                <w:kern w:val="0"/>
                <w:sz w:val="18"/>
                <w:szCs w:val="18"/>
              </w:rPr>
              <w:t>][2140199][30213]</w:t>
            </w:r>
          </w:p>
        </w:tc>
        <w:tc>
          <w:tcPr>
            <w:tcW w:w="21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[A02051228]</w:t>
            </w:r>
            <w:r>
              <w:rPr>
                <w:rFonts w:hint="eastAsia" w:ascii="宋体" w:hAnsi="宋体" w:cs="宋体"/>
                <w:kern w:val="0"/>
                <w:sz w:val="18"/>
                <w:szCs w:val="18"/>
              </w:rPr>
              <w:t>电梯</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工程</w:t>
            </w:r>
          </w:p>
        </w:tc>
        <w:tc>
          <w:tcPr>
            <w:tcW w:w="39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省内</w:t>
            </w:r>
          </w:p>
        </w:tc>
        <w:tc>
          <w:tcPr>
            <w:tcW w:w="21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hint="eastAsia" w:ascii="宋体" w:hAnsi="宋体" w:cs="宋体"/>
                <w:kern w:val="0"/>
                <w:sz w:val="18"/>
                <w:szCs w:val="18"/>
              </w:rPr>
              <w:t>　</w:t>
            </w:r>
          </w:p>
        </w:tc>
        <w:tc>
          <w:tcPr>
            <w:tcW w:w="48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1E+05</w:t>
            </w:r>
          </w:p>
        </w:tc>
        <w:tc>
          <w:tcPr>
            <w:tcW w:w="30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1</w:t>
            </w:r>
          </w:p>
        </w:tc>
        <w:tc>
          <w:tcPr>
            <w:tcW w:w="570" w:type="dxa"/>
            <w:tcBorders>
              <w:top w:val="nil"/>
              <w:left w:val="nil"/>
              <w:bottom w:val="single" w:color="auto" w:sz="4" w:space="0"/>
              <w:right w:val="single" w:color="auto" w:sz="4" w:space="0"/>
            </w:tcBorders>
            <w:noWrap/>
          </w:tcPr>
          <w:p>
            <w:pPr>
              <w:widowControl/>
              <w:jc w:val="right"/>
              <w:rPr>
                <w:rFonts w:ascii="宋体" w:cs="宋体"/>
                <w:kern w:val="0"/>
                <w:sz w:val="18"/>
                <w:szCs w:val="18"/>
              </w:rPr>
            </w:pPr>
            <w:r>
              <w:rPr>
                <w:rFonts w:ascii="宋体" w:hAnsi="宋体" w:cs="宋体"/>
                <w:kern w:val="0"/>
                <w:sz w:val="18"/>
                <w:szCs w:val="18"/>
              </w:rPr>
              <w:t>130000</w:t>
            </w:r>
          </w:p>
        </w:tc>
        <w:tc>
          <w:tcPr>
            <w:tcW w:w="930" w:type="dxa"/>
            <w:tcBorders>
              <w:top w:val="nil"/>
              <w:left w:val="nil"/>
              <w:bottom w:val="single" w:color="auto" w:sz="4" w:space="0"/>
              <w:right w:val="single" w:color="auto" w:sz="4" w:space="0"/>
            </w:tcBorders>
            <w:noWrap/>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其他</w:t>
            </w:r>
            <w:r>
              <w:rPr>
                <w:rFonts w:ascii="宋体" w:hAnsi="宋体" w:cs="宋体"/>
                <w:kern w:val="0"/>
                <w:sz w:val="18"/>
                <w:szCs w:val="18"/>
              </w:rPr>
              <w:t>]</w:t>
            </w:r>
          </w:p>
        </w:tc>
        <w:tc>
          <w:tcPr>
            <w:tcW w:w="480" w:type="dxa"/>
            <w:tcBorders>
              <w:top w:val="nil"/>
              <w:left w:val="nil"/>
              <w:bottom w:val="single" w:color="auto" w:sz="4" w:space="0"/>
              <w:right w:val="single" w:color="auto" w:sz="4" w:space="0"/>
            </w:tcBorders>
            <w:noWrap/>
          </w:tcPr>
          <w:p>
            <w:pPr>
              <w:widowControl/>
              <w:jc w:val="center"/>
              <w:rPr>
                <w:rFonts w:ascii="宋体" w:cs="宋体"/>
                <w:kern w:val="0"/>
                <w:sz w:val="18"/>
                <w:szCs w:val="18"/>
              </w:rPr>
            </w:pPr>
            <w:r>
              <w:rPr>
                <w:rFonts w:ascii="宋体" w:hAnsi="宋体" w:cs="宋体"/>
                <w:kern w:val="0"/>
                <w:sz w:val="18"/>
                <w:szCs w:val="18"/>
              </w:rPr>
              <w:t>FALSE</w:t>
            </w:r>
          </w:p>
        </w:tc>
      </w:tr>
    </w:tbl>
    <w:p>
      <w:pPr>
        <w:ind w:firstLine="630"/>
        <w:outlineLvl w:val="0"/>
        <w:rPr>
          <w:rFonts w:ascii="仿宋_GB2312" w:hAnsi="Times New Roman" w:eastAsia="仿宋_GB2312"/>
          <w:sz w:val="32"/>
          <w:szCs w:val="24"/>
        </w:rPr>
      </w:pPr>
    </w:p>
    <w:bookmarkEnd w:id="2"/>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pPr>
        <w:ind w:firstLine="640"/>
        <w:rPr>
          <w:rFonts w:ascii="仿宋_GB2312" w:hAnsi="黑体" w:eastAsia="仿宋_GB2312"/>
          <w:sz w:val="32"/>
          <w:szCs w:val="32"/>
        </w:rPr>
      </w:pPr>
      <w:r>
        <w:rPr>
          <w:rFonts w:hint="eastAsia" w:ascii="仿宋_GB2312" w:hAnsi="黑体" w:eastAsia="仿宋_GB2312"/>
          <w:sz w:val="32"/>
          <w:szCs w:val="32"/>
        </w:rPr>
        <w:t>馆陶县交通运输局上年末固定资产金额为</w:t>
      </w:r>
      <w:r>
        <w:rPr>
          <w:rFonts w:ascii="仿宋_GB2312" w:hAnsi="Times New Roman" w:eastAsia="仿宋_GB2312"/>
          <w:sz w:val="32"/>
          <w:szCs w:val="32"/>
        </w:rPr>
        <w:t>4169.25</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ascii="仿宋_GB2312" w:hAnsi="Times New Roman" w:eastAsia="仿宋_GB2312"/>
          <w:sz w:val="32"/>
          <w:szCs w:val="32"/>
        </w:rPr>
        <w:t>61.9</w:t>
      </w:r>
      <w:r>
        <w:rPr>
          <w:rFonts w:hint="eastAsia" w:ascii="仿宋_GB2312" w:hAnsi="Times New Roman" w:eastAsia="仿宋_GB2312"/>
          <w:sz w:val="32"/>
          <w:szCs w:val="32"/>
        </w:rPr>
        <w:t>万元，</w:t>
      </w:r>
      <w:r>
        <w:rPr>
          <w:rFonts w:hint="eastAsia" w:ascii="仿宋_GB2312" w:hAnsi="黑体" w:eastAsia="仿宋_GB2312"/>
          <w:sz w:val="32"/>
          <w:szCs w:val="32"/>
        </w:rPr>
        <w:t>主要为计算机等办公设备，已列入政府采购预算，详见政府采购预算表。</w:t>
      </w:r>
    </w:p>
    <w:p>
      <w:pPr>
        <w:ind w:firstLine="640"/>
        <w:rPr>
          <w:rFonts w:ascii="仿宋_GB2312" w:hAnsi="黑体" w:eastAsia="仿宋_GB2312"/>
          <w:sz w:val="32"/>
          <w:szCs w:val="32"/>
        </w:rPr>
      </w:pPr>
    </w:p>
    <w:p>
      <w:pPr>
        <w:ind w:firstLine="640"/>
        <w:jc w:val="center"/>
        <w:rPr>
          <w:rFonts w:ascii="宋体"/>
          <w:sz w:val="32"/>
          <w:szCs w:val="32"/>
        </w:rPr>
      </w:pPr>
      <w:r>
        <w:rPr>
          <w:rFonts w:hint="eastAsia" w:ascii="宋体" w:hAnsi="宋体"/>
          <w:sz w:val="32"/>
          <w:szCs w:val="32"/>
        </w:rPr>
        <w:t>部门固定资产占用情况表</w:t>
      </w:r>
    </w:p>
    <w:tbl>
      <w:tblPr>
        <w:tblStyle w:val="9"/>
        <w:tblW w:w="15990" w:type="dxa"/>
        <w:tblInd w:w="93" w:type="dxa"/>
        <w:tblLayout w:type="autofit"/>
        <w:tblCellMar>
          <w:top w:w="0" w:type="dxa"/>
          <w:left w:w="108" w:type="dxa"/>
          <w:bottom w:w="0" w:type="dxa"/>
          <w:right w:w="108" w:type="dxa"/>
        </w:tblCellMar>
      </w:tblPr>
      <w:tblGrid>
        <w:gridCol w:w="6270"/>
        <w:gridCol w:w="1080"/>
        <w:gridCol w:w="2060"/>
        <w:gridCol w:w="2060"/>
        <w:gridCol w:w="2260"/>
        <w:gridCol w:w="2260"/>
      </w:tblGrid>
      <w:tr>
        <w:tblPrEx>
          <w:tblCellMar>
            <w:top w:w="0" w:type="dxa"/>
            <w:left w:w="108" w:type="dxa"/>
            <w:bottom w:w="0" w:type="dxa"/>
            <w:right w:w="108" w:type="dxa"/>
          </w:tblCellMar>
        </w:tblPrEx>
        <w:trPr>
          <w:trHeight w:val="285" w:hRule="atLeast"/>
        </w:trPr>
        <w:tc>
          <w:tcPr>
            <w:tcW w:w="627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项　　目</w:t>
            </w:r>
          </w:p>
        </w:tc>
        <w:tc>
          <w:tcPr>
            <w:tcW w:w="1080" w:type="dxa"/>
            <w:tcBorders>
              <w:top w:val="single" w:color="auto" w:sz="4" w:space="0"/>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行次</w:t>
            </w:r>
          </w:p>
        </w:tc>
        <w:tc>
          <w:tcPr>
            <w:tcW w:w="4120" w:type="dxa"/>
            <w:gridSpan w:val="2"/>
            <w:tcBorders>
              <w:top w:val="single" w:color="auto" w:sz="4" w:space="0"/>
              <w:left w:val="nil"/>
              <w:bottom w:val="single" w:color="auto" w:sz="4" w:space="0"/>
              <w:right w:val="single" w:color="000000"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数量</w:t>
            </w:r>
          </w:p>
        </w:tc>
        <w:tc>
          <w:tcPr>
            <w:tcW w:w="4520" w:type="dxa"/>
            <w:gridSpan w:val="2"/>
            <w:tcBorders>
              <w:top w:val="single" w:color="auto" w:sz="4" w:space="0"/>
              <w:left w:val="nil"/>
              <w:bottom w:val="single" w:color="auto" w:sz="4" w:space="0"/>
              <w:right w:val="single" w:color="000000"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价值</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c>
          <w:tcPr>
            <w:tcW w:w="20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年初数</w:t>
            </w:r>
          </w:p>
        </w:tc>
        <w:tc>
          <w:tcPr>
            <w:tcW w:w="20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年末数</w:t>
            </w:r>
          </w:p>
        </w:tc>
        <w:tc>
          <w:tcPr>
            <w:tcW w:w="22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年初数</w:t>
            </w:r>
          </w:p>
        </w:tc>
        <w:tc>
          <w:tcPr>
            <w:tcW w:w="22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年末数</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栏　　次</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c>
          <w:tcPr>
            <w:tcW w:w="20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w:t>
            </w:r>
          </w:p>
        </w:tc>
        <w:tc>
          <w:tcPr>
            <w:tcW w:w="20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w:t>
            </w:r>
          </w:p>
        </w:tc>
        <w:tc>
          <w:tcPr>
            <w:tcW w:w="22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3</w:t>
            </w:r>
          </w:p>
        </w:tc>
        <w:tc>
          <w:tcPr>
            <w:tcW w:w="22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4</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一、固定资产</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3</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25,865,545.34</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41,692,514.52</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（一）房屋（平方米）</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4</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15,812.20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17,341.79</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8,593,582.37</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23,763,615.72</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1.</w:t>
            </w:r>
            <w:r>
              <w:rPr>
                <w:rFonts w:hint="eastAsia" w:ascii="宋体" w:hAnsi="宋体" w:cs="宋体"/>
                <w:kern w:val="0"/>
                <w:sz w:val="24"/>
                <w:szCs w:val="24"/>
              </w:rPr>
              <w:t>办公用房</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5</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11,760.20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13,289.79</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5,218,513.50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20,395,086.85</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 xml:space="preserve">    2.</w:t>
            </w:r>
            <w:r>
              <w:rPr>
                <w:rFonts w:hint="eastAsia" w:ascii="宋体" w:hAnsi="宋体" w:cs="宋体"/>
                <w:kern w:val="0"/>
                <w:sz w:val="24"/>
                <w:szCs w:val="24"/>
              </w:rPr>
              <w:t>业务用房</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6</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 xml:space="preserve"> </w:t>
            </w:r>
            <w:r>
              <w:rPr>
                <w:rFonts w:hint="eastAsia" w:ascii="宋体" w:hAnsi="宋体" w:cs="宋体"/>
                <w:kern w:val="0"/>
                <w:sz w:val="24"/>
                <w:szCs w:val="24"/>
              </w:rPr>
              <w:t>　</w:t>
            </w:r>
            <w:r>
              <w:rPr>
                <w:rFonts w:ascii="宋体" w:hAnsi="宋体" w:cs="宋体"/>
                <w:kern w:val="0"/>
                <w:sz w:val="24"/>
                <w:szCs w:val="24"/>
              </w:rPr>
              <w:t xml:space="preserve">   3.</w:t>
            </w:r>
            <w:r>
              <w:rPr>
                <w:rFonts w:hint="eastAsia" w:ascii="宋体" w:hAnsi="宋体" w:cs="宋体"/>
                <w:kern w:val="0"/>
                <w:sz w:val="24"/>
                <w:szCs w:val="24"/>
              </w:rPr>
              <w:t>其他（不含构筑物）</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7</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4,052.00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4,052.00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3,375,068.87</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3,368,528.87</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（二）车辆（台、辆）</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8</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26</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25</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2,040,727.85</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1,911,546.48</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1.</w:t>
            </w:r>
            <w:r>
              <w:rPr>
                <w:rFonts w:hint="eastAsia" w:ascii="宋体" w:hAnsi="宋体" w:cs="宋体"/>
                <w:kern w:val="0"/>
                <w:sz w:val="24"/>
                <w:szCs w:val="24"/>
              </w:rPr>
              <w:t>轿车</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9</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9</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6</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1,173,564.00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834,204.00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2.</w:t>
            </w:r>
            <w:r>
              <w:rPr>
                <w:rFonts w:hint="eastAsia" w:ascii="宋体" w:hAnsi="宋体" w:cs="宋体"/>
                <w:kern w:val="0"/>
                <w:sz w:val="24"/>
                <w:szCs w:val="24"/>
              </w:rPr>
              <w:t>越野车</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3.</w:t>
            </w:r>
            <w:r>
              <w:rPr>
                <w:rFonts w:hint="eastAsia" w:ascii="宋体" w:hAnsi="宋体" w:cs="宋体"/>
                <w:kern w:val="0"/>
                <w:sz w:val="24"/>
                <w:szCs w:val="24"/>
              </w:rPr>
              <w:t>小型载客汽车</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11</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43,000.00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43,000.00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4.</w:t>
            </w:r>
            <w:r>
              <w:rPr>
                <w:rFonts w:hint="eastAsia" w:ascii="宋体" w:hAnsi="宋体" w:cs="宋体"/>
                <w:kern w:val="0"/>
                <w:sz w:val="24"/>
                <w:szCs w:val="24"/>
              </w:rPr>
              <w:t>大中型载客汽车</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12</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5.</w:t>
            </w:r>
            <w:r>
              <w:rPr>
                <w:rFonts w:hint="eastAsia" w:ascii="宋体" w:hAnsi="宋体" w:cs="宋体"/>
                <w:kern w:val="0"/>
                <w:sz w:val="24"/>
                <w:szCs w:val="24"/>
              </w:rPr>
              <w:t>其他车型</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13</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16</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18</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824,163.85</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1,034,342.48</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（三）单价</w:t>
            </w:r>
            <w:r>
              <w:rPr>
                <w:rFonts w:ascii="宋体" w:hAnsi="宋体" w:cs="宋体"/>
                <w:kern w:val="0"/>
                <w:sz w:val="24"/>
                <w:szCs w:val="24"/>
              </w:rPr>
              <w:t>50</w:t>
            </w:r>
            <w:r>
              <w:rPr>
                <w:rFonts w:hint="eastAsia" w:ascii="宋体" w:hAnsi="宋体" w:cs="宋体"/>
                <w:kern w:val="0"/>
                <w:sz w:val="24"/>
                <w:szCs w:val="24"/>
              </w:rPr>
              <w:t>万元（含）以上的通用设备（台、套…）</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14</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720,000.00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720,000.00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（四）单价</w:t>
            </w:r>
            <w:r>
              <w:rPr>
                <w:rFonts w:ascii="宋体" w:hAnsi="宋体" w:cs="宋体"/>
                <w:kern w:val="0"/>
                <w:sz w:val="24"/>
                <w:szCs w:val="24"/>
              </w:rPr>
              <w:t>100</w:t>
            </w:r>
            <w:r>
              <w:rPr>
                <w:rFonts w:hint="eastAsia" w:ascii="宋体" w:hAnsi="宋体" w:cs="宋体"/>
                <w:kern w:val="0"/>
                <w:sz w:val="24"/>
                <w:szCs w:val="24"/>
              </w:rPr>
              <w:t>万元（含）以上的专用设备（台、套…）</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15</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0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（五）其他固定资产</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16</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14,511,235.12</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15,297,352.32</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减：累计折旧及减值准备</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17</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1,167,893.85</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1,141,440.97</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三、长期投资</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18</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四、在建工程</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19</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五、无形资产</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20</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850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850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减：累计摊销</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21</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r>
        <w:tblPrEx>
          <w:tblCellMar>
            <w:top w:w="0" w:type="dxa"/>
            <w:left w:w="108" w:type="dxa"/>
            <w:bottom w:w="0" w:type="dxa"/>
            <w:right w:w="108" w:type="dxa"/>
          </w:tblCellMar>
        </w:tblPrEx>
        <w:trPr>
          <w:trHeight w:val="285" w:hRule="atLeast"/>
        </w:trPr>
        <w:tc>
          <w:tcPr>
            <w:tcW w:w="627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六、其他资产</w:t>
            </w:r>
          </w:p>
        </w:tc>
        <w:tc>
          <w:tcPr>
            <w:tcW w:w="10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22</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06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72,995.30</w:t>
            </w:r>
          </w:p>
        </w:tc>
        <w:tc>
          <w:tcPr>
            <w:tcW w:w="2260" w:type="dxa"/>
            <w:tcBorders>
              <w:top w:val="nil"/>
              <w:left w:val="nil"/>
              <w:bottom w:val="single" w:color="auto" w:sz="4" w:space="0"/>
              <w:right w:val="single" w:color="auto" w:sz="4" w:space="0"/>
            </w:tcBorders>
            <w:noWrap/>
            <w:vAlign w:val="center"/>
          </w:tcPr>
          <w:p>
            <w:pPr>
              <w:widowControl/>
              <w:jc w:val="right"/>
              <w:rPr>
                <w:rFonts w:ascii="宋体" w:cs="宋体"/>
                <w:kern w:val="0"/>
                <w:sz w:val="24"/>
                <w:szCs w:val="24"/>
              </w:rPr>
            </w:pPr>
            <w:r>
              <w:rPr>
                <w:rFonts w:ascii="宋体" w:hAnsi="宋体" w:cs="宋体"/>
                <w:kern w:val="0"/>
                <w:sz w:val="24"/>
                <w:szCs w:val="24"/>
              </w:rPr>
              <w:t>0</w:t>
            </w:r>
          </w:p>
        </w:tc>
      </w:tr>
    </w:tbl>
    <w:p>
      <w:pPr>
        <w:ind w:firstLine="640"/>
        <w:jc w:val="center"/>
        <w:rPr>
          <w:rFonts w:ascii="宋体"/>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pPr>
        <w:tabs>
          <w:tab w:val="left" w:pos="11490"/>
        </w:tabs>
        <w:ind w:firstLine="640"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3" w:type="default"/>
      <w:footerReference r:id="rId4" w:type="default"/>
      <w:pgSz w:w="16838" w:h="11906" w:orient="landscape"/>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书宋_GBK">
    <w:altName w:val="微软雅黑"/>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23</w:t>
    </w:r>
    <w:r>
      <w:rPr>
        <w:lang w:val="zh-CN"/>
      </w:rPr>
      <w:fldChar w:fldCharType="end"/>
    </w:r>
    <w:r>
      <w:t>-</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24F55"/>
    <w:rsid w:val="00037AF6"/>
    <w:rsid w:val="0004565F"/>
    <w:rsid w:val="00072187"/>
    <w:rsid w:val="00075D5F"/>
    <w:rsid w:val="000A7850"/>
    <w:rsid w:val="000B27F7"/>
    <w:rsid w:val="000B529B"/>
    <w:rsid w:val="000B6C01"/>
    <w:rsid w:val="000B7BA0"/>
    <w:rsid w:val="000C24E6"/>
    <w:rsid w:val="000C3A19"/>
    <w:rsid w:val="000D407B"/>
    <w:rsid w:val="000D5C0F"/>
    <w:rsid w:val="000E08B6"/>
    <w:rsid w:val="000F2E40"/>
    <w:rsid w:val="001015EA"/>
    <w:rsid w:val="001245BB"/>
    <w:rsid w:val="001251A3"/>
    <w:rsid w:val="001643E8"/>
    <w:rsid w:val="001919C4"/>
    <w:rsid w:val="0019723B"/>
    <w:rsid w:val="001D761F"/>
    <w:rsid w:val="001E0757"/>
    <w:rsid w:val="001E4535"/>
    <w:rsid w:val="001E6DDC"/>
    <w:rsid w:val="001F7873"/>
    <w:rsid w:val="00241FD4"/>
    <w:rsid w:val="00251B12"/>
    <w:rsid w:val="00256C3B"/>
    <w:rsid w:val="00265318"/>
    <w:rsid w:val="002835D7"/>
    <w:rsid w:val="00290FD6"/>
    <w:rsid w:val="00296113"/>
    <w:rsid w:val="002A673A"/>
    <w:rsid w:val="002B6B9B"/>
    <w:rsid w:val="002C5E13"/>
    <w:rsid w:val="002C62BC"/>
    <w:rsid w:val="002E0EB8"/>
    <w:rsid w:val="002F3E58"/>
    <w:rsid w:val="0030542C"/>
    <w:rsid w:val="00311B7A"/>
    <w:rsid w:val="00312A8F"/>
    <w:rsid w:val="00313D9C"/>
    <w:rsid w:val="00372A6B"/>
    <w:rsid w:val="003F7B4A"/>
    <w:rsid w:val="00424943"/>
    <w:rsid w:val="0042727E"/>
    <w:rsid w:val="0043175C"/>
    <w:rsid w:val="00437296"/>
    <w:rsid w:val="00451590"/>
    <w:rsid w:val="00451871"/>
    <w:rsid w:val="004706DE"/>
    <w:rsid w:val="00472923"/>
    <w:rsid w:val="00486DCD"/>
    <w:rsid w:val="00497681"/>
    <w:rsid w:val="004B0C3A"/>
    <w:rsid w:val="004B3E42"/>
    <w:rsid w:val="004C49A8"/>
    <w:rsid w:val="004D5788"/>
    <w:rsid w:val="004E3066"/>
    <w:rsid w:val="004E419C"/>
    <w:rsid w:val="004E60F0"/>
    <w:rsid w:val="004E74CD"/>
    <w:rsid w:val="00524EFD"/>
    <w:rsid w:val="005264E0"/>
    <w:rsid w:val="005354AA"/>
    <w:rsid w:val="00541B38"/>
    <w:rsid w:val="0055082B"/>
    <w:rsid w:val="00563A28"/>
    <w:rsid w:val="00572067"/>
    <w:rsid w:val="00573562"/>
    <w:rsid w:val="00590ECE"/>
    <w:rsid w:val="005F5714"/>
    <w:rsid w:val="00600A07"/>
    <w:rsid w:val="00611D03"/>
    <w:rsid w:val="00611DA8"/>
    <w:rsid w:val="00614A29"/>
    <w:rsid w:val="00642F13"/>
    <w:rsid w:val="00673D76"/>
    <w:rsid w:val="0068155B"/>
    <w:rsid w:val="006854F0"/>
    <w:rsid w:val="006900EA"/>
    <w:rsid w:val="006920B9"/>
    <w:rsid w:val="006B1C4A"/>
    <w:rsid w:val="006B610D"/>
    <w:rsid w:val="006E49F5"/>
    <w:rsid w:val="007013C8"/>
    <w:rsid w:val="00705F12"/>
    <w:rsid w:val="007164DD"/>
    <w:rsid w:val="00753836"/>
    <w:rsid w:val="0075393C"/>
    <w:rsid w:val="00754592"/>
    <w:rsid w:val="007679B6"/>
    <w:rsid w:val="0077077D"/>
    <w:rsid w:val="00776C08"/>
    <w:rsid w:val="007A142E"/>
    <w:rsid w:val="007A73A6"/>
    <w:rsid w:val="007C219A"/>
    <w:rsid w:val="007E1DA8"/>
    <w:rsid w:val="007F6C26"/>
    <w:rsid w:val="007F6C89"/>
    <w:rsid w:val="00813208"/>
    <w:rsid w:val="00817533"/>
    <w:rsid w:val="0081758B"/>
    <w:rsid w:val="008314BB"/>
    <w:rsid w:val="00832E72"/>
    <w:rsid w:val="008334AE"/>
    <w:rsid w:val="00836FED"/>
    <w:rsid w:val="0083724E"/>
    <w:rsid w:val="00841D53"/>
    <w:rsid w:val="00845CD2"/>
    <w:rsid w:val="00852B0D"/>
    <w:rsid w:val="00864B7F"/>
    <w:rsid w:val="00881692"/>
    <w:rsid w:val="00882308"/>
    <w:rsid w:val="008A6576"/>
    <w:rsid w:val="008B077A"/>
    <w:rsid w:val="008B3CC5"/>
    <w:rsid w:val="008B52CD"/>
    <w:rsid w:val="008C7C4D"/>
    <w:rsid w:val="008E4261"/>
    <w:rsid w:val="008E70D4"/>
    <w:rsid w:val="008F4662"/>
    <w:rsid w:val="00905D08"/>
    <w:rsid w:val="00915DC5"/>
    <w:rsid w:val="00925753"/>
    <w:rsid w:val="009425F4"/>
    <w:rsid w:val="00942BDA"/>
    <w:rsid w:val="00943BD8"/>
    <w:rsid w:val="00954B2C"/>
    <w:rsid w:val="00966C5C"/>
    <w:rsid w:val="00973104"/>
    <w:rsid w:val="00975124"/>
    <w:rsid w:val="00995BF0"/>
    <w:rsid w:val="009A16D5"/>
    <w:rsid w:val="009A353D"/>
    <w:rsid w:val="009B0B77"/>
    <w:rsid w:val="009B511E"/>
    <w:rsid w:val="009D37D3"/>
    <w:rsid w:val="00A16E6C"/>
    <w:rsid w:val="00A2265D"/>
    <w:rsid w:val="00A25753"/>
    <w:rsid w:val="00A40F60"/>
    <w:rsid w:val="00A44E3D"/>
    <w:rsid w:val="00A52A80"/>
    <w:rsid w:val="00A72D2E"/>
    <w:rsid w:val="00A74447"/>
    <w:rsid w:val="00A74CE5"/>
    <w:rsid w:val="00A77500"/>
    <w:rsid w:val="00A911E7"/>
    <w:rsid w:val="00A939D9"/>
    <w:rsid w:val="00AC081A"/>
    <w:rsid w:val="00AD5259"/>
    <w:rsid w:val="00AD5DDC"/>
    <w:rsid w:val="00B01D36"/>
    <w:rsid w:val="00B078CD"/>
    <w:rsid w:val="00B20712"/>
    <w:rsid w:val="00B3715A"/>
    <w:rsid w:val="00B42AE1"/>
    <w:rsid w:val="00B43238"/>
    <w:rsid w:val="00B45DD3"/>
    <w:rsid w:val="00B51DE9"/>
    <w:rsid w:val="00B60E72"/>
    <w:rsid w:val="00B73582"/>
    <w:rsid w:val="00B75216"/>
    <w:rsid w:val="00B755A2"/>
    <w:rsid w:val="00B7605C"/>
    <w:rsid w:val="00B9104C"/>
    <w:rsid w:val="00B91D52"/>
    <w:rsid w:val="00B9490F"/>
    <w:rsid w:val="00BA1ACD"/>
    <w:rsid w:val="00BB3AE2"/>
    <w:rsid w:val="00BD09F8"/>
    <w:rsid w:val="00BF2D04"/>
    <w:rsid w:val="00C005B2"/>
    <w:rsid w:val="00C07F95"/>
    <w:rsid w:val="00C25A21"/>
    <w:rsid w:val="00C30DD6"/>
    <w:rsid w:val="00C45E50"/>
    <w:rsid w:val="00C65035"/>
    <w:rsid w:val="00C84204"/>
    <w:rsid w:val="00C84D61"/>
    <w:rsid w:val="00C86DF7"/>
    <w:rsid w:val="00CA3B46"/>
    <w:rsid w:val="00CA7176"/>
    <w:rsid w:val="00CB0971"/>
    <w:rsid w:val="00CB3864"/>
    <w:rsid w:val="00CC3883"/>
    <w:rsid w:val="00CC75B0"/>
    <w:rsid w:val="00CD2773"/>
    <w:rsid w:val="00CE01BA"/>
    <w:rsid w:val="00CE143B"/>
    <w:rsid w:val="00D07DBA"/>
    <w:rsid w:val="00D27003"/>
    <w:rsid w:val="00D650E7"/>
    <w:rsid w:val="00D80A3C"/>
    <w:rsid w:val="00D9307A"/>
    <w:rsid w:val="00DC7FB0"/>
    <w:rsid w:val="00DD4BD4"/>
    <w:rsid w:val="00E167C7"/>
    <w:rsid w:val="00E31A16"/>
    <w:rsid w:val="00E55B78"/>
    <w:rsid w:val="00E76361"/>
    <w:rsid w:val="00EA3B3A"/>
    <w:rsid w:val="00EC47F6"/>
    <w:rsid w:val="00EC684F"/>
    <w:rsid w:val="00EF08C9"/>
    <w:rsid w:val="00EF535E"/>
    <w:rsid w:val="00EF6F09"/>
    <w:rsid w:val="00F04089"/>
    <w:rsid w:val="00F0696C"/>
    <w:rsid w:val="00F144B1"/>
    <w:rsid w:val="00F14A62"/>
    <w:rsid w:val="00F26C26"/>
    <w:rsid w:val="00F43FAD"/>
    <w:rsid w:val="00F471F7"/>
    <w:rsid w:val="00F51A22"/>
    <w:rsid w:val="00F66032"/>
    <w:rsid w:val="00F83B96"/>
    <w:rsid w:val="00F8441D"/>
    <w:rsid w:val="00F87C1E"/>
    <w:rsid w:val="00F958C2"/>
    <w:rsid w:val="00F9612D"/>
    <w:rsid w:val="00FA740E"/>
    <w:rsid w:val="00FC06C7"/>
    <w:rsid w:val="00FD5DB4"/>
    <w:rsid w:val="00FE1724"/>
    <w:rsid w:val="0A2023C6"/>
    <w:rsid w:val="0B331B7E"/>
    <w:rsid w:val="0C044491"/>
    <w:rsid w:val="0DB32BBD"/>
    <w:rsid w:val="0FB56335"/>
    <w:rsid w:val="11C37B1A"/>
    <w:rsid w:val="1FC1447C"/>
    <w:rsid w:val="21613782"/>
    <w:rsid w:val="31907403"/>
    <w:rsid w:val="31E15395"/>
    <w:rsid w:val="3473676B"/>
    <w:rsid w:val="38781EB8"/>
    <w:rsid w:val="43274E58"/>
    <w:rsid w:val="45FE5EEA"/>
    <w:rsid w:val="4A657D63"/>
    <w:rsid w:val="53071741"/>
    <w:rsid w:val="56733828"/>
    <w:rsid w:val="5D5A3361"/>
    <w:rsid w:val="60315DEE"/>
    <w:rsid w:val="60EB26A5"/>
    <w:rsid w:val="62AC6848"/>
    <w:rsid w:val="63756E47"/>
    <w:rsid w:val="64FF07E7"/>
    <w:rsid w:val="66047C9F"/>
    <w:rsid w:val="6FA90EE9"/>
    <w:rsid w:val="71051481"/>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99"/>
    <w:rPr>
      <w:sz w:val="18"/>
      <w:szCs w:val="18"/>
    </w:rPr>
  </w:style>
  <w:style w:type="paragraph" w:styleId="3">
    <w:name w:val="footer"/>
    <w:basedOn w:val="1"/>
    <w:link w:val="13"/>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uiPriority w:val="99"/>
    <w:rPr>
      <w:rFonts w:ascii="Times New Roman" w:hAnsi="Times New Roman"/>
      <w:szCs w:val="24"/>
    </w:rPr>
  </w:style>
  <w:style w:type="paragraph" w:styleId="6">
    <w:name w:val="footnote text"/>
    <w:basedOn w:val="1"/>
    <w:link w:val="15"/>
    <w:uiPriority w:val="99"/>
    <w:pPr>
      <w:snapToGrid w:val="0"/>
      <w:jc w:val="left"/>
    </w:pPr>
    <w:rPr>
      <w:sz w:val="18"/>
      <w:szCs w:val="18"/>
    </w:rPr>
  </w:style>
  <w:style w:type="paragraph" w:styleId="7">
    <w:name w:val="toc 2"/>
    <w:basedOn w:val="1"/>
    <w:next w:val="1"/>
    <w:uiPriority w:val="99"/>
    <w:pPr>
      <w:ind w:left="420" w:leftChars="200"/>
    </w:pPr>
    <w:rPr>
      <w:rFonts w:ascii="Times New Roman" w:hAnsi="Times New Roman"/>
      <w:szCs w:val="24"/>
    </w:rPr>
  </w:style>
  <w:style w:type="paragraph" w:styleId="8">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uiPriority w:val="99"/>
    <w:rPr>
      <w:rFonts w:cs="Times New Roman"/>
      <w:vertAlign w:val="superscript"/>
    </w:rPr>
  </w:style>
  <w:style w:type="character" w:customStyle="1" w:styleId="12">
    <w:name w:val="Balloon Text Char"/>
    <w:basedOn w:val="10"/>
    <w:link w:val="2"/>
    <w:semiHidden/>
    <w:locked/>
    <w:uiPriority w:val="99"/>
    <w:rPr>
      <w:rFonts w:cs="Times New Roman"/>
      <w:sz w:val="18"/>
      <w:szCs w:val="18"/>
    </w:rPr>
  </w:style>
  <w:style w:type="character" w:customStyle="1" w:styleId="13">
    <w:name w:val="Footer Char"/>
    <w:basedOn w:val="10"/>
    <w:link w:val="3"/>
    <w:locked/>
    <w:uiPriority w:val="99"/>
    <w:rPr>
      <w:rFonts w:ascii="Times New Roman" w:hAnsi="Times New Roman" w:eastAsia="宋体" w:cs="Times New Roman"/>
      <w:sz w:val="18"/>
      <w:szCs w:val="18"/>
    </w:rPr>
  </w:style>
  <w:style w:type="character" w:customStyle="1" w:styleId="14">
    <w:name w:val="Header Char"/>
    <w:basedOn w:val="10"/>
    <w:link w:val="4"/>
    <w:locked/>
    <w:uiPriority w:val="99"/>
    <w:rPr>
      <w:rFonts w:ascii="Times New Roman" w:hAnsi="Times New Roman" w:eastAsia="宋体" w:cs="Times New Roman"/>
      <w:sz w:val="18"/>
      <w:szCs w:val="18"/>
    </w:rPr>
  </w:style>
  <w:style w:type="character" w:customStyle="1" w:styleId="15">
    <w:name w:val="Footnote Text Char"/>
    <w:basedOn w:val="10"/>
    <w:link w:val="6"/>
    <w:semiHidden/>
    <w:locked/>
    <w:uiPriority w:val="99"/>
    <w:rPr>
      <w:rFonts w:ascii="Calibri" w:hAnsi="Calibri" w:eastAsia="宋体" w:cs="Times New Roman"/>
      <w:sz w:val="18"/>
      <w:szCs w:val="18"/>
    </w:rPr>
  </w:style>
  <w:style w:type="paragraph" w:customStyle="1" w:styleId="16">
    <w:name w:val="Defaul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7">
    <w:name w:val="[Normal]"/>
    <w:uiPriority w:val="99"/>
    <w:rPr>
      <w:rFonts w:ascii="宋体" w:hAnsi="宋体" w:eastAsia="宋体" w:cs="Times New Roman"/>
      <w:kern w:val="0"/>
      <w:sz w:val="24"/>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25</Pages>
  <Words>9515</Words>
  <Characters>11847</Characters>
  <Lines>0</Lines>
  <Paragraphs>0</Paragraphs>
  <TotalTime>1301</TotalTime>
  <ScaleCrop>false</ScaleCrop>
  <LinksUpToDate>false</LinksUpToDate>
  <CharactersWithSpaces>12153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Sally</cp:lastModifiedBy>
  <cp:lastPrinted>2018-01-30T06:12:00Z</cp:lastPrinted>
  <dcterms:modified xsi:type="dcterms:W3CDTF">2024-06-03T09:10:48Z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97BD4341FADF490AA4CEAF3C859C262E_12</vt:lpwstr>
  </property>
</Properties>
</file>