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一、邯郸市公安局交通巡逻警察支队馆陶县大队本级收支预算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一、邯郸市公安局交通巡逻警察支队馆陶县大队本级收支预算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80.00</w:t>
            </w:r>
          </w:p>
        </w:tc>
        <w:tc>
          <w:tcPr>
            <w:tcW w:w="4535" w:type="dxa"/>
            <w:vAlign w:val="center"/>
          </w:tcPr>
          <w:p>
            <w:pPr>
              <w:pStyle w:val="14"/>
            </w:pPr>
            <w:r>
              <w:t>本年支出合计</w:t>
            </w:r>
          </w:p>
        </w:tc>
        <w:tc>
          <w:tcPr>
            <w:tcW w:w="2126" w:type="dxa"/>
            <w:vAlign w:val="center"/>
          </w:tcPr>
          <w:p>
            <w:pPr>
              <w:pStyle w:val="15"/>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80.00</w:t>
            </w:r>
          </w:p>
        </w:tc>
        <w:tc>
          <w:tcPr>
            <w:tcW w:w="4535" w:type="dxa"/>
            <w:vAlign w:val="center"/>
          </w:tcPr>
          <w:p>
            <w:pPr>
              <w:pStyle w:val="14"/>
            </w:pPr>
            <w:r>
              <w:t>支出总计</w:t>
            </w:r>
          </w:p>
        </w:tc>
        <w:tc>
          <w:tcPr>
            <w:tcW w:w="2126" w:type="dxa"/>
            <w:vAlign w:val="center"/>
          </w:tcPr>
          <w:p>
            <w:pPr>
              <w:pStyle w:val="15"/>
            </w:pPr>
            <w:r>
              <w:t>80.00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76.00</w:t>
            </w:r>
          </w:p>
        </w:tc>
        <w:tc>
          <w:tcPr>
            <w:tcW w:w="1134" w:type="dxa"/>
            <w:vAlign w:val="center"/>
          </w:tcPr>
          <w:p>
            <w:pPr>
              <w:pStyle w:val="11"/>
            </w:pPr>
            <w:r>
              <w:t>76.00</w:t>
            </w:r>
          </w:p>
        </w:tc>
        <w:tc>
          <w:tcPr>
            <w:tcW w:w="1134" w:type="dxa"/>
            <w:vAlign w:val="center"/>
          </w:tcPr>
          <w:p>
            <w:pPr>
              <w:pStyle w:val="11"/>
            </w:pPr>
            <w:r>
              <w:t>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20499</w:t>
            </w:r>
          </w:p>
        </w:tc>
        <w:tc>
          <w:tcPr>
            <w:tcW w:w="1559" w:type="dxa"/>
            <w:vAlign w:val="center"/>
          </w:tcPr>
          <w:p>
            <w:pPr>
              <w:pStyle w:val="12"/>
            </w:pPr>
            <w:r>
              <w:t>其他公共安全支出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2049902</w:t>
            </w:r>
          </w:p>
        </w:tc>
        <w:tc>
          <w:tcPr>
            <w:tcW w:w="1559" w:type="dxa"/>
            <w:vAlign w:val="center"/>
          </w:tcPr>
          <w:p>
            <w:pPr>
              <w:pStyle w:val="12"/>
            </w:pPr>
            <w:r>
              <w:t>国家司法救助支出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80.00</w:t>
            </w:r>
          </w:p>
        </w:tc>
        <w:tc>
          <w:tcPr>
            <w:tcW w:w="1361" w:type="dxa"/>
            <w:vAlign w:val="center"/>
          </w:tcPr>
          <w:p>
            <w:pPr>
              <w:pStyle w:val="15"/>
            </w:pPr>
            <w:r>
              <w:t>17.00</w:t>
            </w:r>
          </w:p>
        </w:tc>
        <w:tc>
          <w:tcPr>
            <w:tcW w:w="1361" w:type="dxa"/>
            <w:vAlign w:val="center"/>
          </w:tcPr>
          <w:p>
            <w:pPr>
              <w:pStyle w:val="15"/>
            </w:pPr>
            <w:r>
              <w:t>63.00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80.00</w:t>
            </w:r>
          </w:p>
        </w:tc>
        <w:tc>
          <w:tcPr>
            <w:tcW w:w="1361" w:type="dxa"/>
            <w:vAlign w:val="center"/>
          </w:tcPr>
          <w:p>
            <w:pPr>
              <w:pStyle w:val="11"/>
            </w:pPr>
            <w:r>
              <w:t>17.00</w:t>
            </w: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76.00</w:t>
            </w:r>
          </w:p>
        </w:tc>
        <w:tc>
          <w:tcPr>
            <w:tcW w:w="1361" w:type="dxa"/>
            <w:vAlign w:val="center"/>
          </w:tcPr>
          <w:p>
            <w:pPr>
              <w:pStyle w:val="11"/>
            </w:pPr>
            <w:r>
              <w:t>17.00</w:t>
            </w:r>
          </w:p>
        </w:tc>
        <w:tc>
          <w:tcPr>
            <w:tcW w:w="1361" w:type="dxa"/>
            <w:vAlign w:val="center"/>
          </w:tcPr>
          <w:p>
            <w:pPr>
              <w:pStyle w:val="11"/>
            </w:pPr>
            <w:r>
              <w:t>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58.00</w:t>
            </w:r>
          </w:p>
        </w:tc>
        <w:tc>
          <w:tcPr>
            <w:tcW w:w="1361" w:type="dxa"/>
            <w:vAlign w:val="center"/>
          </w:tcPr>
          <w:p>
            <w:pPr>
              <w:pStyle w:val="11"/>
            </w:pPr>
            <w:r>
              <w:t>17.00</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6</w:t>
            </w:r>
          </w:p>
        </w:tc>
        <w:tc>
          <w:tcPr>
            <w:tcW w:w="992" w:type="dxa"/>
            <w:vAlign w:val="center"/>
          </w:tcPr>
          <w:p>
            <w:pPr>
              <w:pStyle w:val="12"/>
            </w:pPr>
            <w:r>
              <w:t>20499</w:t>
            </w:r>
          </w:p>
        </w:tc>
        <w:tc>
          <w:tcPr>
            <w:tcW w:w="4535" w:type="dxa"/>
            <w:vAlign w:val="center"/>
          </w:tcPr>
          <w:p>
            <w:pPr>
              <w:pStyle w:val="12"/>
            </w:pPr>
            <w:r>
              <w:t>其他公共安全支出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2049902</w:t>
            </w:r>
          </w:p>
        </w:tc>
        <w:tc>
          <w:tcPr>
            <w:tcW w:w="4535" w:type="dxa"/>
            <w:vAlign w:val="center"/>
          </w:tcPr>
          <w:p>
            <w:pPr>
              <w:pStyle w:val="12"/>
            </w:pPr>
            <w:r>
              <w:t>国家司法救助支出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80.00</w:t>
            </w:r>
          </w:p>
        </w:tc>
        <w:tc>
          <w:tcPr>
            <w:tcW w:w="1474" w:type="dxa"/>
            <w:vAlign w:val="center"/>
          </w:tcPr>
          <w:p>
            <w:pPr>
              <w:pStyle w:val="11"/>
            </w:pPr>
            <w:r>
              <w:t>80.00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80.00</w:t>
            </w:r>
          </w:p>
        </w:tc>
        <w:tc>
          <w:tcPr>
            <w:tcW w:w="3402" w:type="dxa"/>
            <w:vAlign w:val="center"/>
          </w:tcPr>
          <w:p>
            <w:pPr>
              <w:pStyle w:val="14"/>
            </w:pPr>
            <w:r>
              <w:t>本年支出合计</w:t>
            </w:r>
          </w:p>
        </w:tc>
        <w:tc>
          <w:tcPr>
            <w:tcW w:w="1474" w:type="dxa"/>
            <w:vAlign w:val="center"/>
          </w:tcPr>
          <w:p>
            <w:pPr>
              <w:pStyle w:val="15"/>
            </w:pPr>
            <w:r>
              <w:t>80.00</w:t>
            </w:r>
          </w:p>
        </w:tc>
        <w:tc>
          <w:tcPr>
            <w:tcW w:w="1474" w:type="dxa"/>
            <w:vAlign w:val="center"/>
          </w:tcPr>
          <w:p>
            <w:pPr>
              <w:pStyle w:val="15"/>
            </w:pPr>
            <w:r>
              <w:t>80.00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80.00</w:t>
            </w:r>
          </w:p>
        </w:tc>
        <w:tc>
          <w:tcPr>
            <w:tcW w:w="3402" w:type="dxa"/>
            <w:vAlign w:val="center"/>
          </w:tcPr>
          <w:p>
            <w:pPr>
              <w:pStyle w:val="14"/>
            </w:pPr>
            <w:r>
              <w:t>支出总计</w:t>
            </w:r>
          </w:p>
        </w:tc>
        <w:tc>
          <w:tcPr>
            <w:tcW w:w="1474" w:type="dxa"/>
            <w:vAlign w:val="center"/>
          </w:tcPr>
          <w:p>
            <w:pPr>
              <w:pStyle w:val="15"/>
            </w:pPr>
            <w:r>
              <w:t>80.00</w:t>
            </w:r>
          </w:p>
        </w:tc>
        <w:tc>
          <w:tcPr>
            <w:tcW w:w="1474" w:type="dxa"/>
            <w:vAlign w:val="center"/>
          </w:tcPr>
          <w:p>
            <w:pPr>
              <w:pStyle w:val="15"/>
            </w:pPr>
            <w:r>
              <w:t>80.00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80.00</w:t>
            </w:r>
          </w:p>
        </w:tc>
        <w:tc>
          <w:tcPr>
            <w:tcW w:w="2551" w:type="dxa"/>
            <w:vAlign w:val="center"/>
          </w:tcPr>
          <w:p>
            <w:pPr>
              <w:pStyle w:val="15"/>
            </w:pPr>
            <w:r>
              <w:t>17.00</w:t>
            </w:r>
          </w:p>
        </w:tc>
        <w:tc>
          <w:tcPr>
            <w:tcW w:w="2551" w:type="dxa"/>
            <w:vAlign w:val="center"/>
          </w:tcPr>
          <w:p>
            <w:pPr>
              <w:pStyle w:val="15"/>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80.00</w:t>
            </w:r>
          </w:p>
        </w:tc>
        <w:tc>
          <w:tcPr>
            <w:tcW w:w="2551" w:type="dxa"/>
            <w:vAlign w:val="center"/>
          </w:tcPr>
          <w:p>
            <w:pPr>
              <w:pStyle w:val="11"/>
            </w:pPr>
            <w:r>
              <w:t>17.00</w:t>
            </w:r>
          </w:p>
        </w:tc>
        <w:tc>
          <w:tcPr>
            <w:tcW w:w="2551" w:type="dxa"/>
            <w:vAlign w:val="center"/>
          </w:tcPr>
          <w:p>
            <w:pPr>
              <w:pStyle w:val="11"/>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76.00</w:t>
            </w:r>
          </w:p>
        </w:tc>
        <w:tc>
          <w:tcPr>
            <w:tcW w:w="2551" w:type="dxa"/>
            <w:vAlign w:val="center"/>
          </w:tcPr>
          <w:p>
            <w:pPr>
              <w:pStyle w:val="11"/>
            </w:pPr>
            <w:r>
              <w:t>17.00</w:t>
            </w:r>
          </w:p>
        </w:tc>
        <w:tc>
          <w:tcPr>
            <w:tcW w:w="2551" w:type="dxa"/>
            <w:vAlign w:val="center"/>
          </w:tcPr>
          <w:p>
            <w:pPr>
              <w:pStyle w:val="11"/>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58.00</w:t>
            </w:r>
          </w:p>
        </w:tc>
        <w:tc>
          <w:tcPr>
            <w:tcW w:w="2551" w:type="dxa"/>
            <w:vAlign w:val="center"/>
          </w:tcPr>
          <w:p>
            <w:pPr>
              <w:pStyle w:val="11"/>
            </w:pPr>
            <w:r>
              <w:t>17.00</w:t>
            </w:r>
          </w:p>
        </w:tc>
        <w:tc>
          <w:tcPr>
            <w:tcW w:w="2551" w:type="dxa"/>
            <w:vAlign w:val="center"/>
          </w:tcPr>
          <w:p>
            <w:pPr>
              <w:pStyle w:val="11"/>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20499</w:t>
            </w:r>
          </w:p>
        </w:tc>
        <w:tc>
          <w:tcPr>
            <w:tcW w:w="4535" w:type="dxa"/>
            <w:vAlign w:val="center"/>
          </w:tcPr>
          <w:p>
            <w:pPr>
              <w:pStyle w:val="12"/>
            </w:pPr>
            <w:r>
              <w:t>其他公共安全支出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2049902</w:t>
            </w:r>
          </w:p>
        </w:tc>
        <w:tc>
          <w:tcPr>
            <w:tcW w:w="4535" w:type="dxa"/>
            <w:vAlign w:val="center"/>
          </w:tcPr>
          <w:p>
            <w:pPr>
              <w:pStyle w:val="12"/>
            </w:pPr>
            <w:r>
              <w:t>国家司法救助支出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17.00</w:t>
            </w:r>
          </w:p>
        </w:tc>
        <w:tc>
          <w:tcPr>
            <w:tcW w:w="2551" w:type="dxa"/>
            <w:vAlign w:val="center"/>
          </w:tcPr>
          <w:p>
            <w:pPr>
              <w:pStyle w:val="15"/>
            </w:pPr>
            <w:r>
              <w:t>17.00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17.00</w:t>
            </w:r>
          </w:p>
        </w:tc>
        <w:tc>
          <w:tcPr>
            <w:tcW w:w="2551" w:type="dxa"/>
            <w:vAlign w:val="center"/>
          </w:tcPr>
          <w:p>
            <w:pPr>
              <w:pStyle w:val="11"/>
            </w:pPr>
            <w:r>
              <w:t>17.00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17.00</w:t>
            </w:r>
          </w:p>
        </w:tc>
        <w:tc>
          <w:tcPr>
            <w:tcW w:w="2551" w:type="dxa"/>
            <w:vAlign w:val="center"/>
          </w:tcPr>
          <w:p>
            <w:pPr>
              <w:pStyle w:val="11"/>
            </w:pPr>
            <w:r>
              <w:t>17.00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邯郸市公安局交通巡逻警察支队馆陶县大队本级2025年单位预算信息公开情况说明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按照《中华人民共和国预算法》、《地方预决算公开操作规程》和《关于进一步推进预算公开工作的实施意见》规定，现将邯郸市公安局交通巡逻警察支队馆陶县大队本级2025年单位预算公开如下：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（一）负责全县道路交通安全管理、交通秩序维护和道路交通事故处理。</w:t>
      </w:r>
    </w:p>
    <w:p>
      <w:pPr>
        <w:pStyle w:val="17"/>
      </w:pPr>
      <w:r>
        <w:t>（二）负责全县车辆和驾驶人的业务管理工作。</w:t>
      </w:r>
    </w:p>
    <w:p>
      <w:pPr>
        <w:pStyle w:val="17"/>
      </w:pPr>
      <w:r>
        <w:t>（三）负责城市交通安全设施的制作、安装和标线的施划工作。</w:t>
      </w:r>
    </w:p>
    <w:p>
      <w:pPr>
        <w:pStyle w:val="17"/>
      </w:pPr>
      <w:r>
        <w:t>（四）负责指挥协调全县道路交通安全管理和公路交通巡逻的工作。</w:t>
      </w:r>
    </w:p>
    <w:p>
      <w:pPr>
        <w:pStyle w:val="17"/>
      </w:pPr>
      <w:r>
        <w:t>（五）负责全县“网格化”巡逻防控工作的整体谋划、协调推进、业务指导和考评考核。</w:t>
      </w:r>
    </w:p>
    <w:p>
      <w:pPr>
        <w:pStyle w:val="17"/>
      </w:pPr>
      <w:r>
        <w:t>（六）负责开展对城乡居民进行安全防范宣传和道路交通安全教育。</w:t>
      </w:r>
    </w:p>
    <w:p>
      <w:pPr>
        <w:pStyle w:val="17"/>
      </w:pPr>
      <w:r>
        <w:t>（七）负责交巡警队伍的教育和管理。</w:t>
      </w:r>
    </w:p>
    <w:p>
      <w:pPr>
        <w:pStyle w:val="17"/>
      </w:pPr>
      <w:r>
        <w:t>（八）负责全县大型群众性活动的安全监管工作。</w:t>
      </w:r>
    </w:p>
    <w:p>
      <w:pPr>
        <w:pStyle w:val="17"/>
      </w:pPr>
      <w:r>
        <w:t>（九）负责县主城区“网格化”巡区的值守，包括巡区范围内交通安全管理、治安防范、警情先期处置、接受群众报警求助、参与处置突发紧急事件和抢险救援、管辖案件的办理。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邯郸市公安局交通巡逻警察支队馆陶县大队本级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80.00万元，其中：一般公共预算收入80.00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邯郸市公安局交通巡逻警察支队馆陶县大队本级年度单位预算中支出预算的总体情况。2025年支出预算80.00万元，其中基本支出17.00万元，包括人员经费17.00万元和日常公用经费0.00万元；项目支出63.00万元，主要为冀财政法【2024】50号关于提前下达2025年中央政法纪检监察转移支付资金41万元，冀财政法【2024】52号关于提前下达2025年省级基层公检法司转移支付资金18万元，冀财政法【2024】50号关于提前下达2025年中央政法纪检监察转移支付资金4万元</w:t>
      </w:r>
    </w:p>
    <w:p>
      <w:pPr>
        <w:pStyle w:val="18"/>
      </w:pPr>
      <w:r>
        <w:t>3、比上年增减情况</w:t>
      </w:r>
    </w:p>
    <w:p>
      <w:pPr>
        <w:pStyle w:val="18"/>
        <w:rPr>
          <w:rFonts w:hint="eastAsia" w:eastAsia="方正仿宋_GBK"/>
          <w:lang w:eastAsia="zh-CN"/>
        </w:rPr>
      </w:pPr>
      <w:r>
        <w:t>2025年预算收支安排80.00万元，较2024年预算增加16.00万元，其中：基本支出增加0.00万元，项目支出增加16.00万元，主要为增加关于提前下达省级基层公检法司转移支付资金</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无增减变化</w:t>
      </w:r>
      <w:r>
        <w:rPr>
          <w:rFonts w:hint="eastAsia"/>
          <w:lang w:eastAsia="zh-CN"/>
        </w:rPr>
        <w:t>。</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1、冀财政法[2024]50号 关于提前下达2025年中央政法纪检监察转移支付资金的通知绩效目标表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13043325P000023100168</w:t>
            </w:r>
          </w:p>
        </w:tc>
        <w:tc>
          <w:tcPr>
            <w:tcW w:w="2835" w:type="dxa"/>
            <w:vAlign w:val="center"/>
          </w:tcPr>
          <w:p>
            <w:pPr>
              <w:pStyle w:val="10"/>
            </w:pPr>
            <w:r>
              <w:t>项目名称</w:t>
            </w:r>
          </w:p>
        </w:tc>
        <w:tc>
          <w:tcPr>
            <w:tcW w:w="6095" w:type="dxa"/>
            <w:gridSpan w:val="3"/>
            <w:vAlign w:val="center"/>
          </w:tcPr>
          <w:p>
            <w:pPr>
              <w:pStyle w:val="12"/>
            </w:pPr>
            <w:r>
              <w:t>冀财政法[2024]50号 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该资金主要用于案件的司法救助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1.保障公安司法救助业务顺利开展，提高基层政法机关办案经费保障水平。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司法救助案件数</w:t>
            </w:r>
          </w:p>
        </w:tc>
        <w:tc>
          <w:tcPr>
            <w:tcW w:w="5386" w:type="dxa"/>
            <w:vAlign w:val="center"/>
          </w:tcPr>
          <w:p>
            <w:pPr>
              <w:pStyle w:val="12"/>
            </w:pPr>
            <w:r>
              <w:t>办理交通事故案件业务需要法律援助的案件数</w:t>
            </w:r>
          </w:p>
        </w:tc>
        <w:tc>
          <w:tcPr>
            <w:tcW w:w="2268" w:type="dxa"/>
            <w:vAlign w:val="center"/>
          </w:tcPr>
          <w:p>
            <w:pPr>
              <w:pStyle w:val="12"/>
            </w:pPr>
            <w:r>
              <w:t>≥5次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法律援助办结率</w:t>
            </w:r>
          </w:p>
        </w:tc>
        <w:tc>
          <w:tcPr>
            <w:tcW w:w="5386" w:type="dxa"/>
            <w:vAlign w:val="center"/>
          </w:tcPr>
          <w:p>
            <w:pPr>
              <w:pStyle w:val="12"/>
            </w:pPr>
            <w:r>
              <w:t>实际办结法律援助案件数量占应办结案件数量的比率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及时响应</w:t>
            </w:r>
          </w:p>
        </w:tc>
        <w:tc>
          <w:tcPr>
            <w:tcW w:w="5386" w:type="dxa"/>
            <w:vAlign w:val="center"/>
          </w:tcPr>
          <w:p>
            <w:pPr>
              <w:pStyle w:val="12"/>
            </w:pPr>
            <w:r>
              <w:t>根据工作计划规定及时提供法律援助</w:t>
            </w:r>
          </w:p>
        </w:tc>
        <w:tc>
          <w:tcPr>
            <w:tcW w:w="2268" w:type="dxa"/>
            <w:vAlign w:val="center"/>
          </w:tcPr>
          <w:p>
            <w:pPr>
              <w:pStyle w:val="12"/>
            </w:pPr>
            <w:r>
              <w:t>≤2天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司法救助总成本</w:t>
            </w:r>
          </w:p>
        </w:tc>
        <w:tc>
          <w:tcPr>
            <w:tcW w:w="5386" w:type="dxa"/>
            <w:vAlign w:val="center"/>
          </w:tcPr>
          <w:p>
            <w:pPr>
              <w:pStyle w:val="12"/>
            </w:pPr>
            <w:r>
              <w:t>办理交通事故类需求司法救助案件的总成本</w:t>
            </w:r>
          </w:p>
        </w:tc>
        <w:tc>
          <w:tcPr>
            <w:tcW w:w="2268" w:type="dxa"/>
            <w:vAlign w:val="center"/>
          </w:tcPr>
          <w:p>
            <w:pPr>
              <w:pStyle w:val="12"/>
            </w:pPr>
            <w:r>
              <w:t>4万</w:t>
            </w:r>
          </w:p>
        </w:tc>
        <w:tc>
          <w:tcPr>
            <w:tcW w:w="1276" w:type="dxa"/>
            <w:vAlign w:val="center"/>
          </w:tcPr>
          <w:p>
            <w:pPr>
              <w:pStyle w:val="12"/>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社会矛盾化解率</w:t>
            </w:r>
          </w:p>
        </w:tc>
        <w:tc>
          <w:tcPr>
            <w:tcW w:w="5386" w:type="dxa"/>
            <w:vAlign w:val="center"/>
          </w:tcPr>
          <w:p>
            <w:pPr>
              <w:pStyle w:val="12"/>
            </w:pPr>
            <w:r>
              <w:t>化解交通事故案件矛盾，维护社会公平正义</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为人民群众提供不有效的公共法律服务水平</w:t>
            </w:r>
          </w:p>
        </w:tc>
        <w:tc>
          <w:tcPr>
            <w:tcW w:w="5386" w:type="dxa"/>
            <w:vAlign w:val="center"/>
          </w:tcPr>
          <w:p>
            <w:pPr>
              <w:pStyle w:val="12"/>
            </w:pPr>
            <w:r>
              <w:t>交通事故案件中为人民群众提供有效的法律服务，挽回经济损失</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通过抽查问卷的方式，调查部分群众对交通事故处理的满意度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2、冀财政法【2024】50号关于提前下达2025年中央政法纪检监察转移支付资金的通知绩效目标表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13043325P00002310010J</w:t>
            </w:r>
          </w:p>
        </w:tc>
        <w:tc>
          <w:tcPr>
            <w:tcW w:w="2835" w:type="dxa"/>
            <w:vAlign w:val="center"/>
          </w:tcPr>
          <w:p>
            <w:pPr>
              <w:pStyle w:val="10"/>
            </w:pPr>
            <w:r>
              <w:t>项目名称</w:t>
            </w:r>
          </w:p>
        </w:tc>
        <w:tc>
          <w:tcPr>
            <w:tcW w:w="6095" w:type="dxa"/>
            <w:gridSpan w:val="3"/>
            <w:vAlign w:val="center"/>
          </w:tcPr>
          <w:p>
            <w:pPr>
              <w:pStyle w:val="12"/>
            </w:pPr>
            <w:r>
              <w:t>冀财政法【2024】50号关于提前下达2025年中央政法纪检监察转移支付资金的通知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41.00</w:t>
            </w:r>
          </w:p>
        </w:tc>
        <w:tc>
          <w:tcPr>
            <w:tcW w:w="2835" w:type="dxa"/>
            <w:vAlign w:val="center"/>
          </w:tcPr>
          <w:p>
            <w:pPr>
              <w:pStyle w:val="10"/>
            </w:pPr>
            <w:r>
              <w:t>其中：财政    资金</w:t>
            </w:r>
          </w:p>
        </w:tc>
        <w:tc>
          <w:tcPr>
            <w:tcW w:w="2551" w:type="dxa"/>
            <w:vAlign w:val="center"/>
          </w:tcPr>
          <w:p>
            <w:pPr>
              <w:pStyle w:val="12"/>
            </w:pPr>
            <w:r>
              <w:t>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该经费主要用于执法办案业务检测鉴定、装备、司法救助。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1.开展执法办案业务检测费、事故鉴定、酒精检测、司法救助等工作，保障公安业务的顺利开展，提高基层政法机关办案和经费保障水平。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执法办案检测次数</w:t>
            </w:r>
          </w:p>
        </w:tc>
        <w:tc>
          <w:tcPr>
            <w:tcW w:w="5386" w:type="dxa"/>
            <w:vAlign w:val="center"/>
          </w:tcPr>
          <w:p>
            <w:pPr>
              <w:pStyle w:val="12"/>
            </w:pPr>
            <w:r>
              <w:t>执法办案业务检测费、事故鉴定、酒精检测等</w:t>
            </w:r>
          </w:p>
        </w:tc>
        <w:tc>
          <w:tcPr>
            <w:tcW w:w="2268" w:type="dxa"/>
            <w:vAlign w:val="center"/>
          </w:tcPr>
          <w:p>
            <w:pPr>
              <w:pStyle w:val="12"/>
            </w:pPr>
            <w:r>
              <w:t>≥200次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巡逻警力覆盖率</w:t>
            </w:r>
          </w:p>
        </w:tc>
        <w:tc>
          <w:tcPr>
            <w:tcW w:w="5386" w:type="dxa"/>
            <w:vAlign w:val="center"/>
          </w:tcPr>
          <w:p>
            <w:pPr>
              <w:pStyle w:val="12"/>
            </w:pPr>
            <w:r>
              <w:t>巡逻警力在全县区域内各主要路口、路段分布覆盖的比率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及时处置交通事故</w:t>
            </w:r>
          </w:p>
        </w:tc>
        <w:tc>
          <w:tcPr>
            <w:tcW w:w="5386" w:type="dxa"/>
            <w:vAlign w:val="center"/>
          </w:tcPr>
          <w:p>
            <w:pPr>
              <w:pStyle w:val="12"/>
            </w:pPr>
            <w:r>
              <w:t>及时调度、指挥相关单位处置交通事故的时间</w:t>
            </w:r>
          </w:p>
        </w:tc>
        <w:tc>
          <w:tcPr>
            <w:tcW w:w="2268" w:type="dxa"/>
            <w:vAlign w:val="center"/>
          </w:tcPr>
          <w:p>
            <w:pPr>
              <w:pStyle w:val="12"/>
            </w:pPr>
            <w:r>
              <w:t>≤2小时</w:t>
            </w:r>
          </w:p>
        </w:tc>
        <w:tc>
          <w:tcPr>
            <w:tcW w:w="1276" w:type="dxa"/>
            <w:vAlign w:val="center"/>
          </w:tcPr>
          <w:p>
            <w:pPr>
              <w:pStyle w:val="12"/>
            </w:pPr>
            <w:r>
              <w:t>交通安全法实施条例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执法办案总成本</w:t>
            </w:r>
          </w:p>
        </w:tc>
        <w:tc>
          <w:tcPr>
            <w:tcW w:w="5386" w:type="dxa"/>
            <w:vAlign w:val="center"/>
          </w:tcPr>
          <w:p>
            <w:pPr>
              <w:pStyle w:val="12"/>
            </w:pPr>
            <w:r>
              <w:t>办理交通事故类、司法救助类等案件成本</w:t>
            </w:r>
          </w:p>
        </w:tc>
        <w:tc>
          <w:tcPr>
            <w:tcW w:w="2268" w:type="dxa"/>
            <w:vAlign w:val="center"/>
          </w:tcPr>
          <w:p>
            <w:pPr>
              <w:pStyle w:val="12"/>
            </w:pPr>
            <w:r>
              <w:t>45万元</w:t>
            </w:r>
          </w:p>
        </w:tc>
        <w:tc>
          <w:tcPr>
            <w:tcW w:w="1276" w:type="dxa"/>
            <w:vAlign w:val="center"/>
          </w:tcPr>
          <w:p>
            <w:pPr>
              <w:pStyle w:val="12"/>
            </w:pPr>
            <w:r>
              <w:t>冀财政法【2024】50号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降低交通事故率</w:t>
            </w:r>
          </w:p>
        </w:tc>
        <w:tc>
          <w:tcPr>
            <w:tcW w:w="5386" w:type="dxa"/>
            <w:vAlign w:val="center"/>
          </w:tcPr>
          <w:p>
            <w:pPr>
              <w:pStyle w:val="12"/>
            </w:pPr>
            <w:r>
              <w:t>全县交通事故财产损失比上年同期下降的比率</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降低交通经济安全事故</w:t>
            </w:r>
          </w:p>
        </w:tc>
        <w:tc>
          <w:tcPr>
            <w:tcW w:w="5386" w:type="dxa"/>
            <w:vAlign w:val="center"/>
          </w:tcPr>
          <w:p>
            <w:pPr>
              <w:pStyle w:val="12"/>
            </w:pPr>
            <w:r>
              <w:t>降低交通经济安全事故，提高基层政法机关办案和经费保障水平</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通过抽查问卷的方式，调查部分群众对交通事故处理的满意度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3、冀财政法【2024】52号关于提前下达2025年省级基层公检法司转移支付资金的通知绩效目标表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13043325P000026100098</w:t>
            </w:r>
          </w:p>
        </w:tc>
        <w:tc>
          <w:tcPr>
            <w:tcW w:w="2835" w:type="dxa"/>
            <w:vAlign w:val="center"/>
          </w:tcPr>
          <w:p>
            <w:pPr>
              <w:pStyle w:val="10"/>
            </w:pPr>
            <w:r>
              <w:t>项目名称</w:t>
            </w:r>
          </w:p>
        </w:tc>
        <w:tc>
          <w:tcPr>
            <w:tcW w:w="6095" w:type="dxa"/>
            <w:gridSpan w:val="3"/>
            <w:vAlign w:val="center"/>
          </w:tcPr>
          <w:p>
            <w:pPr>
              <w:pStyle w:val="12"/>
            </w:pPr>
            <w:r>
              <w:t>冀财政法【2024】52号关于提前下达2025年省级基层公检法司转移支付资金的通知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该资金主要用于执法办案业务检验鉴定费及装备工作。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1.开展执法办案业务检测费、事故鉴定、酒精检测等工作，保障公安业务的顺利开展，提高基层政法机关办案和经费保障水平。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执法办案检测次数</w:t>
            </w:r>
          </w:p>
        </w:tc>
        <w:tc>
          <w:tcPr>
            <w:tcW w:w="5386" w:type="dxa"/>
            <w:vAlign w:val="center"/>
          </w:tcPr>
          <w:p>
            <w:pPr>
              <w:pStyle w:val="12"/>
            </w:pPr>
            <w:r>
              <w:t>执法办案业务检测费、事故鉴定、酒精检测等</w:t>
            </w:r>
          </w:p>
        </w:tc>
        <w:tc>
          <w:tcPr>
            <w:tcW w:w="2268" w:type="dxa"/>
            <w:vAlign w:val="center"/>
          </w:tcPr>
          <w:p>
            <w:pPr>
              <w:pStyle w:val="12"/>
            </w:pPr>
            <w:r>
              <w:t>≥100次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巡逻警力覆盖率</w:t>
            </w:r>
          </w:p>
        </w:tc>
        <w:tc>
          <w:tcPr>
            <w:tcW w:w="5386" w:type="dxa"/>
            <w:vAlign w:val="center"/>
          </w:tcPr>
          <w:p>
            <w:pPr>
              <w:pStyle w:val="12"/>
            </w:pPr>
            <w:r>
              <w:t>巡逻警力在全县区域内各主要路口、路段分布覆盖的比率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及时处置交通事故</w:t>
            </w:r>
          </w:p>
        </w:tc>
        <w:tc>
          <w:tcPr>
            <w:tcW w:w="5386" w:type="dxa"/>
            <w:vAlign w:val="center"/>
          </w:tcPr>
          <w:p>
            <w:pPr>
              <w:pStyle w:val="12"/>
            </w:pPr>
            <w:r>
              <w:t>及时调度、指挥相关单位处置交通事故的时间</w:t>
            </w:r>
          </w:p>
        </w:tc>
        <w:tc>
          <w:tcPr>
            <w:tcW w:w="2268" w:type="dxa"/>
            <w:vAlign w:val="center"/>
          </w:tcPr>
          <w:p>
            <w:pPr>
              <w:pStyle w:val="12"/>
            </w:pPr>
            <w:r>
              <w:t>≤2小时</w:t>
            </w:r>
          </w:p>
        </w:tc>
        <w:tc>
          <w:tcPr>
            <w:tcW w:w="1276" w:type="dxa"/>
            <w:vAlign w:val="center"/>
          </w:tcPr>
          <w:p>
            <w:pPr>
              <w:pStyle w:val="12"/>
            </w:pPr>
            <w:r>
              <w:t>交通安全法实施条例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执法办案总成本</w:t>
            </w:r>
          </w:p>
        </w:tc>
        <w:tc>
          <w:tcPr>
            <w:tcW w:w="5386" w:type="dxa"/>
            <w:vAlign w:val="center"/>
          </w:tcPr>
          <w:p>
            <w:pPr>
              <w:pStyle w:val="12"/>
            </w:pPr>
            <w:r>
              <w:t>办理交通事故类等案件成本</w:t>
            </w:r>
          </w:p>
        </w:tc>
        <w:tc>
          <w:tcPr>
            <w:tcW w:w="2268" w:type="dxa"/>
            <w:vAlign w:val="center"/>
          </w:tcPr>
          <w:p>
            <w:pPr>
              <w:pStyle w:val="12"/>
            </w:pPr>
            <w:r>
              <w:t>18万元</w:t>
            </w:r>
          </w:p>
        </w:tc>
        <w:tc>
          <w:tcPr>
            <w:tcW w:w="1276" w:type="dxa"/>
            <w:vAlign w:val="center"/>
          </w:tcPr>
          <w:p>
            <w:pPr>
              <w:pStyle w:val="12"/>
            </w:pPr>
            <w:r>
              <w:t>冀财政法【2024】52号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降低交通事故率</w:t>
            </w:r>
          </w:p>
        </w:tc>
        <w:tc>
          <w:tcPr>
            <w:tcW w:w="5386" w:type="dxa"/>
            <w:vAlign w:val="center"/>
          </w:tcPr>
          <w:p>
            <w:pPr>
              <w:pStyle w:val="12"/>
            </w:pPr>
            <w:r>
              <w:t>全县交通事故财产损失比上年同期下降的比率</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降低交通经济安全事故</w:t>
            </w:r>
          </w:p>
        </w:tc>
        <w:tc>
          <w:tcPr>
            <w:tcW w:w="5386" w:type="dxa"/>
            <w:vAlign w:val="center"/>
          </w:tcPr>
          <w:p>
            <w:pPr>
              <w:pStyle w:val="12"/>
            </w:pPr>
            <w:r>
              <w:t>降低交通经济安全事故，提高基层政法机关办案和经费保障水平</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通过抽查问卷的方式，调查部分群众对交通事故处理的满意度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邯郸市公安局交通巡逻警察支队馆陶县大队本级上年末固定资产金额为0.00万元（详见下表）。本年度拟购置固定资产总额为0.00万元，已按要求列入政府采购预算，详见政府采购预算表。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452001邯郸市公安局交通巡逻警察支队馆陶县大队本级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EB739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1</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2025-03-03T17:17:00Z</dcterms:created>
  <dc:creator>Administrator</dc:creator>
  <cp:lastModifiedBy>Administrator</cp:lastModifiedBy>
  <dcterms:modified xsi:type="dcterms:W3CDTF">2025-03-04T01:38:13Z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