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邯郸市公安局交通巡逻警察支队</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馆</w:t>
      </w:r>
      <w:bookmarkStart w:id="3" w:name="_GoBack"/>
      <w:bookmarkEnd w:id="3"/>
      <w:r>
        <w:rPr>
          <w:rFonts w:hint="eastAsia" w:ascii="黑体" w:hAnsi="黑体" w:eastAsia="黑体" w:cs="黑体"/>
          <w:sz w:val="44"/>
          <w:szCs w:val="44"/>
        </w:rPr>
        <w:t>陶县</w:t>
      </w:r>
      <w:r>
        <w:rPr>
          <w:rFonts w:hint="eastAsia" w:ascii="黑体" w:hAnsi="黑体" w:eastAsia="黑体" w:cs="黑体"/>
          <w:sz w:val="44"/>
          <w:szCs w:val="44"/>
          <w:lang w:val="en-US" w:eastAsia="zh-CN"/>
        </w:rPr>
        <w:t>大队</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lang w:val="en-US" w:eastAsia="zh-CN"/>
        </w:rPr>
        <w:t>1</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val="en-US" w:eastAsia="zh-CN"/>
        </w:rPr>
        <w:t>邯郸市公安局交通巡逻警察支队馆陶县大队</w:t>
      </w:r>
      <w:r>
        <w:rPr>
          <w:rFonts w:hint="eastAsia" w:ascii="仿宋" w:hAnsi="仿宋" w:eastAsia="仿宋" w:cs="仿宋"/>
          <w:sz w:val="32"/>
          <w:szCs w:val="32"/>
        </w:rPr>
        <w:t>单位</w:t>
      </w:r>
      <w:r>
        <w:rPr>
          <w:rFonts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numPr>
          <w:ilvl w:val="0"/>
          <w:numId w:val="1"/>
        </w:numPr>
        <w:ind w:firstLine="627" w:firstLineChars="196"/>
        <w:rPr>
          <w:rFonts w:hint="eastAsia"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负责全县道路交通安全管理、交通秩序维护和道路交通事故处理。</w:t>
      </w:r>
    </w:p>
    <w:p>
      <w:pPr>
        <w:numPr>
          <w:ilvl w:val="0"/>
          <w:numId w:val="1"/>
        </w:numPr>
        <w:ind w:firstLine="627" w:firstLineChars="196"/>
        <w:rPr>
          <w:rFonts w:hint="default"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负责全县车辆和驾驶人的业务管理工作。</w:t>
      </w:r>
    </w:p>
    <w:p>
      <w:pPr>
        <w:numPr>
          <w:ilvl w:val="0"/>
          <w:numId w:val="1"/>
        </w:numPr>
        <w:ind w:firstLine="627" w:firstLineChars="196"/>
        <w:rPr>
          <w:rFonts w:hint="default"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负责城市交通安全设施的制作、安装和标线的施划工作。</w:t>
      </w:r>
    </w:p>
    <w:p>
      <w:pPr>
        <w:numPr>
          <w:ilvl w:val="0"/>
          <w:numId w:val="1"/>
        </w:numPr>
        <w:ind w:firstLine="627" w:firstLineChars="196"/>
        <w:rPr>
          <w:rFonts w:hint="default"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负责指挥协调全县道路交通安全管理和公路交通巡逻的工作。</w:t>
      </w:r>
    </w:p>
    <w:p>
      <w:pPr>
        <w:numPr>
          <w:ilvl w:val="0"/>
          <w:numId w:val="1"/>
        </w:numPr>
        <w:ind w:firstLine="627" w:firstLineChars="196"/>
        <w:rPr>
          <w:rFonts w:hint="default"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负责全县“网格化”巡逻防控工作的整体谋划、协调推进、业务指导和考评考核。</w:t>
      </w:r>
    </w:p>
    <w:p>
      <w:pPr>
        <w:numPr>
          <w:ilvl w:val="0"/>
          <w:numId w:val="1"/>
        </w:numPr>
        <w:ind w:firstLine="627" w:firstLineChars="196"/>
        <w:rPr>
          <w:rFonts w:hint="default"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负责开展对城乡居民进行安全防范宣传和道路交通安全教育。</w:t>
      </w:r>
    </w:p>
    <w:p>
      <w:pPr>
        <w:numPr>
          <w:ilvl w:val="0"/>
          <w:numId w:val="1"/>
        </w:numPr>
        <w:ind w:firstLine="627" w:firstLineChars="196"/>
        <w:rPr>
          <w:rFonts w:hint="default"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负责交巡警队伍的教育和管理。</w:t>
      </w:r>
    </w:p>
    <w:p>
      <w:pPr>
        <w:numPr>
          <w:ilvl w:val="0"/>
          <w:numId w:val="1"/>
        </w:numPr>
        <w:ind w:firstLine="627" w:firstLineChars="196"/>
        <w:rPr>
          <w:rFonts w:hint="default"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负责全县大型群众性活动的安全监管工作。</w:t>
      </w:r>
    </w:p>
    <w:p>
      <w:pPr>
        <w:numPr>
          <w:ilvl w:val="0"/>
          <w:numId w:val="1"/>
        </w:numPr>
        <w:ind w:firstLine="627" w:firstLineChars="196"/>
        <w:rPr>
          <w:rFonts w:hint="default"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负责县主城区“网格化”巡区的值守，包括巡区范围内交通安全管理、治安防范、警情先期处置、接受群众报警求助、参与处置突发紧急事件和抢险救援、管辖案件的办理。</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ind w:firstLine="630" w:firstLineChars="196"/>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我大队内部机构17个，政办室、车管所、安监中队、违法处理室、财务股、指挥中心、事故股、宣传股、西苏中队、东苏中队、城区中队、魏增寨中队、王桥中队、寿山寺中队、柴堡中队、治超中队、女子中队。</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8"/>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hint="default" w:ascii="Times New Roman" w:hAnsi="Times New Roman" w:eastAsia="方正书宋_GBK"/>
                <w:lang w:val="en-US" w:eastAsia="zh-CN"/>
              </w:rPr>
            </w:pPr>
            <w:r>
              <w:rPr>
                <w:rFonts w:hint="eastAsia" w:ascii="Times New Roman" w:hAnsi="Times New Roman" w:eastAsia="方正书宋_GBK"/>
                <w:lang w:val="en-US" w:eastAsia="zh-CN"/>
              </w:rPr>
              <w:t>邯郸市公安局交通巡逻警察支队馆陶县大队</w:t>
            </w:r>
          </w:p>
        </w:tc>
        <w:tc>
          <w:tcPr>
            <w:tcW w:w="1134" w:type="dxa"/>
            <w:vAlign w:val="center"/>
          </w:tcPr>
          <w:p>
            <w:pPr>
              <w:spacing w:line="300" w:lineRule="exact"/>
              <w:rPr>
                <w:rFonts w:hint="eastAsia" w:ascii="Times New Roman" w:hAnsi="Times New Roman" w:eastAsia="方正书宋_GBK"/>
                <w:lang w:val="en-US" w:eastAsia="zh-CN"/>
              </w:rPr>
            </w:pPr>
            <w:r>
              <w:rPr>
                <w:rFonts w:hint="eastAsia" w:ascii="Times New Roman" w:hAnsi="Times New Roman" w:eastAsia="方正书宋_GBK"/>
                <w:lang w:val="en-US" w:eastAsia="zh-CN"/>
              </w:rPr>
              <w:t>行政</w:t>
            </w: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jc w:val="center"/>
              <w:rPr>
                <w:rFonts w:hint="eastAsia" w:ascii="Times New Roman" w:hAnsi="Times New Roman" w:eastAsia="方正书宋_GBK"/>
                <w:lang w:val="en-US" w:eastAsia="zh-CN"/>
              </w:rPr>
            </w:pPr>
            <w:r>
              <w:rPr>
                <w:rFonts w:hint="eastAsia" w:ascii="Times New Roman" w:hAnsi="Times New Roman" w:eastAsia="方正书宋_GBK"/>
                <w:lang w:val="en-US" w:eastAsia="zh-CN"/>
              </w:rPr>
              <w:t>支队拨款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邯郸市公安局交通巡逻警察支队馆陶县大队的收支包含在部门预算中。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21</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388</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388</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hint="default" w:ascii="Times New Roman" w:hAnsi="Times New Roman" w:eastAsia="仿宋"/>
          <w:sz w:val="32"/>
          <w:szCs w:val="32"/>
          <w:lang w:val="en-US" w:eastAsia="zh-CN"/>
        </w:rPr>
      </w:pPr>
      <w:r>
        <w:rPr>
          <w:rFonts w:hint="eastAsia" w:ascii="Times New Roman" w:hAnsi="Times New Roman" w:eastAsia="仿宋" w:cs="仿宋"/>
          <w:sz w:val="32"/>
          <w:szCs w:val="32"/>
        </w:rPr>
        <w:t>收支预算总表支出栏、基本支出表、项目支出表按经济分类和支出功能分类科目编制，反映邯郸市公安局交通巡逻警察支队馆陶县大队单位年度部门预算中支出预算的总体情况。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388</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220</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220</w:t>
      </w:r>
      <w:r>
        <w:rPr>
          <w:rFonts w:hint="eastAsia" w:ascii="Times New Roman" w:hAnsi="Times New Roman" w:eastAsia="仿宋" w:cs="仿宋"/>
          <w:sz w:val="32"/>
          <w:szCs w:val="32"/>
        </w:rPr>
        <w:t>万元；项目支出</w:t>
      </w:r>
      <w:r>
        <w:rPr>
          <w:rFonts w:hint="eastAsia" w:ascii="Times New Roman" w:hAnsi="Times New Roman" w:eastAsia="仿宋" w:cs="仿宋"/>
          <w:sz w:val="32"/>
          <w:szCs w:val="32"/>
          <w:lang w:val="en-US" w:eastAsia="zh-CN"/>
        </w:rPr>
        <w:t>168</w:t>
      </w:r>
      <w:r>
        <w:rPr>
          <w:rFonts w:hint="eastAsia" w:ascii="Times New Roman" w:hAnsi="Times New Roman" w:eastAsia="仿宋" w:cs="仿宋"/>
          <w:sz w:val="32"/>
          <w:szCs w:val="32"/>
        </w:rPr>
        <w:t>万元，主要为</w:t>
      </w:r>
      <w:r>
        <w:rPr>
          <w:rFonts w:hint="eastAsia" w:ascii="Times New Roman" w:hAnsi="Times New Roman" w:eastAsia="仿宋" w:cs="仿宋"/>
          <w:sz w:val="32"/>
          <w:szCs w:val="32"/>
          <w:lang w:val="en-US" w:eastAsia="zh-CN"/>
        </w:rPr>
        <w:t>道路标志标线68万</w:t>
      </w:r>
      <w:r>
        <w:rPr>
          <w:rFonts w:hint="eastAsia" w:ascii="Times New Roman" w:hAnsi="Times New Roman" w:eastAsia="仿宋" w:cs="仿宋"/>
          <w:sz w:val="32"/>
          <w:szCs w:val="32"/>
        </w:rPr>
        <w:t>元，</w:t>
      </w:r>
      <w:r>
        <w:rPr>
          <w:rFonts w:hint="eastAsia" w:ascii="Times New Roman" w:hAnsi="Times New Roman" w:eastAsia="仿宋" w:cs="仿宋"/>
          <w:sz w:val="32"/>
          <w:szCs w:val="32"/>
          <w:lang w:val="en-US" w:eastAsia="zh-CN"/>
        </w:rPr>
        <w:t>提前下达2021年中央政法纪检监察转移支付资金45万</w:t>
      </w:r>
      <w:r>
        <w:rPr>
          <w:rFonts w:hint="eastAsia" w:ascii="Times New Roman" w:hAnsi="Times New Roman" w:eastAsia="仿宋" w:cs="仿宋"/>
          <w:sz w:val="32"/>
          <w:szCs w:val="32"/>
        </w:rPr>
        <w:t>元</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提前下达基层公检法司转移支付省级配套资金55万元。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autoSpaceDE w:val="0"/>
        <w:autoSpaceDN w:val="0"/>
        <w:adjustRightInd w:val="0"/>
        <w:ind w:firstLine="960" w:firstLineChars="300"/>
        <w:jc w:val="left"/>
        <w:rPr>
          <w:rFonts w:hint="eastAsia" w:ascii="Times New Roman" w:hAnsi="Times New Roman" w:eastAsia="仿宋" w:cs="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lang w:val="en-US" w:eastAsia="zh-CN"/>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388</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年增加</w:t>
      </w:r>
      <w:r>
        <w:rPr>
          <w:rFonts w:hint="eastAsia" w:ascii="Times New Roman" w:hAnsi="Times New Roman" w:eastAsia="仿宋" w:cs="仿宋"/>
          <w:sz w:val="32"/>
          <w:szCs w:val="32"/>
          <w:lang w:val="en-US" w:eastAsia="zh-CN"/>
        </w:rPr>
        <w:t>51</w:t>
      </w:r>
      <w:r>
        <w:rPr>
          <w:rFonts w:hint="eastAsia" w:ascii="Times New Roman" w:hAnsi="Times New Roman" w:eastAsia="仿宋" w:cs="仿宋"/>
          <w:sz w:val="32"/>
          <w:szCs w:val="32"/>
        </w:rPr>
        <w:t>万元，其中：基本支出增长</w:t>
      </w:r>
      <w:r>
        <w:rPr>
          <w:rFonts w:hint="eastAsia" w:ascii="Times New Roman" w:hAnsi="Times New Roman" w:eastAsia="仿宋" w:cs="仿宋"/>
          <w:sz w:val="32"/>
          <w:szCs w:val="32"/>
          <w:lang w:val="en-US" w:eastAsia="zh-CN"/>
        </w:rPr>
        <w:t>51</w:t>
      </w:r>
      <w:r>
        <w:rPr>
          <w:rFonts w:hint="eastAsia" w:ascii="Times New Roman" w:hAnsi="Times New Roman" w:eastAsia="仿宋" w:cs="仿宋"/>
          <w:sz w:val="32"/>
          <w:szCs w:val="32"/>
        </w:rPr>
        <w:t>万元，主要是</w:t>
      </w:r>
      <w:r>
        <w:rPr>
          <w:rFonts w:hint="eastAsia" w:ascii="Times New Roman" w:hAnsi="Times New Roman" w:eastAsia="仿宋" w:cs="仿宋"/>
          <w:sz w:val="32"/>
          <w:szCs w:val="32"/>
          <w:lang w:val="en-US" w:eastAsia="zh-CN"/>
        </w:rPr>
        <w:t>提前下达基层公检法司转移支付省级配套资金</w:t>
      </w:r>
      <w:r>
        <w:rPr>
          <w:rFonts w:hint="eastAsia" w:ascii="Times New Roman" w:hAnsi="Times New Roman" w:eastAsia="仿宋" w:cs="仿宋"/>
          <w:sz w:val="32"/>
          <w:szCs w:val="32"/>
        </w:rPr>
        <w:t>；项目支出增</w:t>
      </w:r>
      <w:r>
        <w:rPr>
          <w:rFonts w:hint="eastAsia" w:ascii="Times New Roman" w:hAnsi="Times New Roman" w:eastAsia="仿宋" w:cs="仿宋"/>
          <w:sz w:val="32"/>
          <w:szCs w:val="32"/>
          <w:lang w:val="en-US" w:eastAsia="zh-CN"/>
        </w:rPr>
        <w:t>加51万元</w:t>
      </w:r>
      <w:r>
        <w:rPr>
          <w:rFonts w:hint="eastAsia" w:ascii="Times New Roman" w:hAnsi="Times New Roman" w:eastAsia="仿宋" w:cs="仿宋"/>
          <w:sz w:val="32"/>
          <w:szCs w:val="32"/>
        </w:rPr>
        <w:t>。</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cs="仿宋"/>
          <w:sz w:val="32"/>
          <w:szCs w:val="32"/>
          <w:highlight w:val="none"/>
          <w:lang w:eastAsia="zh-CN"/>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1</w:t>
      </w:r>
      <w:r>
        <w:rPr>
          <w:rFonts w:hint="eastAsia" w:ascii="Times New Roman" w:hAnsi="Times New Roman" w:eastAsia="仿宋" w:cs="仿宋"/>
          <w:sz w:val="32"/>
          <w:szCs w:val="32"/>
        </w:rPr>
        <w:t>年，我部门财政拨款“三公”经费预算</w:t>
      </w:r>
      <w:r>
        <w:rPr>
          <w:rFonts w:hint="eastAsia" w:ascii="Times New Roman" w:hAnsi="Times New Roman" w:eastAsia="仿宋" w:cs="仿宋"/>
          <w:sz w:val="32"/>
          <w:szCs w:val="32"/>
          <w:lang w:val="en-US" w:eastAsia="zh-CN"/>
        </w:rPr>
        <w:t>与</w:t>
      </w:r>
      <w:r>
        <w:rPr>
          <w:rFonts w:hint="eastAsia" w:ascii="Times New Roman" w:hAnsi="Times New Roman" w:eastAsia="仿宋" w:cs="仿宋"/>
          <w:sz w:val="32"/>
          <w:szCs w:val="32"/>
          <w:highlight w:val="none"/>
        </w:rPr>
        <w:t>上年持平，无增减变化</w:t>
      </w:r>
      <w:r>
        <w:rPr>
          <w:rFonts w:hint="eastAsia" w:ascii="Times New Roman" w:hAnsi="Times New Roman" w:eastAsia="仿宋" w:cs="仿宋"/>
          <w:sz w:val="32"/>
          <w:szCs w:val="32"/>
          <w:highlight w:val="none"/>
          <w:lang w:eastAsia="zh-CN"/>
        </w:rPr>
        <w:t>。</w:t>
      </w:r>
    </w:p>
    <w:p>
      <w:pPr>
        <w:autoSpaceDE w:val="0"/>
        <w:autoSpaceDN w:val="0"/>
        <w:adjustRightInd w:val="0"/>
        <w:ind w:left="198" w:firstLine="640" w:firstLineChars="200"/>
        <w:jc w:val="left"/>
        <w:rPr>
          <w:rFonts w:ascii="Times New Roman" w:hAnsi="Times New Roman" w:eastAsia="仿宋"/>
          <w:sz w:val="32"/>
          <w:szCs w:val="32"/>
          <w:highlight w:val="yellow"/>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hint="eastAsia" w:ascii="Times New Roman" w:hAnsi="Times New Roman" w:eastAsia="仿宋" w:cs="仿宋"/>
          <w:b/>
          <w:bCs/>
          <w:sz w:val="32"/>
          <w:szCs w:val="32"/>
        </w:rPr>
      </w:pPr>
      <w:r>
        <w:rPr>
          <w:rFonts w:hint="eastAsia" w:ascii="Times New Roman" w:hAnsi="Times New Roman" w:eastAsia="仿宋" w:cs="仿宋"/>
          <w:b/>
          <w:bCs/>
          <w:sz w:val="32"/>
          <w:szCs w:val="32"/>
        </w:rPr>
        <w:t>（一）总体绩效目标</w:t>
      </w:r>
    </w:p>
    <w:p>
      <w:pPr>
        <w:numPr>
          <w:ilvl w:val="0"/>
          <w:numId w:val="0"/>
        </w:numPr>
        <w:autoSpaceDE w:val="0"/>
        <w:autoSpaceDN w:val="0"/>
        <w:adjustRightInd w:val="0"/>
        <w:ind w:leftChars="200"/>
        <w:jc w:val="left"/>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以习近平新时代中国特色社会主义思想为统领，不忘初心、牢记使命，忠诚担当、主动作为，深入贯彻落实上级的决策部署，牢牢把握“安全、有序、畅通”的总体工作目标，认真履行工作职责。严格依法行使职权，强化法制建设，狠抓教育训练，严管警辅队伍；认真做好县城交通秩序管理，保障道路警卫任务安全，确保道路安全畅通；加大交通安全宣传力度，有效提升交通事故预防及处置能力。维护县城良好的交通秩序，提高道路通行能力，提升道路交通秩序管理水平。</w:t>
      </w:r>
    </w:p>
    <w:p>
      <w:pPr>
        <w:numPr>
          <w:ilvl w:val="0"/>
          <w:numId w:val="0"/>
        </w:numPr>
        <w:autoSpaceDE w:val="0"/>
        <w:autoSpaceDN w:val="0"/>
        <w:adjustRightInd w:val="0"/>
        <w:ind w:leftChars="200"/>
        <w:jc w:val="left"/>
        <w:rPr>
          <w:rFonts w:ascii="Times New Roman" w:hAnsi="Times New Roman" w:eastAsia="仿宋"/>
          <w:b/>
          <w:bCs/>
          <w:sz w:val="32"/>
          <w:szCs w:val="32"/>
        </w:rPr>
      </w:pPr>
      <w:r>
        <w:rPr>
          <w:rFonts w:hint="eastAsia" w:ascii="Times New Roman" w:hAnsi="Times New Roman" w:eastAsia="仿宋"/>
          <w:b/>
          <w:bCs/>
          <w:sz w:val="32"/>
          <w:szCs w:val="32"/>
          <w:lang w:val="en-US" w:eastAsia="zh-CN"/>
        </w:rPr>
        <w:t>（二）</w:t>
      </w:r>
      <w:r>
        <w:rPr>
          <w:rFonts w:hint="eastAsia" w:ascii="Times New Roman" w:hAnsi="Times New Roman" w:eastAsia="仿宋" w:cs="仿宋"/>
          <w:b/>
          <w:bCs/>
          <w:sz w:val="32"/>
          <w:szCs w:val="32"/>
        </w:rPr>
        <w:t>分项绩效目标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left="0" w:right="0" w:firstLine="420"/>
        <w:jc w:val="left"/>
        <w:rPr>
          <w:rFonts w:hint="eastAsia" w:ascii="Times New Roman" w:hAnsi="Times New Roman" w:eastAsia="仿宋" w:cs="Calibri"/>
          <w:kern w:val="2"/>
          <w:sz w:val="32"/>
          <w:szCs w:val="32"/>
          <w:lang w:val="en-US" w:eastAsia="zh-CN" w:bidi="ar-SA"/>
        </w:rPr>
      </w:pPr>
      <w:r>
        <w:rPr>
          <w:rFonts w:hint="eastAsia" w:ascii="Times New Roman" w:hAnsi="Times New Roman" w:eastAsia="仿宋" w:cs="Calibri"/>
          <w:kern w:val="2"/>
          <w:sz w:val="32"/>
          <w:szCs w:val="32"/>
          <w:lang w:val="en-US" w:eastAsia="zh-CN" w:bidi="ar-SA"/>
        </w:rPr>
        <w:t>1、提升交通秩序管控水平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left="0" w:right="0" w:firstLine="420"/>
        <w:jc w:val="left"/>
        <w:rPr>
          <w:rFonts w:hint="eastAsia" w:ascii="Times New Roman" w:hAnsi="Times New Roman" w:eastAsia="仿宋" w:cs="Calibri"/>
          <w:kern w:val="2"/>
          <w:sz w:val="32"/>
          <w:szCs w:val="32"/>
          <w:lang w:val="en-US" w:eastAsia="zh-CN" w:bidi="ar-SA"/>
        </w:rPr>
      </w:pPr>
      <w:r>
        <w:rPr>
          <w:rFonts w:hint="eastAsia" w:ascii="Times New Roman" w:hAnsi="Times New Roman" w:eastAsia="仿宋" w:cs="Calibri"/>
          <w:kern w:val="2"/>
          <w:sz w:val="32"/>
          <w:szCs w:val="32"/>
          <w:lang w:val="en-US" w:eastAsia="zh-CN" w:bidi="ar-SA"/>
        </w:rPr>
        <w:t>绩效目标：通过交通秩序整治工作开展，提升交通秩序综合管控工作水平，努力完成我县交通秩序整治工程制守法率达到95%的预期目标，确保道路交通平安畅通。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left="0" w:right="0" w:firstLine="420"/>
        <w:jc w:val="left"/>
        <w:rPr>
          <w:rFonts w:hint="eastAsia" w:ascii="Times New Roman" w:hAnsi="Times New Roman" w:eastAsia="仿宋" w:cs="Calibri"/>
          <w:kern w:val="2"/>
          <w:sz w:val="32"/>
          <w:szCs w:val="32"/>
          <w:lang w:val="en-US" w:eastAsia="zh-CN" w:bidi="ar-SA"/>
        </w:rPr>
      </w:pPr>
      <w:r>
        <w:rPr>
          <w:rFonts w:hint="eastAsia" w:ascii="Times New Roman" w:hAnsi="Times New Roman" w:eastAsia="仿宋" w:cs="Calibri"/>
          <w:kern w:val="2"/>
          <w:sz w:val="32"/>
          <w:szCs w:val="32"/>
          <w:lang w:val="en-US" w:eastAsia="zh-CN" w:bidi="ar-SA"/>
        </w:rPr>
        <w:t>绩效指标：通行车辆守法率。</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left="0" w:right="0" w:firstLine="420"/>
        <w:jc w:val="left"/>
        <w:rPr>
          <w:rFonts w:hint="eastAsia" w:ascii="Times New Roman" w:hAnsi="Times New Roman" w:eastAsia="仿宋" w:cs="Calibri"/>
          <w:kern w:val="2"/>
          <w:sz w:val="32"/>
          <w:szCs w:val="32"/>
          <w:lang w:val="en-US" w:eastAsia="zh-CN" w:bidi="ar-SA"/>
        </w:rPr>
      </w:pPr>
      <w:r>
        <w:rPr>
          <w:rFonts w:hint="eastAsia" w:ascii="Times New Roman" w:hAnsi="Times New Roman" w:eastAsia="仿宋" w:cs="Calibri"/>
          <w:kern w:val="2"/>
          <w:sz w:val="32"/>
          <w:szCs w:val="32"/>
          <w:lang w:val="en-US" w:eastAsia="zh-CN" w:bidi="ar-SA"/>
        </w:rPr>
        <w:t>确保政法机关工作所需基本手段和条件的装备及办案需要。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left="420" w:leftChars="0" w:right="0" w:rightChars="0"/>
        <w:jc w:val="left"/>
        <w:rPr>
          <w:rFonts w:hint="eastAsia" w:ascii="Times New Roman" w:hAnsi="Times New Roman" w:eastAsia="仿宋" w:cs="Calibri"/>
          <w:kern w:val="2"/>
          <w:sz w:val="32"/>
          <w:szCs w:val="32"/>
          <w:lang w:val="en-US" w:eastAsia="zh-CN" w:bidi="ar-SA"/>
        </w:rPr>
      </w:pPr>
      <w:r>
        <w:rPr>
          <w:rFonts w:hint="eastAsia" w:ascii="Times New Roman" w:hAnsi="Times New Roman" w:eastAsia="仿宋" w:cs="Calibri"/>
          <w:kern w:val="2"/>
          <w:sz w:val="32"/>
          <w:szCs w:val="32"/>
          <w:lang w:val="en-US" w:eastAsia="zh-CN" w:bidi="ar-SA"/>
        </w:rPr>
        <w:t>绩效目标：合理安排资金使用，加强交警经费保障工作。</w:t>
      </w:r>
    </w:p>
    <w:p>
      <w:pPr>
        <w:autoSpaceDE w:val="0"/>
        <w:autoSpaceDN w:val="0"/>
        <w:adjustRightInd w:val="0"/>
        <w:ind w:left="198" w:firstLine="640" w:firstLineChars="200"/>
        <w:jc w:val="left"/>
        <w:rPr>
          <w:rFonts w:ascii="Times New Roman" w:hAnsi="Times New Roman" w:eastAsia="仿宋"/>
          <w:sz w:val="32"/>
          <w:szCs w:val="32"/>
        </w:rPr>
      </w:pP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bookmarkEnd w:id="0"/>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left="420" w:leftChars="0" w:right="0" w:rightChars="0"/>
        <w:jc w:val="left"/>
        <w:rPr>
          <w:rFonts w:hint="eastAsia" w:ascii="Times New Roman" w:hAnsi="Times New Roman" w:eastAsia="仿宋" w:cs="Calibri"/>
          <w:color w:val="auto"/>
          <w:kern w:val="2"/>
          <w:sz w:val="32"/>
          <w:szCs w:val="32"/>
          <w:highlight w:val="none"/>
          <w:shd w:val="clear" w:color="auto" w:fill="auto"/>
          <w:lang w:val="en-US" w:eastAsia="zh-CN" w:bidi="ar-SA"/>
        </w:rPr>
      </w:pPr>
      <w:r>
        <w:rPr>
          <w:rFonts w:hint="eastAsia" w:ascii="Times New Roman" w:hAnsi="Times New Roman" w:eastAsia="仿宋" w:cs="Calibri"/>
          <w:color w:val="auto"/>
          <w:kern w:val="2"/>
          <w:sz w:val="32"/>
          <w:szCs w:val="32"/>
          <w:highlight w:val="none"/>
          <w:shd w:val="clear" w:color="auto" w:fill="auto"/>
          <w:lang w:val="en-US" w:eastAsia="zh-CN" w:bidi="ar-SA"/>
        </w:rPr>
        <w:t>1、完善制度建设。进一步完善《财务管理工作规定》、《全面实施预算绩效管理及项目预算支出进度工作方案》等内部制度，规范财务相关业务办理流程，为全年预算绩效目标的实现奠定制度基础。</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left="420" w:leftChars="0" w:right="0" w:rightChars="0"/>
        <w:jc w:val="left"/>
        <w:rPr>
          <w:rFonts w:hint="eastAsia" w:ascii="Times New Roman" w:hAnsi="Times New Roman" w:eastAsia="仿宋" w:cs="Calibri"/>
          <w:color w:val="auto"/>
          <w:kern w:val="2"/>
          <w:sz w:val="32"/>
          <w:szCs w:val="32"/>
          <w:highlight w:val="none"/>
          <w:shd w:val="clear" w:color="auto" w:fill="auto"/>
          <w:lang w:val="en-US" w:eastAsia="zh-CN" w:bidi="ar-SA"/>
        </w:rPr>
      </w:pPr>
      <w:r>
        <w:rPr>
          <w:rFonts w:hint="eastAsia" w:ascii="Times New Roman" w:hAnsi="Times New Roman" w:eastAsia="仿宋" w:cs="Calibri"/>
          <w:color w:val="auto"/>
          <w:kern w:val="2"/>
          <w:sz w:val="32"/>
          <w:szCs w:val="32"/>
          <w:highlight w:val="none"/>
          <w:shd w:val="clear" w:color="auto" w:fill="auto"/>
          <w:lang w:val="en-US" w:eastAsia="zh-CN" w:bidi="ar-SA"/>
        </w:rPr>
        <w:t>2、加强财务收支管理。做到科学编制预算，项目信息编细编实，克服麻痹思想、经验主义；加强资金统筹管理，优化支出结构；对批复的预算，严格执行，加快履行政府采购手续，认真按合同约定推进项目，按时间、节点及时支付资金，确保支出进度达标。</w:t>
      </w:r>
    </w:p>
    <w:p>
      <w:pPr>
        <w:rPr>
          <w:rFonts w:ascii="仿宋_GB2312" w:hAnsi="黑体" w:eastAsia="仿宋_GB2312"/>
          <w:b/>
          <w:bCs/>
          <w:sz w:val="32"/>
          <w:szCs w:val="32"/>
        </w:rPr>
      </w:pPr>
    </w:p>
    <w:p>
      <w:pPr>
        <w:numPr>
          <w:ilvl w:val="0"/>
          <w:numId w:val="0"/>
        </w:numPr>
        <w:ind w:firstLine="2891" w:firstLineChars="900"/>
        <w:jc w:val="both"/>
        <w:rPr>
          <w:rFonts w:hint="eastAsia" w:ascii="仿宋_GB2312" w:hAnsi="黑体" w:eastAsia="仿宋_GB2312" w:cs="仿宋_GB2312"/>
          <w:b/>
          <w:bCs/>
          <w:sz w:val="32"/>
          <w:szCs w:val="32"/>
        </w:rPr>
      </w:pPr>
      <w:r>
        <w:rPr>
          <w:rFonts w:hint="eastAsia" w:ascii="仿宋_GB2312" w:hAnsi="黑体" w:eastAsia="仿宋_GB2312" w:cs="仿宋_GB2312"/>
          <w:b/>
          <w:bCs/>
          <w:sz w:val="32"/>
          <w:szCs w:val="32"/>
          <w:lang w:val="en-US" w:eastAsia="zh-CN"/>
        </w:rPr>
        <w:t>第二部分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numPr>
          <w:ilvl w:val="0"/>
          <w:numId w:val="0"/>
        </w:numPr>
        <w:jc w:val="both"/>
        <w:rPr>
          <w:rFonts w:hint="eastAsia" w:ascii="仿宋_GB2312" w:hAnsi="黑体" w:eastAsia="仿宋_GB2312" w:cs="仿宋_GB2312"/>
          <w:b/>
          <w:bCs/>
          <w:sz w:val="32"/>
          <w:szCs w:val="32"/>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center"/>
              <w:rPr>
                <w:rFonts w:hint="default" w:ascii="方正书宋_GBK" w:eastAsia="方正书宋_GBK" w:cs="方正书宋_GBK"/>
                <w:b/>
                <w:bCs/>
                <w:lang w:val="en-US" w:eastAsia="zh-CN"/>
              </w:rPr>
            </w:pPr>
            <w:r>
              <w:rPr>
                <w:rFonts w:hint="eastAsia" w:ascii="方正书宋_GBK" w:eastAsia="方正书宋_GBK" w:cs="方正书宋_GBK"/>
                <w:b/>
                <w:bCs/>
                <w:lang w:val="en-US" w:eastAsia="zh-CN"/>
              </w:rPr>
              <w:t xml:space="preserve">                      </w:t>
            </w:r>
            <w:r>
              <w:rPr>
                <w:rFonts w:hint="eastAsia" w:ascii="方正书宋_GBK" w:eastAsia="方正书宋_GBK" w:cs="方正书宋_GBK"/>
                <w:b w:val="0"/>
                <w:bCs w:val="0"/>
                <w:sz w:val="24"/>
                <w:szCs w:val="24"/>
                <w:lang w:val="en-US" w:eastAsia="zh-CN"/>
              </w:rPr>
              <w:t>道路交通秩序管理（道路划线）资金</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default" w:ascii="方正书宋_GBK" w:eastAsia="方正书宋_GBK" w:cs="方正书宋_GBK"/>
                <w:lang w:val="en-US" w:eastAsia="zh-CN"/>
              </w:rPr>
            </w:pPr>
            <w:r>
              <w:rPr>
                <w:rFonts w:hint="eastAsia" w:ascii="方正书宋_GBK" w:eastAsia="方正书宋_GBK" w:cs="方正书宋_GBK"/>
                <w:lang w:val="en-US" w:eastAsia="zh-CN"/>
              </w:rPr>
              <w:t>维护县城良好的交通秩序，提高道路通行能力，全面提升县城形象。</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r>
              <w:rPr>
                <w:rFonts w:hint="eastAsia"/>
              </w:rPr>
              <w:t>产出指标</w:t>
            </w:r>
          </w:p>
        </w:tc>
        <w:tc>
          <w:tcPr>
            <w:tcW w:w="1134" w:type="dxa"/>
            <w:vAlign w:val="center"/>
          </w:tcPr>
          <w:p>
            <w:pPr>
              <w:rPr>
                <w:rFonts w:hint="eastAsia"/>
                <w:lang w:eastAsia="zh-CN"/>
              </w:rPr>
            </w:pPr>
            <w:r>
              <w:rPr>
                <w:rFonts w:hint="eastAsia"/>
                <w:lang w:val="en-US" w:eastAsia="zh-CN"/>
              </w:rPr>
              <w:t>数量指标</w:t>
            </w:r>
          </w:p>
        </w:tc>
        <w:tc>
          <w:tcPr>
            <w:tcW w:w="1276" w:type="dxa"/>
            <w:vAlign w:val="center"/>
          </w:tcPr>
          <w:p>
            <w:pPr>
              <w:rPr>
                <w:rFonts w:hint="default"/>
                <w:lang w:val="en-US"/>
              </w:rPr>
            </w:pPr>
            <w:r>
              <w:rPr>
                <w:rFonts w:hint="eastAsia"/>
                <w:lang w:val="en-US" w:eastAsia="zh-CN"/>
              </w:rPr>
              <w:t>规范设置停车位</w:t>
            </w:r>
          </w:p>
        </w:tc>
        <w:tc>
          <w:tcPr>
            <w:tcW w:w="2891" w:type="dxa"/>
            <w:vAlign w:val="center"/>
          </w:tcPr>
          <w:p>
            <w:r>
              <w:rPr>
                <w:rFonts w:hint="eastAsia"/>
                <w:lang w:val="en-US" w:eastAsia="zh-CN"/>
              </w:rPr>
              <w:t>主要道路两侧</w:t>
            </w:r>
          </w:p>
        </w:tc>
        <w:tc>
          <w:tcPr>
            <w:tcW w:w="1276" w:type="dxa"/>
            <w:vAlign w:val="center"/>
          </w:tcPr>
          <w:p>
            <w:pPr>
              <w:rPr>
                <w:rFonts w:hint="default"/>
                <w:lang w:val="en-US"/>
              </w:rPr>
            </w:pPr>
            <w:r>
              <w:rPr>
                <w:rFonts w:hint="eastAsia"/>
              </w:rPr>
              <w:t>&gt;=</w:t>
            </w:r>
            <w:r>
              <w:rPr>
                <w:rFonts w:hint="eastAsia"/>
                <w:lang w:val="en-US" w:eastAsia="zh-CN"/>
              </w:rPr>
              <w:t xml:space="preserve"> 4150个</w:t>
            </w:r>
          </w:p>
        </w:tc>
        <w:tc>
          <w:tcPr>
            <w:tcW w:w="1701" w:type="dxa"/>
            <w:vAlign w:val="center"/>
          </w:tcPr>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2" w:hRule="atLeast"/>
                <w:jc w:val="center"/>
              </w:trPr>
              <w:tc>
                <w:tcPr>
                  <w:tcW w:w="1701" w:type="dxa"/>
                  <w:vAlign w:val="center"/>
                </w:tcPr>
                <w:p>
                  <w:pPr>
                    <w:rPr>
                      <w:rFonts w:hint="eastAsia"/>
                      <w:lang w:eastAsia="zh-CN"/>
                    </w:rPr>
                  </w:pPr>
                  <w:r>
                    <w:rPr>
                      <w:rFonts w:hint="eastAsia"/>
                      <w:lang w:val="en-US" w:eastAsia="zh-CN"/>
                    </w:rPr>
                    <w:t>工作计划</w:t>
                  </w:r>
                </w:p>
              </w:tc>
            </w:tr>
          </w:tbl>
          <w:p>
            <w:pPr>
              <w:rPr>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2"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数量指标</w:t>
            </w:r>
          </w:p>
        </w:tc>
        <w:tc>
          <w:tcPr>
            <w:tcW w:w="1276" w:type="dxa"/>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规范路口斑马线及箭头</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val="en-US" w:eastAsia="zh-CN"/>
              </w:rPr>
              <w:t>街道道路路口</w:t>
            </w:r>
          </w:p>
        </w:tc>
        <w:tc>
          <w:tcPr>
            <w:tcW w:w="1276" w:type="dxa"/>
            <w:vAlign w:val="center"/>
          </w:tcPr>
          <w:p>
            <w:pPr>
              <w:spacing w:line="300" w:lineRule="exact"/>
              <w:jc w:val="left"/>
              <w:rPr>
                <w:rFonts w:hint="default" w:ascii="方正书宋_GBK" w:eastAsia="方正书宋_GBK"/>
                <w:lang w:val="en-US"/>
              </w:rPr>
            </w:pPr>
            <w:r>
              <w:rPr>
                <w:rFonts w:hint="eastAsia" w:ascii="宋体" w:hAnsi="宋体" w:eastAsia="宋体" w:cs="宋体"/>
              </w:rPr>
              <w:t>&lt;=</w:t>
            </w:r>
            <w:r>
              <w:rPr>
                <w:rFonts w:hint="eastAsia" w:ascii="宋体" w:hAnsi="宋体" w:cs="宋体"/>
                <w:lang w:val="en-US" w:eastAsia="zh-CN"/>
              </w:rPr>
              <w:t xml:space="preserve"> 33604.5平方</w:t>
            </w:r>
          </w:p>
        </w:tc>
        <w:tc>
          <w:tcPr>
            <w:tcW w:w="1701" w:type="dxa"/>
            <w:vAlign w:val="center"/>
          </w:tcPr>
          <w:tbl>
            <w:tblPr>
              <w:tblStyle w:val="8"/>
              <w:tblW w:w="1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7" w:hRule="atLeast"/>
                <w:jc w:val="center"/>
              </w:trPr>
              <w:tc>
                <w:tcPr>
                  <w:tcW w:w="1720" w:type="dxa"/>
                  <w:vAlign w:val="center"/>
                </w:tcPr>
                <w:p>
                  <w:pPr>
                    <w:spacing w:line="300" w:lineRule="exact"/>
                    <w:jc w:val="left"/>
                    <w:rPr>
                      <w:rFonts w:hint="eastAsia" w:ascii="方正书宋_GBK" w:eastAsia="方正书宋_GBK"/>
                      <w:lang w:eastAsia="zh-CN"/>
                    </w:rPr>
                  </w:pPr>
                  <w:r>
                    <w:rPr>
                      <w:rFonts w:hint="eastAsia" w:ascii="方正书宋_GBK" w:eastAsia="方正书宋_GBK" w:cs="Calibri"/>
                      <w:kern w:val="2"/>
                      <w:sz w:val="21"/>
                      <w:szCs w:val="21"/>
                      <w:lang w:val="en-US" w:eastAsia="zh-CN" w:bidi="ar-SA"/>
                    </w:rPr>
                    <w:t>工作计划</w:t>
                  </w:r>
                </w:p>
              </w:tc>
            </w:tr>
          </w:tbl>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划线标准</w:t>
            </w:r>
          </w:p>
        </w:tc>
        <w:tc>
          <w:tcPr>
            <w:tcW w:w="2891" w:type="dxa"/>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对施工方资质要求符合状态</w:t>
            </w:r>
          </w:p>
        </w:tc>
        <w:tc>
          <w:tcPr>
            <w:tcW w:w="1276" w:type="dxa"/>
            <w:vAlign w:val="center"/>
          </w:tcPr>
          <w:p>
            <w:pPr>
              <w:spacing w:line="300" w:lineRule="exact"/>
              <w:jc w:val="left"/>
              <w:rPr>
                <w:rFonts w:hint="default" w:ascii="方正书宋_GBK" w:eastAsia="方正书宋_GBK"/>
                <w:lang w:val="en-US" w:eastAsia="zh-CN"/>
              </w:rPr>
            </w:pPr>
            <w:r>
              <w:rPr>
                <w:rFonts w:hint="eastAsia" w:ascii="宋体" w:hAnsi="宋体" w:cs="宋体"/>
                <w:lang w:val="en-US" w:eastAsia="zh-CN"/>
              </w:rPr>
              <w:t>符合行业标准</w:t>
            </w:r>
          </w:p>
        </w:tc>
        <w:tc>
          <w:tcPr>
            <w:tcW w:w="1701" w:type="dxa"/>
            <w:vAlign w:val="center"/>
          </w:tcPr>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2" w:hRule="atLeast"/>
                <w:jc w:val="center"/>
              </w:trPr>
              <w:tc>
                <w:tcPr>
                  <w:tcW w:w="170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签订合同</w:t>
                  </w:r>
                </w:p>
              </w:tc>
            </w:tr>
          </w:tbl>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时效指标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标志标线完成时间</w:t>
            </w:r>
          </w:p>
        </w:tc>
        <w:tc>
          <w:tcPr>
            <w:tcW w:w="28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2021年12月前完成</w:t>
            </w:r>
          </w:p>
        </w:tc>
        <w:tc>
          <w:tcPr>
            <w:tcW w:w="1276" w:type="dxa"/>
            <w:vAlign w:val="center"/>
          </w:tcPr>
          <w:p>
            <w:pPr>
              <w:spacing w:line="300" w:lineRule="exact"/>
              <w:jc w:val="left"/>
              <w:rPr>
                <w:rFonts w:hint="eastAsia" w:ascii="宋体" w:hAnsi="宋体" w:cs="宋体"/>
                <w:lang w:val="en-US" w:eastAsia="zh-CN"/>
              </w:rPr>
            </w:pPr>
            <w:r>
              <w:rPr>
                <w:rFonts w:hint="eastAsia" w:ascii="方正书宋_GBK" w:eastAsia="方正书宋_GBK"/>
                <w:lang w:val="en-US" w:eastAsia="zh-CN"/>
              </w:rPr>
              <w:t>2021年12月前完成</w:t>
            </w:r>
          </w:p>
        </w:tc>
        <w:tc>
          <w:tcPr>
            <w:tcW w:w="1701" w:type="dxa"/>
            <w:vAlign w:val="center"/>
          </w:tcPr>
          <w:p>
            <w:pPr>
              <w:spacing w:line="300" w:lineRule="exact"/>
              <w:jc w:val="left"/>
              <w:rPr>
                <w:rFonts w:hint="default" w:ascii="方正书宋_GBK" w:hAnsi="Calibri" w:eastAsia="方正书宋_GBK" w:cs="Calibri"/>
                <w:kern w:val="2"/>
                <w:sz w:val="21"/>
                <w:szCs w:val="21"/>
                <w:lang w:val="en-US" w:eastAsia="zh-CN" w:bidi="ar-SA"/>
              </w:rPr>
            </w:pPr>
            <w:r>
              <w:rPr>
                <w:rFonts w:hint="eastAsia" w:ascii="方正书宋_GBK" w:eastAsia="方正书宋_GBK" w:cs="Calibri"/>
                <w:kern w:val="2"/>
                <w:sz w:val="21"/>
                <w:szCs w:val="21"/>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成本指标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街道划线</w:t>
            </w:r>
          </w:p>
        </w:tc>
        <w:tc>
          <w:tcPr>
            <w:tcW w:w="28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县城辖区内</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=680000元</w:t>
            </w:r>
          </w:p>
        </w:tc>
        <w:tc>
          <w:tcPr>
            <w:tcW w:w="1701" w:type="dxa"/>
            <w:vAlign w:val="center"/>
          </w:tcPr>
          <w:p>
            <w:pPr>
              <w:spacing w:line="300" w:lineRule="exact"/>
              <w:jc w:val="left"/>
              <w:rPr>
                <w:rFonts w:hint="default" w:ascii="方正书宋_GBK" w:eastAsia="方正书宋_GBK" w:cs="Calibri"/>
                <w:kern w:val="2"/>
                <w:sz w:val="21"/>
                <w:szCs w:val="21"/>
                <w:lang w:val="en-US" w:eastAsia="zh-CN" w:bidi="ar-SA"/>
              </w:rPr>
            </w:pPr>
            <w:r>
              <w:rPr>
                <w:rFonts w:hint="eastAsia" w:ascii="方正书宋_GBK" w:eastAsia="方正书宋_GBK" w:cs="Calibri"/>
                <w:kern w:val="2"/>
                <w:sz w:val="21"/>
                <w:szCs w:val="21"/>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3"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降低长拥堵路段</w:t>
            </w:r>
          </w:p>
        </w:tc>
        <w:tc>
          <w:tcPr>
            <w:tcW w:w="2891" w:type="dxa"/>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道路拥挤路段比上年同期降低</w:t>
            </w:r>
          </w:p>
        </w:tc>
        <w:tc>
          <w:tcPr>
            <w:tcW w:w="1276" w:type="dxa"/>
            <w:vAlign w:val="center"/>
          </w:tcPr>
          <w:p>
            <w:pPr>
              <w:spacing w:line="300" w:lineRule="exact"/>
              <w:jc w:val="left"/>
              <w:rPr>
                <w:rFonts w:hint="default" w:ascii="方正书宋_GBK" w:eastAsia="方正书宋_GBK"/>
                <w:lang w:val="en-US"/>
              </w:rPr>
            </w:pPr>
            <w:r>
              <w:rPr>
                <w:rFonts w:hint="eastAsia" w:ascii="宋体" w:hAnsi="宋体" w:eastAsia="宋体" w:cs="宋体"/>
              </w:rPr>
              <w:t>&gt;=</w:t>
            </w:r>
            <w:r>
              <w:rPr>
                <w:rFonts w:hint="eastAsia" w:ascii="宋体" w:hAnsi="宋体" w:cs="宋体"/>
                <w:lang w:val="en-US" w:eastAsia="zh-CN"/>
              </w:rPr>
              <w:t xml:space="preserve"> 4段</w:t>
            </w:r>
          </w:p>
        </w:tc>
        <w:tc>
          <w:tcPr>
            <w:tcW w:w="1701" w:type="dxa"/>
            <w:vAlign w:val="center"/>
          </w:tcPr>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2" w:hRule="atLeast"/>
                <w:jc w:val="center"/>
              </w:trPr>
              <w:tc>
                <w:tcPr>
                  <w:tcW w:w="170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历史经验</w:t>
                  </w:r>
                </w:p>
              </w:tc>
            </w:tr>
          </w:tbl>
          <w:p>
            <w:pPr>
              <w:spacing w:line="300" w:lineRule="exact"/>
              <w:jc w:val="left"/>
              <w:rPr>
                <w:rFonts w:ascii="方正书宋_GBK" w:hAnsi="Calibri" w:eastAsia="方正书宋_GBK" w:cs="Calibri"/>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2"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人民群众满意度</w:t>
            </w:r>
          </w:p>
        </w:tc>
        <w:tc>
          <w:tcPr>
            <w:tcW w:w="2891" w:type="dxa"/>
            <w:vAlign w:val="center"/>
          </w:tcPr>
          <w:p>
            <w:pPr>
              <w:spacing w:line="300" w:lineRule="exact"/>
              <w:jc w:val="left"/>
              <w:rPr>
                <w:rFonts w:hint="default" w:ascii="方正书宋_GBK" w:eastAsia="方正书宋_GBK"/>
                <w:lang w:val="en-US"/>
              </w:rPr>
            </w:pPr>
            <w:r>
              <w:rPr>
                <w:rFonts w:hint="eastAsia" w:ascii="方正书宋_GBK" w:eastAsia="方正书宋_GBK"/>
                <w:lang w:val="en-US" w:eastAsia="zh-CN"/>
              </w:rPr>
              <w:t>通过问卷调查满意和较满意的</w:t>
            </w:r>
          </w:p>
        </w:tc>
        <w:tc>
          <w:tcPr>
            <w:tcW w:w="1276" w:type="dxa"/>
            <w:vAlign w:val="center"/>
          </w:tcPr>
          <w:p>
            <w:pPr>
              <w:spacing w:line="300" w:lineRule="exact"/>
              <w:jc w:val="left"/>
              <w:rPr>
                <w:rFonts w:ascii="方正书宋_GBK" w:eastAsia="方正书宋_GBK"/>
              </w:rPr>
            </w:pPr>
            <w:r>
              <w:rPr>
                <w:rFonts w:hint="eastAsia" w:ascii="宋体" w:hAnsi="宋体" w:eastAsia="宋体" w:cs="宋体"/>
              </w:rPr>
              <w:t>&gt;=</w:t>
            </w:r>
            <w:r>
              <w:rPr>
                <w:rFonts w:hint="eastAsia" w:ascii="宋体" w:hAnsi="宋体" w:cs="宋体"/>
                <w:lang w:val="en-US" w:eastAsia="zh-CN"/>
              </w:rPr>
              <w:t xml:space="preserve"> </w:t>
            </w:r>
            <w:r>
              <w:rPr>
                <w:rFonts w:hint="eastAsia" w:ascii="方正书宋_GBK" w:eastAsia="方正书宋_GBK"/>
                <w:lang w:val="en-US" w:eastAsia="zh-CN"/>
              </w:rPr>
              <w:t>98%</w:t>
            </w:r>
          </w:p>
        </w:tc>
        <w:tc>
          <w:tcPr>
            <w:tcW w:w="1701" w:type="dxa"/>
            <w:vAlign w:val="center"/>
          </w:tcPr>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62" w:hRule="atLeast"/>
                <w:jc w:val="center"/>
              </w:trPr>
              <w:tc>
                <w:tcPr>
                  <w:tcW w:w="170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调查问卷</w:t>
                  </w:r>
                </w:p>
              </w:tc>
            </w:tr>
          </w:tbl>
          <w:p>
            <w:pPr>
              <w:spacing w:line="300" w:lineRule="exact"/>
              <w:jc w:val="left"/>
              <w:rPr>
                <w:rFonts w:ascii="方正书宋_GBK" w:hAnsi="Calibri" w:eastAsia="方正书宋_GBK" w:cs="Calibri"/>
                <w:kern w:val="2"/>
                <w:sz w:val="21"/>
                <w:szCs w:val="21"/>
                <w:lang w:val="en-US" w:eastAsia="zh-CN" w:bidi="ar-SA"/>
              </w:rPr>
            </w:pPr>
          </w:p>
        </w:tc>
      </w:tr>
    </w:tbl>
    <w:p>
      <w:pPr>
        <w:spacing w:line="300" w:lineRule="exact"/>
        <w:ind w:firstLine="420" w:firstLineChars="200"/>
        <w:jc w:val="left"/>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ind w:left="198" w:firstLine="643" w:firstLineChars="200"/>
        <w:jc w:val="center"/>
        <w:rPr>
          <w:rFonts w:hint="eastAsia" w:ascii="仿宋_GB2312" w:eastAsia="仿宋_GB2312" w:cs="仿宋_GB2312"/>
          <w:b/>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1"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年，我部门安排政府采购预算</w:t>
      </w:r>
      <w:r>
        <w:rPr>
          <w:rFonts w:hint="eastAsia" w:ascii="Times New Roman" w:hAnsi="Times New Roman" w:eastAsia="仿宋" w:cs="仿宋"/>
          <w:sz w:val="32"/>
          <w:szCs w:val="32"/>
          <w:lang w:val="en-US" w:eastAsia="zh-CN"/>
        </w:rPr>
        <w:t>0</w:t>
      </w:r>
      <w:r>
        <w:rPr>
          <w:rFonts w:hint="eastAsia" w:ascii="Times New Roman" w:hAnsi="Times New Roman" w:eastAsia="仿宋" w:cs="仿宋"/>
          <w:sz w:val="32"/>
          <w:szCs w:val="32"/>
        </w:rPr>
        <w:t>万元。具体内容见下表。</w:t>
      </w:r>
      <w:bookmarkEnd w:id="1"/>
    </w:p>
    <w:p>
      <w:pPr>
        <w:jc w:val="center"/>
        <w:outlineLvl w:val="0"/>
        <w:rPr>
          <w:rFonts w:ascii="方正小标宋_GBK" w:eastAsia="方正小标宋_GBK"/>
          <w:sz w:val="32"/>
          <w:szCs w:val="32"/>
        </w:rPr>
      </w:pPr>
      <w:bookmarkStart w:id="2" w:name="_Toc535404684"/>
      <w:r>
        <w:rPr>
          <w:rFonts w:hint="eastAsia" w:ascii="方正小标宋_GBK" w:eastAsia="方正小标宋_GBK" w:cs="方正小标宋_GBK"/>
          <w:sz w:val="32"/>
          <w:szCs w:val="32"/>
        </w:rPr>
        <w:t>部门政府采购预算</w:t>
      </w:r>
      <w:bookmarkEnd w:id="2"/>
    </w:p>
    <w:tbl>
      <w:tblPr>
        <w:tblStyle w:val="8"/>
        <w:tblW w:w="8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81"/>
        <w:gridCol w:w="634"/>
        <w:gridCol w:w="476"/>
        <w:gridCol w:w="583"/>
        <w:gridCol w:w="583"/>
        <w:gridCol w:w="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3886" w:type="dxa"/>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宋体" w:hAnsi="宋体" w:cs="宋体"/>
                <w:sz w:val="24"/>
                <w:szCs w:val="24"/>
              </w:rPr>
              <w:t>馆陶县</w:t>
            </w:r>
            <w:r>
              <w:rPr>
                <w:rFonts w:ascii="宋体" w:hAnsi="宋体" w:cs="宋体"/>
                <w:sz w:val="24"/>
                <w:szCs w:val="24"/>
              </w:rPr>
              <w:t>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3886" w:type="dxa"/>
            <w:gridSpan w:val="6"/>
            <w:tcBorders>
              <w:top w:val="single" w:color="auto" w:sz="4" w:space="0"/>
              <w:bottom w:val="single" w:color="auto" w:sz="4" w:space="0"/>
              <w:right w:val="single" w:color="auto" w:sz="4" w:space="0"/>
            </w:tcBorders>
            <w:shd w:val="clear" w:color="auto" w:fill="auto"/>
          </w:tcPr>
          <w:p>
            <w:pPr>
              <w:spacing w:line="300" w:lineRule="exact"/>
              <w:jc w:val="center"/>
            </w:pPr>
            <w:r>
              <w:rPr>
                <w:rFonts w:hint="eastAsia" w:ascii="方正书宋_GBK" w:eastAsia="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Align w:val="center"/>
          </w:tcPr>
          <w:p>
            <w:pPr>
              <w:spacing w:line="300" w:lineRule="exact"/>
              <w:jc w:val="left"/>
              <w:outlineLvl w:val="0"/>
            </w:pPr>
          </w:p>
        </w:tc>
        <w:tc>
          <w:tcPr>
            <w:tcW w:w="840" w:type="dxa"/>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8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b/>
                <w:bCs/>
              </w:rPr>
              <w:t>国有资本经营预算拨款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929" w:type="dxa"/>
            <w:vAlign w:val="center"/>
          </w:tcPr>
          <w:p>
            <w:pPr>
              <w:spacing w:line="300" w:lineRule="exact"/>
              <w:jc w:val="center"/>
              <w:outlineLvl w:val="0"/>
              <w:rPr>
                <w:rFonts w:ascii="方正书宋_GBK" w:eastAsia="方正书宋_GBK" w:cs="方正书宋_GBK"/>
                <w:b/>
                <w:bCs/>
              </w:rPr>
            </w:pPr>
            <w:r>
              <w:rPr>
                <w:rFonts w:hint="eastAsia"/>
                <w:b/>
              </w:rPr>
              <w:t>单</w:t>
            </w:r>
            <w:r>
              <w:rPr>
                <w:rFonts w:hint="eastAsia" w:ascii="方正书宋_GBK" w:eastAsia="方正书宋_GBK" w:cs="方正书宋_GBK"/>
                <w:b/>
                <w:bCs/>
              </w:rPr>
              <w:t>位</w:t>
            </w:r>
          </w:p>
          <w:p>
            <w:pPr>
              <w:spacing w:line="300" w:lineRule="exact"/>
              <w:jc w:val="center"/>
              <w:outlineLvl w:val="0"/>
              <w:rPr>
                <w:b/>
              </w:rPr>
            </w:pPr>
            <w:r>
              <w:rPr>
                <w:rFonts w:hint="eastAsia" w:ascii="方正书宋_GBK" w:eastAsia="方正书宋_GBK" w:cs="方正书宋_GBK"/>
                <w:b/>
                <w:bCs/>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w:t>
            </w:r>
            <w:r>
              <w:rPr>
                <w:rFonts w:ascii="方正书宋_GBK" w:eastAsia="方正书宋_GBK" w:cs="方正书宋_GBK"/>
                <w:b/>
                <w:bCs/>
              </w:rPr>
              <w:t>XXX</w:t>
            </w:r>
            <w:r>
              <w:rPr>
                <w:rFonts w:hint="eastAsia" w:ascii="方正书宋_GBK" w:eastAsia="方正书宋_GBK" w:cs="方正书宋_GBK"/>
                <w:b/>
                <w:bCs/>
              </w:rPr>
              <w:t>小计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81"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bl>
    <w:p>
      <w:pPr>
        <w:sectPr>
          <w:headerReference r:id="rId3" w:type="default"/>
          <w:footerReference r:id="rId4" w:type="default"/>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tbl>
      <w:tblPr>
        <w:tblStyle w:val="8"/>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ind w:firstLine="640"/>
              <w:rPr>
                <w:rFonts w:ascii="Times New Roman" w:hAnsi="Times New Roman" w:eastAsia="仿宋"/>
                <w:color w:val="000000"/>
                <w:sz w:val="32"/>
                <w:szCs w:val="32"/>
              </w:rPr>
            </w:pPr>
            <w:r>
              <w:rPr>
                <w:rFonts w:hint="eastAsia" w:ascii="仿宋" w:hAnsi="仿宋" w:eastAsia="仿宋" w:cs="仿宋"/>
                <w:sz w:val="32"/>
                <w:szCs w:val="32"/>
                <w:lang w:val="en-US" w:eastAsia="zh-CN"/>
              </w:rPr>
              <w:t>邯郸市公安局交通巡逻警察支队馆陶县大队</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仿宋"/>
                <w:color w:val="000000"/>
                <w:sz w:val="32"/>
                <w:szCs w:val="32"/>
                <w:lang w:val="en-US" w:eastAsia="zh-CN"/>
              </w:rPr>
              <w:t>613.4</w:t>
            </w:r>
            <w:r>
              <w:rPr>
                <w:rFonts w:hint="eastAsia" w:ascii="Times New Roman" w:hAnsi="Times New Roman" w:eastAsia="仿宋" w:cs="仿宋"/>
                <w:color w:val="000000"/>
                <w:sz w:val="32"/>
                <w:szCs w:val="32"/>
              </w:rPr>
              <w:t>万元</w:t>
            </w:r>
            <w:r>
              <w:rPr>
                <w:rFonts w:hint="eastAsia" w:ascii="Times New Roman" w:hAnsi="Times New Roman" w:eastAsia="仿宋" w:cs="仿宋"/>
                <w:color w:val="000000"/>
                <w:sz w:val="32"/>
                <w:szCs w:val="32"/>
                <w:lang w:eastAsia="zh-CN"/>
              </w:rPr>
              <w:t>。</w:t>
            </w:r>
            <w:r>
              <w:rPr>
                <w:rFonts w:hint="eastAsia" w:ascii="Times New Roman" w:hAnsi="Times New Roman" w:eastAsia="仿宋" w:cs="仿宋"/>
                <w:color w:val="000000"/>
                <w:sz w:val="32"/>
                <w:szCs w:val="32"/>
              </w:rPr>
              <w:t>详见政府采购预算表。</w:t>
            </w:r>
          </w:p>
          <w:p>
            <w:pPr>
              <w:widowControl/>
              <w:jc w:val="center"/>
              <w:rPr>
                <w:rFonts w:ascii="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olor w:val="FF0000"/>
                <w:kern w:val="0"/>
                <w:sz w:val="22"/>
                <w:lang w:val="en-US" w:eastAsia="zh-CN"/>
              </w:rPr>
            </w:pPr>
            <w:r>
              <w:rPr>
                <w:rFonts w:hint="eastAsia" w:ascii="Times New Roman" w:hAnsi="Times New Roman" w:eastAsia="仿宋"/>
                <w:b/>
                <w:bCs/>
                <w:color w:val="000000" w:themeColor="text1"/>
                <w:kern w:val="0"/>
                <w:sz w:val="22"/>
                <w:lang w:val="en-US" w:eastAsia="zh-CN"/>
              </w:rPr>
              <w:t>613.4</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4881</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357.3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4881</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lang w:val="en-US" w:eastAsia="zh-CN"/>
              </w:rPr>
            </w:pPr>
            <w:r>
              <w:rPr>
                <w:rFonts w:hint="eastAsia" w:ascii="Times New Roman" w:hAnsi="Times New Roman" w:eastAsia="仿宋"/>
                <w:kern w:val="0"/>
                <w:sz w:val="22"/>
                <w:lang w:val="en-US" w:eastAsia="zh-CN"/>
              </w:rPr>
              <w:t>3</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43.3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lang w:val="en-US" w:eastAsia="zh-CN"/>
              </w:rPr>
            </w:pPr>
            <w:r>
              <w:rPr>
                <w:rFonts w:hint="eastAsia" w:ascii="Times New Roman" w:hAnsi="Times New Roman" w:eastAsia="仿宋"/>
                <w:kern w:val="0"/>
                <w:sz w:val="22"/>
                <w:lang w:val="en-US" w:eastAsia="zh-CN"/>
              </w:rPr>
              <w:t>212.7</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1、一般公共预算拨款收入：指省级财政当年拨付的资金。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2、基本支出：指为保障机构正常运转、完成日常工作任务而发生的人员支出和公用支出。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3、项目支出：指在基本支出之外为完成特定行政任务和事业发展目标所发生的支出。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4、上缴上级支出：指下级单位上缴上级的支出。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line="378" w:lineRule="atLeast"/>
        <w:ind w:right="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rPr>
        <w:t>我部门无其他需要说明的事项。</w:t>
      </w:r>
    </w:p>
    <w:p>
      <w:pPr>
        <w:ind w:firstLine="640" w:firstLineChars="200"/>
        <w:rPr>
          <w:rFonts w:hint="eastAsia" w:ascii="Times New Roman" w:hAnsi="Times New Roman" w:eastAsia="仿宋" w:cs="仿宋"/>
          <w:sz w:val="32"/>
          <w:szCs w:val="32"/>
        </w:rPr>
      </w:pPr>
    </w:p>
    <w:p>
      <w:pPr>
        <w:ind w:firstLine="640" w:firstLineChars="200"/>
        <w:rPr>
          <w:rFonts w:hint="eastAsia" w:ascii="Times New Roman" w:hAnsi="Times New Roman" w:eastAsia="仿宋" w:cs="仿宋"/>
          <w:sz w:val="32"/>
          <w:szCs w:val="32"/>
        </w:rPr>
      </w:pPr>
    </w:p>
    <w:p>
      <w:pPr>
        <w:ind w:firstLine="640" w:firstLineChars="200"/>
        <w:rPr>
          <w:rFonts w:hint="eastAsia" w:ascii="Times New Roman" w:hAnsi="Times New Roman" w:eastAsia="仿宋" w:cs="仿宋"/>
          <w:sz w:val="32"/>
          <w:szCs w:val="32"/>
        </w:rPr>
      </w:pPr>
    </w:p>
    <w:p>
      <w:pPr>
        <w:ind w:firstLine="640" w:firstLineChars="200"/>
        <w:rPr>
          <w:rFonts w:hint="eastAsia" w:ascii="Times New Roman" w:hAnsi="Times New Roman" w:eastAsia="仿宋" w:cs="仿宋"/>
          <w:sz w:val="32"/>
          <w:szCs w:val="32"/>
        </w:rPr>
      </w:pPr>
    </w:p>
    <w:p>
      <w:pPr>
        <w:ind w:firstLine="640" w:firstLineChars="200"/>
        <w:rPr>
          <w:rFonts w:hint="eastAsia" w:ascii="Times New Roman" w:hAnsi="Times New Roman" w:eastAsia="仿宋" w:cs="仿宋"/>
          <w:sz w:val="32"/>
          <w:szCs w:val="32"/>
        </w:rPr>
      </w:pPr>
    </w:p>
    <w:p>
      <w:pPr>
        <w:ind w:firstLine="640" w:firstLineChars="200"/>
        <w:rPr>
          <w:rFonts w:hint="eastAsia" w:ascii="Times New Roman" w:hAnsi="Times New Roman" w:eastAsia="仿宋" w:cs="仿宋"/>
          <w:sz w:val="32"/>
          <w:szCs w:val="32"/>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7F66A"/>
    <w:multiLevelType w:val="singleLevel"/>
    <w:tmpl w:val="4D07F66A"/>
    <w:lvl w:ilvl="0" w:tentative="0">
      <w:start w:val="1"/>
      <w:numFmt w:val="chineseCounting"/>
      <w:suff w:val="nothing"/>
      <w:lvlText w:val="（%1）"/>
      <w:lvlJc w:val="left"/>
      <w:rPr>
        <w:rFonts w:hint="eastAsia"/>
      </w:rPr>
    </w:lvl>
  </w:abstractNum>
  <w:abstractNum w:abstractNumId="1">
    <w:nsid w:val="4F5DCD21"/>
    <w:multiLevelType w:val="singleLevel"/>
    <w:tmpl w:val="4F5DCD2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5001B8"/>
    <w:rsid w:val="0051597D"/>
    <w:rsid w:val="00531B21"/>
    <w:rsid w:val="00556C00"/>
    <w:rsid w:val="0057202E"/>
    <w:rsid w:val="005D69FB"/>
    <w:rsid w:val="005E015D"/>
    <w:rsid w:val="005F4712"/>
    <w:rsid w:val="00606439"/>
    <w:rsid w:val="00641BF0"/>
    <w:rsid w:val="006D0C4D"/>
    <w:rsid w:val="00716563"/>
    <w:rsid w:val="00720FCB"/>
    <w:rsid w:val="0074453E"/>
    <w:rsid w:val="007602E7"/>
    <w:rsid w:val="00782811"/>
    <w:rsid w:val="00792910"/>
    <w:rsid w:val="007B0085"/>
    <w:rsid w:val="007B3EC5"/>
    <w:rsid w:val="007B4E99"/>
    <w:rsid w:val="007D0F19"/>
    <w:rsid w:val="007E4D16"/>
    <w:rsid w:val="007E57D1"/>
    <w:rsid w:val="008020D3"/>
    <w:rsid w:val="008241FD"/>
    <w:rsid w:val="00836ABF"/>
    <w:rsid w:val="00872978"/>
    <w:rsid w:val="0088640D"/>
    <w:rsid w:val="00892D2A"/>
    <w:rsid w:val="00894C41"/>
    <w:rsid w:val="008B0AD8"/>
    <w:rsid w:val="008D080A"/>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A1E09"/>
    <w:rsid w:val="00BC77B2"/>
    <w:rsid w:val="00BD076A"/>
    <w:rsid w:val="00BF4BBE"/>
    <w:rsid w:val="00C30770"/>
    <w:rsid w:val="00C44047"/>
    <w:rsid w:val="00C62C69"/>
    <w:rsid w:val="00C67CC4"/>
    <w:rsid w:val="00C82A78"/>
    <w:rsid w:val="00C96FAB"/>
    <w:rsid w:val="00CB1E38"/>
    <w:rsid w:val="00CE6CF0"/>
    <w:rsid w:val="00D24AA7"/>
    <w:rsid w:val="00D526D8"/>
    <w:rsid w:val="00D52D07"/>
    <w:rsid w:val="00D57139"/>
    <w:rsid w:val="00DA3BBD"/>
    <w:rsid w:val="00E061A7"/>
    <w:rsid w:val="00E0632F"/>
    <w:rsid w:val="00E348C2"/>
    <w:rsid w:val="00EC3709"/>
    <w:rsid w:val="00ED04A2"/>
    <w:rsid w:val="00ED6FC7"/>
    <w:rsid w:val="00EE442D"/>
    <w:rsid w:val="00EF3BDE"/>
    <w:rsid w:val="00F10B4F"/>
    <w:rsid w:val="00F46DF4"/>
    <w:rsid w:val="00F7075C"/>
    <w:rsid w:val="00FA2238"/>
    <w:rsid w:val="00FA5AAA"/>
    <w:rsid w:val="0470094A"/>
    <w:rsid w:val="05130FB5"/>
    <w:rsid w:val="0E870162"/>
    <w:rsid w:val="18437F9A"/>
    <w:rsid w:val="1AD876B6"/>
    <w:rsid w:val="2E605140"/>
    <w:rsid w:val="33595457"/>
    <w:rsid w:val="36DF0BDD"/>
    <w:rsid w:val="40AB029E"/>
    <w:rsid w:val="51E8497D"/>
    <w:rsid w:val="5994238F"/>
    <w:rsid w:val="615C25A3"/>
    <w:rsid w:val="6538158E"/>
    <w:rsid w:val="74C54EDF"/>
    <w:rsid w:val="77F233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3"/>
    <w:semiHidden/>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footnote reference"/>
    <w:semiHidden/>
    <w:qFormat/>
    <w:uiPriority w:val="99"/>
    <w:rPr>
      <w:vertAlign w:val="superscript"/>
    </w:rPr>
  </w:style>
  <w:style w:type="character" w:customStyle="1" w:styleId="11">
    <w:name w:val="页脚 Char"/>
    <w:link w:val="2"/>
    <w:semiHidden/>
    <w:locked/>
    <w:uiPriority w:val="99"/>
    <w:rPr>
      <w:rFonts w:ascii="Times New Roman" w:hAnsi="Times New Roman" w:eastAsia="宋体" w:cs="Times New Roman"/>
      <w:sz w:val="18"/>
      <w:szCs w:val="18"/>
    </w:rPr>
  </w:style>
  <w:style w:type="character" w:customStyle="1" w:styleId="12">
    <w:name w:val="页眉 Char"/>
    <w:link w:val="3"/>
    <w:semiHidden/>
    <w:locked/>
    <w:uiPriority w:val="99"/>
    <w:rPr>
      <w:rFonts w:ascii="Times New Roman" w:hAnsi="Times New Roman" w:eastAsia="宋体" w:cs="Times New Roman"/>
      <w:sz w:val="18"/>
      <w:szCs w:val="18"/>
    </w:rPr>
  </w:style>
  <w:style w:type="character" w:customStyle="1" w:styleId="13">
    <w:name w:val="脚注文本 Char"/>
    <w:link w:val="5"/>
    <w:semiHidden/>
    <w:locked/>
    <w:uiPriority w:val="99"/>
    <w:rPr>
      <w:rFonts w:ascii="Calibri" w:hAnsi="Calibri" w:cs="Calibri"/>
      <w:sz w:val="18"/>
      <w:szCs w:val="18"/>
    </w:rPr>
  </w:style>
  <w:style w:type="paragraph" w:customStyle="1" w:styleId="14">
    <w:name w:val="Char"/>
    <w:basedOn w:val="1"/>
    <w:qFormat/>
    <w:uiPriority w:val="99"/>
    <w:rPr>
      <w:rFonts w:ascii="Times New Roman" w:hAnsi="Times New Roman" w:cs="Times New Roman"/>
    </w:rPr>
  </w:style>
  <w:style w:type="character" w:customStyle="1" w:styleId="15">
    <w:name w:val="页码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2499</Words>
  <Characters>2619</Characters>
  <Lines>15</Lines>
  <Paragraphs>4</Paragraphs>
  <TotalTime>6</TotalTime>
  <ScaleCrop>false</ScaleCrop>
  <LinksUpToDate>false</LinksUpToDate>
  <CharactersWithSpaces>2653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2024-05-28T02:31:33Z</dcterms:modified>
  <dc:title>o</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96C503161DD945F69575B927BC5768AE_12</vt:lpwstr>
  </property>
</Properties>
</file>