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lang w:val="en-US" w:eastAsia="zh-CN"/>
        </w:rPr>
        <w:t xml:space="preserve">   </w:t>
      </w:r>
      <w:r>
        <w:rPr>
          <w:rFonts w:hint="eastAsia"/>
        </w:rPr>
        <w:t>馆陶县</w:t>
      </w:r>
      <w:r>
        <w:rPr>
          <w:rFonts w:hint="eastAsia"/>
          <w:lang w:eastAsia="zh-CN"/>
        </w:rPr>
        <w:t>金凤市场管理委员会办公室</w:t>
      </w:r>
      <w:r>
        <w:rPr>
          <w:rFonts w:hint="eastAsia"/>
          <w:lang w:val="en-US" w:eastAsia="zh-CN"/>
        </w:rPr>
        <w:t xml:space="preserve">       </w:t>
      </w:r>
      <w:r>
        <w:t>2020</w:t>
      </w:r>
      <w:r>
        <w:rPr>
          <w:rFonts w:hint="eastAsia"/>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按照《中华人民共和国预算法》、《地方预决算公开操作规程》和《河北省省级预</w:t>
      </w:r>
      <w:bookmarkStart w:id="3" w:name="_GoBack"/>
      <w:bookmarkEnd w:id="3"/>
      <w:r>
        <w:rPr>
          <w:rFonts w:hint="eastAsia" w:ascii="仿宋" w:hAnsi="仿宋" w:eastAsia="仿宋" w:cs="仿宋"/>
          <w:sz w:val="32"/>
          <w:szCs w:val="32"/>
        </w:rPr>
        <w:t>算公开办法》规定，现将</w:t>
      </w:r>
      <w:r>
        <w:rPr>
          <w:rFonts w:hint="eastAsia" w:ascii="仿宋" w:hAnsi="仿宋" w:eastAsia="仿宋" w:cs="仿宋"/>
          <w:sz w:val="32"/>
          <w:szCs w:val="32"/>
          <w:lang w:eastAsia="zh-CN"/>
        </w:rPr>
        <w:t>金凤市场管理委员会办公室</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jc w:val="left"/>
        <w:rPr>
          <w:rFonts w:hint="eastAsia" w:ascii="方正小标宋_GBK" w:eastAsia="方正小标宋_GBK"/>
          <w:sz w:val="30"/>
          <w:szCs w:val="30"/>
        </w:rPr>
      </w:pP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金凤市场系农业产业化国家重点龙头企业，在全县农业结构调整和农民增收的进程中，充分发挥其吸纳辐射的龙头带动和交易平台作用，立足农业，面向农村，服务农民，为农业增效、农民增收发挥了巨大作用。1998年11月18日正是挂牌成立。在县委、县政府的领导下，根据2003年1月24日馆陶县第十三届人民代表大会常务委员会第三十五次会议通过的馆陶县金凤市场管理若干规定(试行)，其主要职责分为：负责市场规划建设，起草总体规划等文件及协调的馆陶县金凤市场管理若干规定(试行)具体实施；负责收取市场设施租赁费、有偿服务费等规费，做到合理收费，收之于市场，用之于市场；负责创造良好的经营环境，提供优质服务，依法查处违犯市场管理、破坏市场秩序的不法行为；负责对市场工作人员的引进、培训和管理工作，努力创建文明有序的一流市场；负责县委、县政府交办的其他事项，承办县人大</w:t>
      </w:r>
      <w:r>
        <w:rPr>
          <w:rFonts w:hint="eastAsia" w:ascii="方正小标宋_GBK" w:eastAsia="方正小标宋_GBK"/>
          <w:sz w:val="30"/>
          <w:szCs w:val="30"/>
          <w:lang w:eastAsia="zh-CN"/>
        </w:rPr>
        <w:t>、</w:t>
      </w:r>
      <w:r>
        <w:rPr>
          <w:rFonts w:hint="eastAsia" w:ascii="方正小标宋_GBK" w:eastAsia="方正小标宋_GBK"/>
          <w:sz w:val="30"/>
          <w:szCs w:val="30"/>
        </w:rPr>
        <w:t>县政协建议、提案事宜。</w:t>
      </w:r>
    </w:p>
    <w:p>
      <w:pPr>
        <w:jc w:val="center"/>
        <w:rPr>
          <w:rFonts w:hint="eastAsia" w:ascii="方正小标宋_GBK" w:eastAsia="方正小标宋_GBK"/>
          <w:sz w:val="30"/>
          <w:szCs w:val="30"/>
        </w:rPr>
      </w:pPr>
      <w:r>
        <w:rPr>
          <w:rFonts w:hint="eastAsia" w:ascii="方正小标宋_GBK" w:eastAsia="方正小标宋_GBK"/>
          <w:sz w:val="30"/>
          <w:szCs w:val="30"/>
        </w:rPr>
        <w:t xml:space="preserve">    内设办公室、财务科、综合管理科、环卫科、物流配送中</w:t>
      </w:r>
    </w:p>
    <w:p>
      <w:pPr>
        <w:rPr>
          <w:rFonts w:hint="eastAsia" w:ascii="方正小标宋_GBK" w:eastAsia="方正小标宋_GBK"/>
          <w:sz w:val="30"/>
          <w:szCs w:val="30"/>
        </w:rPr>
      </w:pPr>
      <w:r>
        <w:rPr>
          <w:rFonts w:hint="eastAsia" w:ascii="方正小标宋_GBK" w:eastAsia="方正小标宋_GBK"/>
          <w:sz w:val="30"/>
          <w:szCs w:val="30"/>
        </w:rPr>
        <w:t>子磅服务中心、电子结算中心、检验检测中心等八个职能科（室）。</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馆陶县金凤市场管理委员会办公室</w:t>
            </w:r>
          </w:p>
        </w:tc>
        <w:tc>
          <w:tcPr>
            <w:tcW w:w="1134"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事业单位</w:t>
            </w:r>
          </w:p>
        </w:tc>
        <w:tc>
          <w:tcPr>
            <w:tcW w:w="1276" w:type="dxa"/>
            <w:vAlign w:val="center"/>
          </w:tcPr>
          <w:p>
            <w:pPr>
              <w:jc w:val="center"/>
              <w:rPr>
                <w:rFonts w:ascii="Times New Roman" w:hAnsi="Times New Roman" w:eastAsia="方正书宋_GBK"/>
                <w:sz w:val="21"/>
                <w:szCs w:val="21"/>
              </w:rPr>
            </w:pPr>
            <w:r>
              <w:rPr>
                <w:rFonts w:hint="eastAsia" w:ascii="仿宋" w:hAnsi="仿宋" w:eastAsia="仿宋"/>
                <w:sz w:val="21"/>
                <w:szCs w:val="21"/>
              </w:rPr>
              <w:t>正科级</w:t>
            </w:r>
          </w:p>
        </w:tc>
        <w:tc>
          <w:tcPr>
            <w:tcW w:w="2902" w:type="dxa"/>
            <w:vAlign w:val="center"/>
          </w:tcPr>
          <w:p>
            <w:pPr>
              <w:rPr>
                <w:rFonts w:hint="eastAsia" w:ascii="Times New Roman" w:hAnsi="Times New Roman" w:eastAsia="方正书宋_GBK"/>
                <w:sz w:val="21"/>
                <w:szCs w:val="21"/>
                <w:lang w:eastAsia="zh-CN"/>
              </w:rPr>
            </w:pPr>
            <w:r>
              <w:rPr>
                <w:rFonts w:hint="eastAsia" w:ascii="仿宋" w:hAnsi="仿宋" w:eastAsia="仿宋"/>
                <w:sz w:val="21"/>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lang w:eastAsia="zh-CN"/>
        </w:rPr>
        <w:t>金凤市场管理委员会办公室</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190.8</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158.2</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32.6</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hint="default" w:ascii="Times New Roman" w:hAnsi="Times New Roman" w:eastAsia="仿宋"/>
          <w:sz w:val="32"/>
          <w:szCs w:val="32"/>
          <w:lang w:val="en-US" w:eastAsia="zh-CN"/>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金凤市场管理委员会办公室</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190.8</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190.8</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119.2</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39</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32.6</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占地补偿款</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32.6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 xml:space="preserve">                           </w:t>
      </w: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190.8</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17.289</w:t>
      </w:r>
      <w:r>
        <w:rPr>
          <w:rFonts w:hint="eastAsia" w:ascii="Times New Roman" w:hAnsi="Times New Roman" w:eastAsia="仿宋" w:cs="仿宋"/>
          <w:sz w:val="32"/>
          <w:szCs w:val="32"/>
        </w:rPr>
        <w:t>万元，其中：基本支出增长</w:t>
      </w:r>
      <w:r>
        <w:rPr>
          <w:rFonts w:hint="eastAsia" w:ascii="Times New Roman" w:hAnsi="Times New Roman" w:eastAsia="仿宋" w:cs="仿宋"/>
          <w:sz w:val="32"/>
          <w:szCs w:val="32"/>
          <w:lang w:val="en-US" w:eastAsia="zh-CN"/>
        </w:rPr>
        <w:t>17.289</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人员经费增加</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190.8</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lang w:eastAsia="zh-CN"/>
        </w:rPr>
        <w:t>保证单位正常</w:t>
      </w:r>
      <w:r>
        <w:rPr>
          <w:rFonts w:hint="eastAsia" w:ascii="Times New Roman" w:hAnsi="Times New Roman" w:eastAsia="仿宋" w:cs="Times New Roman"/>
          <w:sz w:val="32"/>
          <w:szCs w:val="32"/>
        </w:rPr>
        <w:t>运转的办公</w:t>
      </w:r>
      <w:r>
        <w:rPr>
          <w:rFonts w:hint="eastAsia" w:ascii="Times New Roman" w:hAnsi="Times New Roman" w:eastAsia="仿宋" w:cs="Times New Roman"/>
          <w:sz w:val="32"/>
          <w:szCs w:val="32"/>
          <w:lang w:eastAsia="zh-CN"/>
        </w:rPr>
        <w:t>费</w:t>
      </w:r>
      <w:r>
        <w:rPr>
          <w:rFonts w:hint="eastAsia" w:ascii="Times New Roman" w:hAnsi="Times New Roman" w:eastAsia="仿宋" w:cs="Times New Roman"/>
          <w:sz w:val="32"/>
          <w:szCs w:val="32"/>
        </w:rPr>
        <w:t>及邮电费、差旅费</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办公用房水电费、日常维修费、</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黑体" w:hAnsi="黑体" w:eastAsia="黑体"/>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val="en-US" w:eastAsia="zh-CN"/>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rPr>
        <w:t>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年交易额每年保持5%的递增率，市场交易设施不断完善；</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加快金凤市场水果精品交易区建设，力争20</w:t>
      </w:r>
      <w:r>
        <w:rPr>
          <w:rFonts w:hint="eastAsia" w:ascii="仿宋_GB2312" w:eastAsia="仿宋_GB2312"/>
          <w:sz w:val="32"/>
          <w:szCs w:val="32"/>
          <w:lang w:val="en-US" w:eastAsia="zh-CN"/>
        </w:rPr>
        <w:t>20</w:t>
      </w:r>
      <w:r>
        <w:rPr>
          <w:rFonts w:hint="eastAsia" w:ascii="仿宋_GB2312" w:eastAsia="仿宋_GB2312"/>
          <w:sz w:val="32"/>
          <w:szCs w:val="32"/>
        </w:rPr>
        <w:t>年正常运营，达到交易繁荣，为馆陶县的经济发展做贡献。</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发挥金凤市场国家级龙企业优势，发挥龙头带动作用，带动农业增效农民增收。</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扩大市场知名度，美誉度，争创国家名牌和国家驰名商标。</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建立和维护市场秩序，服务地方经济发展。</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对市场的场地、基础设施、垃圾处理及网络进行维护。</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对市场的电子商务交易平台、信息安全监控系统、检验检测设备设施及网络进行维护。</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依法规范和维护市场内经营秩序，监督管理市场交易行为。依法实施农产品交易监督管理，依法查处欺行霸市等不公平交易行为。</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进一步繁荣市场，完善市场功能，切实促进蛋鸡产业发展。</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运用行政与法律手段，对市场经营主体及市场行为进行行政指导、监督管理。</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运用行政与法律手段，对市场的场地、基础设施及网络进行维护。</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建立和维护市场秩序，服务地方经济发展。</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对市场的场地、基础设施、垃圾处理及网络进行维护。</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对市场的电子商务交易平台、信息安全监控系统、检验检测设备设施及网络进行维护。</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依法规范和维护市场内经营秩序，监督管理市场交易行为。依法实施农产品交易监督管理，依法查处欺行霸市等不公平交易行为。</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进一步繁荣市场，完善市场功能，切实促进蛋鸡产业发展。</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增强市场诚信经营意识和规范市场交易管理，维护市场经营秩序。</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增强市场服务体系，规范和完善市场交易管理功能，对市场的场地、基础设施及网络进行维护。</w:t>
      </w:r>
    </w:p>
    <w:p>
      <w:pPr>
        <w:autoSpaceDE w:val="0"/>
        <w:autoSpaceDN w:val="0"/>
        <w:adjustRightInd w:val="0"/>
        <w:ind w:left="198" w:firstLine="640" w:firstLineChars="200"/>
        <w:jc w:val="left"/>
        <w:rPr>
          <w:rFonts w:hint="eastAsia" w:ascii="仿宋_GB2312" w:eastAsia="仿宋_GB2312"/>
          <w:sz w:val="32"/>
          <w:szCs w:val="32"/>
        </w:rPr>
        <w:sectPr>
          <w:pgSz w:w="11907" w:h="16839"/>
          <w:pgMar w:top="1531" w:right="1134" w:bottom="1474" w:left="1134" w:header="851" w:footer="992" w:gutter="0"/>
          <w:cols w:space="720" w:num="1"/>
          <w:docGrid w:type="lines" w:linePitch="312" w:charSpace="0"/>
        </w:sectPr>
      </w:pP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增强市场诚信经营意识和规范市场交易管理，维护市场经营秩序。</w:t>
      </w:r>
    </w:p>
    <w:p>
      <w:pPr>
        <w:autoSpaceDE w:val="0"/>
        <w:autoSpaceDN w:val="0"/>
        <w:adjustRightInd w:val="0"/>
        <w:ind w:left="198" w:firstLine="640" w:firstLineChars="200"/>
        <w:jc w:val="left"/>
        <w:rPr>
          <w:rFonts w:hint="eastAsia" w:ascii="仿宋_GB2312" w:eastAsia="仿宋_GB2312"/>
          <w:sz w:val="32"/>
          <w:szCs w:val="32"/>
        </w:rPr>
      </w:pPr>
      <w:r>
        <w:rPr>
          <w:rFonts w:hint="eastAsia" w:ascii="仿宋_GB2312" w:eastAsia="仿宋_GB2312"/>
          <w:sz w:val="32"/>
          <w:szCs w:val="32"/>
        </w:rPr>
        <w:t>增强市场服务体系，规范和完善市场交易管理功能，对市场的场地、基础设施及网络进行维护。</w:t>
      </w:r>
    </w:p>
    <w:p>
      <w:pPr>
        <w:autoSpaceDE w:val="0"/>
        <w:autoSpaceDN w:val="0"/>
        <w:adjustRightInd w:val="0"/>
        <w:ind w:left="198" w:firstLine="640" w:firstLineChars="200"/>
        <w:jc w:val="left"/>
        <w:rPr>
          <w:rFonts w:hint="eastAsia" w:ascii="仿宋_GB2312" w:eastAsia="仿宋_GB2312"/>
          <w:sz w:val="32"/>
          <w:szCs w:val="32"/>
        </w:rPr>
        <w:sectPr>
          <w:pgSz w:w="11907" w:h="16839"/>
          <w:pgMar w:top="1531" w:right="1134" w:bottom="1474" w:left="1134" w:header="851" w:footer="992" w:gutter="0"/>
          <w:cols w:space="720" w:num="1"/>
          <w:docGrid w:type="lines" w:linePitch="312" w:charSpace="0"/>
        </w:sectPr>
      </w:pPr>
    </w:p>
    <w:p>
      <w:pPr>
        <w:autoSpaceDE w:val="0"/>
        <w:autoSpaceDN w:val="0"/>
        <w:adjustRightInd w:val="0"/>
        <w:ind w:left="198" w:firstLine="643" w:firstLineChars="200"/>
        <w:jc w:val="center"/>
        <w:rPr>
          <w:rFonts w:ascii="仿宋_GB2312" w:eastAsia="仿宋_GB2312"/>
          <w:b/>
          <w:bCs/>
          <w:sz w:val="32"/>
          <w:szCs w:val="32"/>
        </w:rPr>
      </w:pP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lang w:val="en-US" w:eastAsia="zh-CN"/>
        </w:rPr>
        <w:t xml:space="preserve">                                                             </w:t>
      </w: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仿宋_GBK" w:eastAsia="方正仿宋_GBK" w:cs="方正仿宋_GBK"/>
                <w:b/>
                <w:bCs/>
                <w:sz w:val="28"/>
                <w:szCs w:val="28"/>
                <w:highlight w:val="yellow"/>
                <w:lang w:val="en-US" w:eastAsia="zh-CN"/>
              </w:rPr>
              <w:t>1、</w:t>
            </w:r>
            <w:r>
              <w:rPr>
                <w:rFonts w:hint="eastAsia" w:ascii="方正仿宋_GBK" w:eastAsia="方正仿宋_GBK" w:cs="方正仿宋_GBK"/>
                <w:b/>
                <w:bCs/>
                <w:sz w:val="28"/>
                <w:szCs w:val="28"/>
                <w:highlight w:val="yellow"/>
                <w:lang w:eastAsia="zh-CN"/>
              </w:rPr>
              <w:t>禽蛋农贸批发市场占地款</w:t>
            </w: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lang w:eastAsia="zh-CN"/>
              </w:rPr>
            </w:pPr>
            <w:r>
              <w:rPr>
                <w:rFonts w:ascii="方正书宋_GBK" w:eastAsia="方正书宋_GBK" w:cs="方正书宋_GBK"/>
              </w:rPr>
              <w:t>1</w:t>
            </w:r>
            <w:r>
              <w:rPr>
                <w:rFonts w:hint="eastAsia" w:ascii="方正书宋_GBK" w:eastAsia="方正书宋_GBK" w:cs="方正书宋_GBK"/>
              </w:rPr>
              <w:t>、</w:t>
            </w:r>
            <w:r>
              <w:rPr>
                <w:rFonts w:hint="eastAsia" w:ascii="方正书宋_GBK" w:eastAsia="方正书宋_GBK" w:cs="方正书宋_GBK"/>
                <w:lang w:eastAsia="zh-CN"/>
              </w:rPr>
              <w:t>进一步完善市场功能，硬化交易场所，规范摊位管理，促进金凤市场繁荣发展。</w:t>
            </w:r>
          </w:p>
          <w:p>
            <w:pPr>
              <w:spacing w:line="300" w:lineRule="exact"/>
              <w:jc w:val="left"/>
              <w:rPr>
                <w:rFonts w:hint="eastAsia" w:ascii="方正书宋_GBK" w:eastAsia="方正书宋_GBK" w:cs="方正书宋_GBK"/>
                <w:lang w:eastAsia="zh-CN"/>
              </w:rPr>
            </w:pPr>
          </w:p>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财政专项资金数量</w:t>
            </w:r>
          </w:p>
        </w:tc>
        <w:tc>
          <w:tcPr>
            <w:tcW w:w="28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2020年专项资金数量</w:t>
            </w:r>
          </w:p>
        </w:tc>
        <w:tc>
          <w:tcPr>
            <w:tcW w:w="1276" w:type="dxa"/>
            <w:vAlign w:val="center"/>
          </w:tcPr>
          <w:p>
            <w:pPr>
              <w:spacing w:line="300" w:lineRule="exact"/>
              <w:jc w:val="left"/>
              <w:rPr>
                <w:rFonts w:hint="eastAsia" w:ascii="方正书宋_GBK" w:hAnsi="方正书宋_GBK" w:eastAsia="方正书宋_GBK" w:cs="方正书宋_GBK"/>
                <w:lang w:val="en-US" w:eastAsia="zh-CN"/>
              </w:rPr>
            </w:pPr>
            <w:r>
              <w:rPr>
                <w:rFonts w:hint="eastAsia" w:ascii="宋体" w:hAnsi="宋体" w:eastAsia="宋体" w:cs="宋体"/>
              </w:rPr>
              <w:t>≧</w:t>
            </w:r>
            <w:r>
              <w:rPr>
                <w:rFonts w:hint="eastAsia" w:ascii="方正书宋_GBK" w:hAnsi="方正书宋_GBK" w:eastAsia="方正书宋_GBK" w:cs="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ind w:firstLine="373" w:firstLineChars="0"/>
              <w:jc w:val="left"/>
              <w:rPr>
                <w:rFonts w:hint="eastAsia" w:ascii="方正书宋_GBK" w:eastAsia="方正书宋_GBK"/>
                <w:lang w:eastAsia="zh-CN"/>
              </w:rPr>
            </w:pPr>
            <w:r>
              <w:rPr>
                <w:rFonts w:hint="eastAsia" w:ascii="方正书宋_GBK" w:eastAsia="方正书宋_GBK"/>
                <w:lang w:eastAsia="zh-CN"/>
              </w:rPr>
              <w:t>优良率</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支付两村租金完成情况</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ind w:firstLine="210" w:firstLineChars="100"/>
              <w:jc w:val="left"/>
              <w:rPr>
                <w:rFonts w:hint="eastAsia" w:ascii="方正书宋_GBK" w:eastAsia="方正书宋_GBK"/>
                <w:lang w:eastAsia="zh-CN"/>
              </w:rPr>
            </w:pPr>
            <w:r>
              <w:rPr>
                <w:rFonts w:hint="eastAsia" w:ascii="方正书宋_GBK" w:eastAsia="方正书宋_GBK"/>
                <w:lang w:eastAsia="zh-CN"/>
              </w:rPr>
              <w:t>完成率</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两村租金完成时间</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2020年11月底</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省级文明市场</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发挥金凤市场国家级龙头企业优势，带动农业增效农民增收。</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群众满意度</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村民对市场服务整体满意</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调查统计</w:t>
            </w:r>
          </w:p>
        </w:tc>
      </w:tr>
    </w:tbl>
    <w:p>
      <w:pPr>
        <w:ind w:firstLine="643" w:firstLineChars="200"/>
        <w:rPr>
          <w:rFonts w:ascii="仿宋_GB2312" w:hAnsi="黑体" w:eastAsia="仿宋_GB2312"/>
          <w:b/>
          <w:bCs/>
          <w:sz w:val="32"/>
          <w:szCs w:val="32"/>
        </w:rPr>
      </w:pPr>
    </w:p>
    <w:p>
      <w:pPr>
        <w:ind w:firstLine="643" w:firstLineChars="200"/>
        <w:rPr>
          <w:rFonts w:hint="default"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 xml:space="preserve"> </w:t>
      </w:r>
    </w:p>
    <w:p>
      <w:pPr>
        <w:ind w:firstLine="643" w:firstLineChars="200"/>
        <w:jc w:val="center"/>
        <w:rPr>
          <w:rFonts w:hint="eastAsia" w:ascii="仿宋_GB2312" w:hAnsi="黑体" w:eastAsia="仿宋_GB2312" w:cs="仿宋_GB2312"/>
          <w:b/>
          <w:bCs/>
          <w:sz w:val="32"/>
          <w:szCs w:val="32"/>
          <w:lang w:val="en-US" w:eastAsia="zh-CN"/>
        </w:rPr>
      </w:pPr>
      <w:r>
        <w:rPr>
          <w:rFonts w:hint="eastAsia" w:ascii="仿宋_GB2312" w:hAnsi="黑体" w:eastAsia="仿宋_GB2312" w:cs="仿宋_GB2312"/>
          <w:b/>
          <w:bCs/>
          <w:sz w:val="32"/>
          <w:szCs w:val="32"/>
          <w:lang w:val="en-US" w:eastAsia="zh-CN"/>
        </w:rPr>
        <w:t xml:space="preserve">                                                                                                                </w:t>
      </w:r>
    </w:p>
    <w:p>
      <w:pPr>
        <w:ind w:firstLine="643" w:firstLineChars="200"/>
        <w:jc w:val="center"/>
        <w:rPr>
          <w:rFonts w:hint="eastAsia" w:ascii="仿宋_GB2312" w:hAnsi="黑体" w:eastAsia="仿宋_GB2312" w:cs="仿宋_GB2312"/>
          <w:b/>
          <w:bCs/>
          <w:sz w:val="32"/>
          <w:szCs w:val="32"/>
          <w:lang w:val="en-US" w:eastAsia="zh-CN"/>
        </w:rPr>
      </w:pPr>
    </w:p>
    <w:p>
      <w:pPr>
        <w:ind w:firstLine="643" w:firstLineChars="200"/>
        <w:jc w:val="center"/>
        <w:rPr>
          <w:rFonts w:hint="eastAsia" w:ascii="仿宋_GB2312" w:hAnsi="黑体" w:eastAsia="仿宋_GB2312" w:cs="仿宋_GB2312"/>
          <w:b/>
          <w:bCs/>
          <w:sz w:val="32"/>
          <w:szCs w:val="32"/>
          <w:lang w:val="en-US" w:eastAsia="zh-CN"/>
        </w:rPr>
      </w:pPr>
    </w:p>
    <w:p>
      <w:pPr>
        <w:ind w:firstLine="643" w:firstLineChars="200"/>
        <w:jc w:val="center"/>
        <w:rPr>
          <w:rFonts w:hint="eastAsia" w:ascii="仿宋_GB2312" w:hAnsi="黑体" w:eastAsia="仿宋_GB2312" w:cs="仿宋_GB2312"/>
          <w:b/>
          <w:bCs/>
          <w:sz w:val="32"/>
          <w:szCs w:val="32"/>
          <w:lang w:val="en-US" w:eastAsia="zh-CN"/>
        </w:rPr>
      </w:pPr>
    </w:p>
    <w:p>
      <w:pPr>
        <w:ind w:firstLine="643" w:firstLineChars="200"/>
        <w:jc w:val="center"/>
        <w:rPr>
          <w:rFonts w:hint="eastAsia" w:ascii="仿宋_GB2312" w:hAnsi="黑体" w:eastAsia="仿宋_GB2312" w:cs="仿宋_GB2312"/>
          <w:b/>
          <w:bCs/>
          <w:sz w:val="32"/>
          <w:szCs w:val="32"/>
          <w:lang w:val="en-US" w:eastAsia="zh-CN"/>
        </w:rPr>
      </w:pPr>
    </w:p>
    <w:p>
      <w:pPr>
        <w:ind w:firstLine="643" w:firstLineChars="200"/>
        <w:jc w:val="center"/>
        <w:rPr>
          <w:rFonts w:hint="eastAsia" w:ascii="仿宋_GB2312" w:hAnsi="黑体" w:eastAsia="仿宋_GB2312" w:cs="仿宋_GB2312"/>
          <w:b/>
          <w:bCs/>
          <w:sz w:val="32"/>
          <w:szCs w:val="32"/>
          <w:lang w:val="en-US" w:eastAsia="zh-CN"/>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hint="eastAsia" w:ascii="方正仿宋_GBK" w:eastAsia="方正仿宋_GBK" w:cs="方正仿宋_GBK"/>
                <w:b/>
                <w:bCs/>
                <w:sz w:val="28"/>
                <w:szCs w:val="28"/>
                <w:highlight w:val="yellow"/>
                <w:lang w:val="en-US" w:eastAsia="zh-CN"/>
              </w:rPr>
              <w:t>1、</w:t>
            </w:r>
            <w:r>
              <w:rPr>
                <w:rFonts w:hint="eastAsia" w:ascii="方正仿宋_GBK" w:eastAsia="方正仿宋_GBK" w:cs="方正仿宋_GBK"/>
                <w:b/>
                <w:bCs/>
                <w:sz w:val="28"/>
                <w:szCs w:val="28"/>
                <w:highlight w:val="yellow"/>
                <w:lang w:eastAsia="zh-CN"/>
              </w:rPr>
              <w:t>禽蛋农贸批发市场占地款</w:t>
            </w: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lang w:eastAsia="zh-CN"/>
              </w:rPr>
            </w:pPr>
            <w:r>
              <w:rPr>
                <w:rFonts w:ascii="方正书宋_GBK" w:eastAsia="方正书宋_GBK" w:cs="方正书宋_GBK"/>
              </w:rPr>
              <w:t>1</w:t>
            </w:r>
            <w:r>
              <w:rPr>
                <w:rFonts w:hint="eastAsia" w:ascii="方正书宋_GBK" w:eastAsia="方正书宋_GBK" w:cs="方正书宋_GBK"/>
              </w:rPr>
              <w:t>、</w:t>
            </w:r>
            <w:r>
              <w:rPr>
                <w:rFonts w:hint="eastAsia" w:ascii="方正书宋_GBK" w:eastAsia="方正书宋_GBK" w:cs="方正书宋_GBK"/>
                <w:lang w:eastAsia="zh-CN"/>
              </w:rPr>
              <w:t>进一步完善市场功能，硬化交易场所，规范摊位管理，促进金凤市场繁荣发展。</w:t>
            </w:r>
          </w:p>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财政专项资金数量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val="en-US" w:eastAsia="zh-CN"/>
              </w:rPr>
              <w:t>2020年专项资金数量</w:t>
            </w:r>
          </w:p>
        </w:tc>
        <w:tc>
          <w:tcPr>
            <w:tcW w:w="1276" w:type="dxa"/>
            <w:vAlign w:val="center"/>
          </w:tcPr>
          <w:p>
            <w:pPr>
              <w:spacing w:line="300" w:lineRule="exact"/>
              <w:jc w:val="left"/>
              <w:rPr>
                <w:rFonts w:ascii="方正书宋_GBK" w:eastAsia="方正书宋_GBK"/>
              </w:rPr>
            </w:pPr>
            <w:r>
              <w:rPr>
                <w:rFonts w:hint="eastAsia" w:ascii="宋体" w:hAnsi="宋体" w:eastAsia="宋体" w:cs="宋体"/>
              </w:rPr>
              <w:t>≧</w:t>
            </w:r>
            <w:r>
              <w:rPr>
                <w:rFonts w:hint="eastAsia" w:ascii="方正书宋_GBK" w:hAnsi="方正书宋_GBK" w:eastAsia="方正书宋_GBK" w:cs="方正书宋_GBK"/>
                <w:lang w:val="en-US" w:eastAsia="zh-CN"/>
              </w:rPr>
              <w:t>1</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ind w:firstLine="373" w:firstLineChars="0"/>
              <w:jc w:val="left"/>
              <w:rPr>
                <w:rFonts w:ascii="方正书宋_GBK" w:eastAsia="方正书宋_GBK"/>
              </w:rPr>
            </w:pPr>
            <w:r>
              <w:rPr>
                <w:rFonts w:hint="eastAsia" w:ascii="方正书宋_GBK" w:eastAsia="方正书宋_GBK"/>
                <w:lang w:eastAsia="zh-CN"/>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支付两村租金完成情况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ind w:firstLine="210" w:firstLineChars="100"/>
              <w:jc w:val="left"/>
              <w:rPr>
                <w:rFonts w:ascii="方正书宋_GBK" w:eastAsia="方正书宋_GBK"/>
              </w:rPr>
            </w:pPr>
            <w:r>
              <w:rPr>
                <w:rFonts w:hint="eastAsia" w:ascii="方正书宋_GBK" w:eastAsia="方正书宋_GBK"/>
                <w:lang w:eastAsia="zh-CN"/>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两村租金完成时间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2020年11月底</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eastAsia="zh-CN"/>
              </w:rPr>
              <w:t>省级文明市场</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发挥金凤市场国家级龙头企业优势，带动农业增效农民增收。</w:t>
            </w:r>
          </w:p>
        </w:tc>
        <w:tc>
          <w:tcPr>
            <w:tcW w:w="1276" w:type="dxa"/>
            <w:vAlign w:val="center"/>
          </w:tcPr>
          <w:p>
            <w:pPr>
              <w:spacing w:line="300" w:lineRule="exact"/>
              <w:jc w:val="left"/>
              <w:rPr>
                <w:rFonts w:ascii="方正书宋_GBK" w:eastAsia="方正书宋_GBK"/>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lang w:eastAsia="zh-CN"/>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生态效益指标</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生态环境</w:t>
            </w:r>
          </w:p>
        </w:tc>
        <w:tc>
          <w:tcPr>
            <w:tcW w:w="289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扩大市场知名度，美誉度，提高生态效益。</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群众满意度</w:t>
            </w:r>
          </w:p>
        </w:tc>
        <w:tc>
          <w:tcPr>
            <w:tcW w:w="289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村民对市场服务整体满意</w:t>
            </w:r>
          </w:p>
        </w:tc>
        <w:tc>
          <w:tcPr>
            <w:tcW w:w="1276"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val="en-US" w:eastAsia="zh-CN"/>
              </w:rPr>
              <w:t>100%</w:t>
            </w:r>
          </w:p>
        </w:tc>
        <w:tc>
          <w:tcPr>
            <w:tcW w:w="1701" w:type="dxa"/>
            <w:vAlign w:val="center"/>
          </w:tcPr>
          <w:p>
            <w:pPr>
              <w:spacing w:line="300" w:lineRule="exact"/>
              <w:jc w:val="left"/>
              <w:rPr>
                <w:rFonts w:ascii="方正书宋_GBK" w:hAnsi="Calibri" w:eastAsia="方正书宋_GBK" w:cs="Calibri"/>
                <w:kern w:val="2"/>
                <w:sz w:val="21"/>
                <w:szCs w:val="21"/>
                <w:lang w:val="en-US" w:eastAsia="zh-CN" w:bidi="ar-SA"/>
              </w:rPr>
            </w:pPr>
            <w:r>
              <w:rPr>
                <w:rFonts w:hint="eastAsia" w:ascii="方正书宋_GBK" w:eastAsia="方正书宋_GBK"/>
                <w:lang w:eastAsia="zh-CN"/>
              </w:rPr>
              <w:t>调查统计</w:t>
            </w:r>
          </w:p>
        </w:tc>
      </w:tr>
    </w:tbl>
    <w:p>
      <w:pPr>
        <w:spacing w:line="300" w:lineRule="exact"/>
        <w:ind w:firstLine="420" w:firstLineChars="200"/>
        <w:jc w:val="left"/>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万元。具体内容见下表。</w:t>
      </w:r>
      <w:bookmarkEnd w:id="1"/>
    </w:p>
    <w:p>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部门政府采购预算</w:t>
      </w:r>
      <w:bookmarkEnd w:id="2"/>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eastAsia="zh-CN"/>
              </w:rPr>
            </w:pPr>
            <w:r>
              <w:rPr>
                <w:rFonts w:hint="eastAsia" w:ascii="宋体" w:hAnsi="宋体" w:cs="宋体"/>
                <w:sz w:val="24"/>
                <w:szCs w:val="24"/>
              </w:rPr>
              <w:t>馆陶县</w:t>
            </w:r>
            <w:r>
              <w:rPr>
                <w:rFonts w:hint="eastAsia" w:ascii="宋体" w:hAnsi="宋体" w:cs="宋体"/>
                <w:sz w:val="24"/>
                <w:szCs w:val="24"/>
                <w:lang w:eastAsia="zh-CN"/>
              </w:rPr>
              <w:t>金凤市场管理委员会办公室</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ascii="方正书宋_GBK" w:eastAsia="方正书宋_GBK" w:cs="方正书宋_GBK"/>
                <w:b/>
                <w:bCs/>
              </w:rPr>
              <w:t>XXX</w:t>
            </w:r>
            <w:r>
              <w:rPr>
                <w:rFonts w:hint="eastAsia" w:ascii="方正书宋_GBK" w:eastAsia="方正书宋_GBK" w:cs="方正书宋_GBK"/>
                <w:b/>
                <w:bCs/>
              </w:rPr>
              <w:t>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headerReference r:id="rId3" w:type="default"/>
          <w:footerReference r:id="rId4" w:type="default"/>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eastAsia="zh-CN"/>
        </w:rPr>
        <w:t>金凤市场</w:t>
      </w:r>
      <w:r>
        <w:rPr>
          <w:rFonts w:hint="eastAsia" w:ascii="Times New Roman" w:hAnsi="Times New Roman" w:eastAsia="仿宋" w:cs="Times New Roman"/>
          <w:color w:val="000000"/>
          <w:sz w:val="32"/>
          <w:szCs w:val="32"/>
          <w:lang w:val="en-US" w:eastAsia="zh-CN"/>
        </w:rPr>
        <w:t>2019</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1228.7553</w:t>
      </w:r>
      <w:r>
        <w:rPr>
          <w:rFonts w:hint="eastAsia" w:ascii="Times New Roman" w:hAnsi="Times New Roman" w:eastAsia="仿宋" w:cs="仿宋"/>
          <w:color w:val="000000"/>
          <w:sz w:val="32"/>
          <w:szCs w:val="32"/>
        </w:rPr>
        <w:t>万元（详见下表），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hint="eastAsia" w:ascii="Times New Roman" w:hAnsi="Times New Roman" w:eastAsia="仿宋"/>
                <w:kern w:val="0"/>
                <w:sz w:val="22"/>
                <w:szCs w:val="22"/>
                <w:lang w:eastAsia="zh-CN"/>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馆陶县金凤市场管理委员会办公室</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szCs w:val="22"/>
                <w:lang w:val="en-US" w:eastAsia="zh-CN"/>
              </w:rPr>
            </w:pPr>
            <w:r>
              <w:rPr>
                <w:rFonts w:hint="eastAsia" w:ascii="Times New Roman" w:hAnsi="Times New Roman" w:eastAsia="仿宋"/>
                <w:color w:val="FF0000"/>
                <w:kern w:val="0"/>
                <w:sz w:val="22"/>
                <w:szCs w:val="22"/>
                <w:lang w:val="en-US" w:eastAsia="zh-CN"/>
              </w:rPr>
              <w:t>1228.75</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7152</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1103.53</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3200</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50.08</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124.52</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0.7</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firstLineChars="200"/>
        <w:rPr>
          <w:rFonts w:hint="eastAsia" w:eastAsia="方正仿宋_GBK"/>
          <w:sz w:val="32"/>
          <w:szCs w:val="32"/>
        </w:rPr>
      </w:pPr>
      <w:r>
        <w:rPr>
          <w:rFonts w:hint="eastAsia" w:ascii="仿宋_GB2312" w:eastAsia="仿宋_GB2312"/>
          <w:sz w:val="32"/>
          <w:szCs w:val="32"/>
          <w:lang w:val="en-US" w:eastAsia="zh-CN"/>
        </w:rPr>
        <w:t xml:space="preserve">    </w:t>
      </w:r>
      <w:r>
        <w:rPr>
          <w:rFonts w:eastAsia="方正仿宋_GBK"/>
          <w:bCs/>
          <w:sz w:val="32"/>
          <w:szCs w:val="32"/>
        </w:rPr>
        <w:t>1</w:t>
      </w:r>
      <w:r>
        <w:rPr>
          <w:rFonts w:hint="eastAsia" w:ascii="方正仿宋_GBK" w:hAnsi="方正仿宋_GBK" w:eastAsia="方正仿宋_GBK"/>
          <w:bCs/>
          <w:sz w:val="32"/>
          <w:szCs w:val="32"/>
        </w:rPr>
        <w:t>、一般公共预算拨款收入</w:t>
      </w:r>
      <w:r>
        <w:rPr>
          <w:rFonts w:hint="eastAsia" w:ascii="方正仿宋_GBK" w:hAnsi="方正仿宋_GBK" w:eastAsia="方正仿宋_GBK"/>
          <w:b/>
          <w:bCs/>
          <w:sz w:val="32"/>
          <w:szCs w:val="32"/>
        </w:rPr>
        <w:t>：</w:t>
      </w:r>
      <w:r>
        <w:rPr>
          <w:rFonts w:hint="eastAsia" w:ascii="仿宋_GB2312" w:eastAsia="仿宋_GB2312"/>
          <w:sz w:val="32"/>
          <w:szCs w:val="32"/>
        </w:rPr>
        <w:t>指县级财政当年拨付的资金。</w:t>
      </w:r>
    </w:p>
    <w:p>
      <w:pPr>
        <w:ind w:firstLine="640" w:firstLineChars="200"/>
        <w:rPr>
          <w:rFonts w:ascii="仿宋_GB2312" w:eastAsia="仿宋_GB2312"/>
          <w:sz w:val="32"/>
          <w:szCs w:val="32"/>
        </w:rPr>
      </w:pPr>
      <w:r>
        <w:rPr>
          <w:rFonts w:eastAsia="方正仿宋_GBK"/>
          <w:bCs/>
          <w:sz w:val="32"/>
          <w:szCs w:val="32"/>
        </w:rPr>
        <w:t>2</w:t>
      </w:r>
      <w:r>
        <w:rPr>
          <w:rFonts w:hint="eastAsia" w:ascii="方正仿宋_GBK" w:hAnsi="方正仿宋_GBK" w:eastAsia="方正仿宋_GBK"/>
          <w:bCs/>
          <w:sz w:val="32"/>
          <w:szCs w:val="32"/>
        </w:rPr>
        <w:t>、事业收入</w:t>
      </w:r>
      <w:r>
        <w:rPr>
          <w:rFonts w:hint="eastAsia" w:ascii="方正仿宋_GBK" w:hAnsi="方正仿宋_GBK" w:eastAsia="方正仿宋_GBK"/>
          <w:b/>
          <w:bCs/>
          <w:sz w:val="32"/>
          <w:szCs w:val="32"/>
        </w:rPr>
        <w:t>：</w:t>
      </w:r>
      <w:r>
        <w:rPr>
          <w:rFonts w:hint="eastAsia" w:ascii="仿宋_GB2312" w:eastAsia="仿宋_GB2312"/>
          <w:sz w:val="32"/>
          <w:szCs w:val="32"/>
        </w:rPr>
        <w:t>指事业单位开展专业业务活动及辅助活动所取得的收入。</w:t>
      </w:r>
    </w:p>
    <w:p>
      <w:pPr>
        <w:ind w:firstLine="640" w:firstLineChars="200"/>
        <w:rPr>
          <w:rFonts w:hint="eastAsia" w:ascii="仿宋_GB2312" w:eastAsia="仿宋_GB2312"/>
          <w:sz w:val="32"/>
          <w:szCs w:val="32"/>
        </w:rPr>
      </w:pPr>
      <w:r>
        <w:rPr>
          <w:rFonts w:eastAsia="方正仿宋_GBK"/>
          <w:bCs/>
          <w:sz w:val="32"/>
          <w:szCs w:val="32"/>
        </w:rPr>
        <w:t>3</w:t>
      </w:r>
      <w:r>
        <w:rPr>
          <w:rFonts w:hint="eastAsia" w:ascii="方正仿宋_GBK" w:hAnsi="方正仿宋_GBK" w:eastAsia="方正仿宋_GBK"/>
          <w:bCs/>
          <w:sz w:val="32"/>
          <w:szCs w:val="32"/>
        </w:rPr>
        <w:t>、其他收入</w:t>
      </w:r>
      <w:r>
        <w:rPr>
          <w:rFonts w:hint="eastAsia" w:ascii="方正仿宋_GBK" w:hAnsi="方正仿宋_GBK" w:eastAsia="方正仿宋_GBK"/>
          <w:b/>
          <w:bCs/>
          <w:sz w:val="32"/>
          <w:szCs w:val="32"/>
        </w:rPr>
        <w:t>：</w:t>
      </w:r>
      <w:r>
        <w:rPr>
          <w:rFonts w:hint="eastAsia" w:ascii="仿宋_GB2312" w:eastAsia="仿宋_GB2312"/>
          <w:sz w:val="32"/>
          <w:szCs w:val="32"/>
        </w:rPr>
        <w:t>指除“一般公共预算拨款收入”、“事业收入”等以外的收入。主要是按规定动用的租房收入、存款利息收入等。</w:t>
      </w:r>
    </w:p>
    <w:p>
      <w:pPr>
        <w:ind w:firstLine="640" w:firstLineChars="200"/>
        <w:rPr>
          <w:rFonts w:hint="eastAsia" w:ascii="仿宋_GB2312" w:eastAsia="仿宋_GB2312"/>
          <w:sz w:val="32"/>
          <w:szCs w:val="32"/>
        </w:rPr>
      </w:pPr>
      <w:r>
        <w:rPr>
          <w:rFonts w:eastAsia="方正仿宋_GBK"/>
          <w:bCs/>
          <w:sz w:val="32"/>
          <w:szCs w:val="32"/>
        </w:rPr>
        <w:t>4</w:t>
      </w:r>
      <w:r>
        <w:rPr>
          <w:rFonts w:hint="eastAsia" w:ascii="方正仿宋_GBK" w:hAnsi="方正仿宋_GBK" w:eastAsia="方正仿宋_GBK"/>
          <w:bCs/>
          <w:sz w:val="32"/>
          <w:szCs w:val="32"/>
        </w:rPr>
        <w:t>、基本支出</w:t>
      </w:r>
      <w:r>
        <w:rPr>
          <w:rFonts w:hint="eastAsia" w:ascii="方正仿宋_GBK" w:hAnsi="方正仿宋_GBK" w:eastAsia="方正仿宋_GBK"/>
          <w:b/>
          <w:bCs/>
          <w:sz w:val="32"/>
          <w:szCs w:val="32"/>
        </w:rPr>
        <w:t>：</w:t>
      </w:r>
      <w:r>
        <w:rPr>
          <w:rFonts w:hint="eastAsia" w:ascii="仿宋_GB2312" w:eastAsia="仿宋_GB2312"/>
          <w:sz w:val="32"/>
          <w:szCs w:val="32"/>
        </w:rPr>
        <w:t>指为保障机构正常运转、完成日常工作任务而发生的人员支出和公用支出。</w:t>
      </w:r>
    </w:p>
    <w:p>
      <w:pPr>
        <w:ind w:firstLine="640" w:firstLineChars="200"/>
        <w:rPr>
          <w:rFonts w:hint="eastAsia" w:ascii="仿宋_GB2312" w:eastAsia="仿宋_GB2312"/>
          <w:sz w:val="32"/>
          <w:szCs w:val="32"/>
        </w:rPr>
      </w:pPr>
      <w:r>
        <w:rPr>
          <w:rFonts w:eastAsia="方正仿宋_GBK"/>
          <w:bCs/>
          <w:sz w:val="32"/>
          <w:szCs w:val="32"/>
        </w:rPr>
        <w:t>5</w:t>
      </w:r>
      <w:r>
        <w:rPr>
          <w:rFonts w:hint="eastAsia" w:ascii="方正仿宋_GBK" w:hAnsi="方正仿宋_GBK" w:eastAsia="方正仿宋_GBK"/>
          <w:bCs/>
          <w:sz w:val="32"/>
          <w:szCs w:val="32"/>
        </w:rPr>
        <w:t>、项目支出</w:t>
      </w:r>
      <w:r>
        <w:rPr>
          <w:rFonts w:hint="eastAsia" w:ascii="方正仿宋_GBK" w:hAnsi="方正仿宋_GBK" w:eastAsia="方正仿宋_GBK"/>
          <w:b/>
          <w:bCs/>
          <w:sz w:val="32"/>
          <w:szCs w:val="32"/>
        </w:rPr>
        <w:t>：</w:t>
      </w:r>
      <w:r>
        <w:rPr>
          <w:rFonts w:hint="eastAsia" w:ascii="仿宋_GB2312" w:eastAsia="仿宋_GB2312"/>
          <w:sz w:val="32"/>
          <w:szCs w:val="32"/>
        </w:rPr>
        <w:t>指在基本支出之外为完成特定行政任务和事业发展目标所发生的支出。</w:t>
      </w:r>
    </w:p>
    <w:p>
      <w:pPr>
        <w:ind w:firstLine="640" w:firstLineChars="200"/>
        <w:rPr>
          <w:rFonts w:hint="eastAsia" w:ascii="仿宋_GB2312" w:eastAsia="仿宋_GB2312"/>
          <w:sz w:val="32"/>
          <w:szCs w:val="32"/>
        </w:rPr>
      </w:pPr>
      <w:r>
        <w:rPr>
          <w:rFonts w:eastAsia="方正仿宋_GBK"/>
          <w:bCs/>
          <w:sz w:val="32"/>
          <w:szCs w:val="32"/>
        </w:rPr>
        <w:t>6</w:t>
      </w:r>
      <w:r>
        <w:rPr>
          <w:rFonts w:hint="eastAsia" w:ascii="方正仿宋_GBK" w:hAnsi="方正仿宋_GBK" w:eastAsia="方正仿宋_GBK"/>
          <w:bCs/>
          <w:sz w:val="32"/>
          <w:szCs w:val="32"/>
        </w:rPr>
        <w:t>、</w:t>
      </w:r>
      <w:r>
        <w:rPr>
          <w:rFonts w:eastAsia="方正仿宋_GBK"/>
          <w:bCs/>
          <w:sz w:val="32"/>
          <w:szCs w:val="32"/>
        </w:rPr>
        <w:t>“</w:t>
      </w:r>
      <w:r>
        <w:rPr>
          <w:rFonts w:hint="eastAsia" w:ascii="方正仿宋_GBK" w:hAnsi="方正仿宋_GBK" w:eastAsia="方正仿宋_GBK"/>
          <w:bCs/>
          <w:sz w:val="32"/>
          <w:szCs w:val="32"/>
        </w:rPr>
        <w:t>三公</w:t>
      </w:r>
      <w:r>
        <w:rPr>
          <w:rFonts w:eastAsia="方正仿宋_GBK"/>
          <w:bCs/>
          <w:sz w:val="32"/>
          <w:szCs w:val="32"/>
        </w:rPr>
        <w:t>”</w:t>
      </w:r>
      <w:r>
        <w:rPr>
          <w:rFonts w:hint="eastAsia" w:ascii="方正仿宋_GBK" w:hAnsi="方正仿宋_GBK" w:eastAsia="方正仿宋_GBK"/>
          <w:bCs/>
          <w:sz w:val="32"/>
          <w:szCs w:val="32"/>
        </w:rPr>
        <w:t>经费</w:t>
      </w:r>
      <w:r>
        <w:rPr>
          <w:rFonts w:hint="eastAsia" w:ascii="方正仿宋_GBK" w:hAnsi="方正仿宋_GBK" w:eastAsia="方正仿宋_GBK"/>
          <w:b/>
          <w:bCs/>
          <w:sz w:val="32"/>
          <w:szCs w:val="32"/>
        </w:rPr>
        <w:t>：</w:t>
      </w:r>
      <w:r>
        <w:rPr>
          <w:rFonts w:hint="eastAsia" w:ascii="仿宋_GB2312" w:eastAsia="仿宋_GB2312"/>
          <w:sz w:val="32"/>
          <w:szCs w:val="32"/>
        </w:rPr>
        <w:t>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eastAsia="仿宋_GB2312"/>
          <w:sz w:val="32"/>
          <w:szCs w:val="32"/>
        </w:rPr>
      </w:pPr>
      <w:r>
        <w:rPr>
          <w:rFonts w:eastAsia="方正仿宋_GBK"/>
          <w:bCs/>
          <w:sz w:val="32"/>
          <w:szCs w:val="32"/>
        </w:rPr>
        <w:t>7</w:t>
      </w:r>
      <w:r>
        <w:rPr>
          <w:rFonts w:hint="eastAsia" w:ascii="方正仿宋_GBK" w:hAnsi="方正仿宋_GBK" w:eastAsia="方正仿宋_GBK"/>
          <w:bCs/>
          <w:sz w:val="32"/>
          <w:szCs w:val="32"/>
        </w:rPr>
        <w:t>、机关运行费</w:t>
      </w:r>
      <w:r>
        <w:rPr>
          <w:rFonts w:hint="eastAsia" w:ascii="方正仿宋_GBK" w:hAnsi="方正仿宋_GBK" w:eastAsia="方正仿宋_GBK"/>
          <w:b/>
          <w:bCs/>
          <w:sz w:val="32"/>
          <w:szCs w:val="32"/>
        </w:rPr>
        <w:t>：</w:t>
      </w:r>
      <w:r>
        <w:rPr>
          <w:rFonts w:hint="eastAsia" w:ascii="仿宋_GB2312"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eastAsia="方正仿宋_GBK"/>
          <w:bCs/>
          <w:sz w:val="32"/>
          <w:szCs w:val="32"/>
        </w:rPr>
        <w:t>8</w:t>
      </w:r>
      <w:r>
        <w:rPr>
          <w:rFonts w:hint="eastAsia" w:ascii="方正仿宋_GBK" w:hAnsi="方正仿宋_GBK" w:eastAsia="方正仿宋_GBK"/>
          <w:bCs/>
          <w:sz w:val="32"/>
          <w:szCs w:val="32"/>
        </w:rPr>
        <w:t>、上年结转</w:t>
      </w:r>
      <w:r>
        <w:rPr>
          <w:rFonts w:hint="eastAsia" w:ascii="方正仿宋_GBK" w:hAnsi="方正仿宋_GBK" w:eastAsia="方正仿宋_GBK"/>
          <w:b/>
          <w:bCs/>
          <w:sz w:val="32"/>
          <w:szCs w:val="32"/>
        </w:rPr>
        <w:t>：</w:t>
      </w:r>
      <w:r>
        <w:rPr>
          <w:rFonts w:hint="eastAsia" w:ascii="仿宋_GB2312" w:eastAsia="仿宋_GB2312"/>
          <w:sz w:val="32"/>
          <w:szCs w:val="32"/>
        </w:rPr>
        <w:t>指以前年度尚未完成、结转到本年仍按原规定用途继续使用的资金。</w:t>
      </w:r>
    </w:p>
    <w:p>
      <w:pPr>
        <w:ind w:firstLine="640" w:firstLineChars="200"/>
        <w:rPr>
          <w:rFonts w:hint="eastAsia" w:ascii="仿宋_GB2312" w:eastAsia="仿宋_GB2312"/>
          <w:sz w:val="32"/>
          <w:szCs w:val="32"/>
        </w:rPr>
      </w:pPr>
      <w:r>
        <w:rPr>
          <w:rFonts w:eastAsia="方正仿宋_GBK"/>
          <w:bCs/>
          <w:sz w:val="32"/>
          <w:szCs w:val="32"/>
        </w:rPr>
        <w:t>9</w:t>
      </w:r>
      <w:r>
        <w:rPr>
          <w:rFonts w:hint="eastAsia" w:ascii="方正仿宋_GBK" w:hAnsi="方正仿宋_GBK" w:eastAsia="方正仿宋_GBK"/>
          <w:bCs/>
          <w:sz w:val="32"/>
          <w:szCs w:val="32"/>
        </w:rPr>
        <w:t>、事业单位经营支出</w:t>
      </w:r>
      <w:r>
        <w:rPr>
          <w:rFonts w:hint="eastAsia" w:ascii="方正仿宋_GBK" w:hAnsi="方正仿宋_GBK" w:eastAsia="方正仿宋_GBK"/>
          <w:b/>
          <w:bCs/>
          <w:sz w:val="32"/>
          <w:szCs w:val="32"/>
        </w:rPr>
        <w:t>：</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ind w:firstLine="640" w:firstLineChars="200"/>
        <w:rPr>
          <w:rFonts w:ascii="Times New Roman" w:hAnsi="Times New Roman" w:eastAsia="仿宋"/>
          <w:sz w:val="32"/>
          <w:szCs w:val="32"/>
        </w:rPr>
      </w:pPr>
      <w:r>
        <w:rPr>
          <w:rFonts w:hint="eastAsia" w:ascii="仿宋_GB2312" w:eastAsia="仿宋_GB2312"/>
          <w:sz w:val="32"/>
          <w:szCs w:val="32"/>
          <w:lang w:val="en-US" w:eastAsia="zh-CN"/>
        </w:rPr>
        <w:t xml:space="preserve"> </w:t>
      </w: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E4CD0"/>
    <w:rsid w:val="00273E7D"/>
    <w:rsid w:val="002B4EAB"/>
    <w:rsid w:val="002B7066"/>
    <w:rsid w:val="002C2891"/>
    <w:rsid w:val="00331F08"/>
    <w:rsid w:val="00355582"/>
    <w:rsid w:val="003962A8"/>
    <w:rsid w:val="003E491B"/>
    <w:rsid w:val="003F0952"/>
    <w:rsid w:val="004740B0"/>
    <w:rsid w:val="0051597D"/>
    <w:rsid w:val="00556C00"/>
    <w:rsid w:val="005D69FB"/>
    <w:rsid w:val="005E015D"/>
    <w:rsid w:val="00606439"/>
    <w:rsid w:val="00641BF0"/>
    <w:rsid w:val="006D0C4D"/>
    <w:rsid w:val="00720FCB"/>
    <w:rsid w:val="0074453E"/>
    <w:rsid w:val="007602E7"/>
    <w:rsid w:val="00782811"/>
    <w:rsid w:val="007B3EC5"/>
    <w:rsid w:val="007B4E99"/>
    <w:rsid w:val="007D0F19"/>
    <w:rsid w:val="007E57D1"/>
    <w:rsid w:val="008020D3"/>
    <w:rsid w:val="008241FD"/>
    <w:rsid w:val="00836ABF"/>
    <w:rsid w:val="00872978"/>
    <w:rsid w:val="0088640D"/>
    <w:rsid w:val="00892D2A"/>
    <w:rsid w:val="00894C41"/>
    <w:rsid w:val="008B0AD8"/>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C77B2"/>
    <w:rsid w:val="00BD076A"/>
    <w:rsid w:val="00C30770"/>
    <w:rsid w:val="00C44047"/>
    <w:rsid w:val="00C62C69"/>
    <w:rsid w:val="00C67CC4"/>
    <w:rsid w:val="00C82A78"/>
    <w:rsid w:val="00C96FAB"/>
    <w:rsid w:val="00CE6CF0"/>
    <w:rsid w:val="00D57139"/>
    <w:rsid w:val="00DA3BBD"/>
    <w:rsid w:val="00E0632F"/>
    <w:rsid w:val="00E348C2"/>
    <w:rsid w:val="00EC3709"/>
    <w:rsid w:val="00ED6FC7"/>
    <w:rsid w:val="00EE442D"/>
    <w:rsid w:val="00F7075C"/>
    <w:rsid w:val="00FA2238"/>
    <w:rsid w:val="00FA5AAA"/>
    <w:rsid w:val="05FB55D1"/>
    <w:rsid w:val="105E5C1A"/>
    <w:rsid w:val="14131D48"/>
    <w:rsid w:val="161529AD"/>
    <w:rsid w:val="17542D13"/>
    <w:rsid w:val="18437F9A"/>
    <w:rsid w:val="21FF5621"/>
    <w:rsid w:val="25DA6B59"/>
    <w:rsid w:val="26C66691"/>
    <w:rsid w:val="270C4A9D"/>
    <w:rsid w:val="2A80500F"/>
    <w:rsid w:val="2DF61501"/>
    <w:rsid w:val="2F9952EA"/>
    <w:rsid w:val="35591414"/>
    <w:rsid w:val="35CF629C"/>
    <w:rsid w:val="35D94183"/>
    <w:rsid w:val="36364704"/>
    <w:rsid w:val="37D73981"/>
    <w:rsid w:val="3B880C5D"/>
    <w:rsid w:val="3BB06A91"/>
    <w:rsid w:val="49F3002C"/>
    <w:rsid w:val="4A032B38"/>
    <w:rsid w:val="4AD905A6"/>
    <w:rsid w:val="4AFC5498"/>
    <w:rsid w:val="4FCD33F5"/>
    <w:rsid w:val="563D41AF"/>
    <w:rsid w:val="573A2437"/>
    <w:rsid w:val="5AA860BD"/>
    <w:rsid w:val="5BE6552D"/>
    <w:rsid w:val="5D9F4E95"/>
    <w:rsid w:val="665E5D97"/>
    <w:rsid w:val="74295DE5"/>
    <w:rsid w:val="78AE7DE9"/>
    <w:rsid w:val="78BC75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370</Words>
  <Characters>2110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2023-12-06T06:49:29Z</dcterms:modified>
  <dc:title>o</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FA9C39B14B0E4A229064BE75CA1A819D</vt:lpwstr>
  </property>
</Properties>
</file>