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1D079">
      <w:pPr>
        <w:jc w:val="center"/>
        <w:rPr>
          <w:rFonts w:hint="eastAsia" w:ascii="黑体" w:hAnsi="黑体" w:eastAsia="黑体" w:cs="黑体"/>
          <w:b/>
          <w:sz w:val="44"/>
          <w:szCs w:val="44"/>
        </w:rPr>
      </w:pPr>
      <w:r>
        <w:rPr>
          <w:rFonts w:hint="eastAsia" w:ascii="黑体" w:hAnsi="黑体" w:eastAsia="黑体" w:cs="黑体"/>
          <w:b/>
          <w:sz w:val="44"/>
          <w:szCs w:val="44"/>
        </w:rPr>
        <w:t>馆陶县</w:t>
      </w:r>
      <w:r>
        <w:rPr>
          <w:rFonts w:hint="eastAsia" w:ascii="黑体" w:hAnsi="黑体" w:eastAsia="黑体" w:cs="黑体"/>
          <w:b/>
          <w:sz w:val="44"/>
          <w:szCs w:val="44"/>
          <w:lang w:eastAsia="zh-CN"/>
        </w:rPr>
        <w:t>国</w:t>
      </w:r>
      <w:r>
        <w:rPr>
          <w:rFonts w:hint="eastAsia" w:ascii="黑体" w:hAnsi="黑体" w:eastAsia="黑体" w:cs="黑体"/>
          <w:b/>
          <w:sz w:val="44"/>
          <w:szCs w:val="44"/>
        </w:rPr>
        <w:t>有资产运营公司</w:t>
      </w:r>
    </w:p>
    <w:p w14:paraId="6B53001D">
      <w:pPr>
        <w:jc w:val="center"/>
        <w:rPr>
          <w:rFonts w:hint="eastAsia" w:ascii="黑体" w:hAnsi="黑体" w:eastAsia="黑体" w:cs="黑体"/>
          <w:b/>
          <w:sz w:val="44"/>
          <w:szCs w:val="44"/>
          <w:lang w:eastAsia="zh-CN"/>
        </w:rPr>
      </w:pPr>
      <w:r>
        <w:rPr>
          <w:rFonts w:hint="eastAsia" w:ascii="黑体" w:hAnsi="黑体" w:eastAsia="黑体" w:cs="黑体"/>
          <w:b/>
          <w:sz w:val="44"/>
          <w:szCs w:val="44"/>
        </w:rPr>
        <w:t>201</w:t>
      </w:r>
      <w:r>
        <w:rPr>
          <w:rFonts w:hint="eastAsia" w:ascii="黑体" w:hAnsi="黑体" w:eastAsia="黑体" w:cs="黑体"/>
          <w:b/>
          <w:sz w:val="44"/>
          <w:szCs w:val="44"/>
          <w:lang w:val="en-US" w:eastAsia="zh-CN"/>
        </w:rPr>
        <w:t>9</w:t>
      </w:r>
      <w:r>
        <w:rPr>
          <w:rFonts w:hint="eastAsia" w:ascii="黑体" w:hAnsi="黑体" w:eastAsia="黑体" w:cs="黑体"/>
          <w:b/>
          <w:sz w:val="44"/>
          <w:szCs w:val="44"/>
        </w:rPr>
        <w:t>年部门预算信息公开</w:t>
      </w:r>
      <w:r>
        <w:rPr>
          <w:rFonts w:hint="eastAsia" w:ascii="黑体" w:hAnsi="黑体" w:eastAsia="黑体" w:cs="黑体"/>
          <w:b/>
          <w:sz w:val="44"/>
          <w:szCs w:val="44"/>
          <w:lang w:eastAsia="zh-CN"/>
        </w:rPr>
        <w:t>情况说明</w:t>
      </w:r>
    </w:p>
    <w:p w14:paraId="6F69F942">
      <w:pPr>
        <w:ind w:firstLine="640" w:firstLineChars="200"/>
        <w:rPr>
          <w:rFonts w:ascii="仿宋_GB2312" w:hAnsi="Times New Roman" w:eastAsia="仿宋_GB2312"/>
          <w:sz w:val="32"/>
          <w:szCs w:val="32"/>
        </w:rPr>
      </w:pPr>
    </w:p>
    <w:p w14:paraId="30609535">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r>
        <w:rPr>
          <w:rFonts w:hint="eastAsia" w:ascii="仿宋_GB2312" w:hAnsi="Times New Roman" w:eastAsia="仿宋_GB2312"/>
          <w:sz w:val="32"/>
          <w:szCs w:val="32"/>
        </w:rPr>
        <w:t>预算法》、《地方预决算公开操作规程》和《河北省省级预算公开办法》规定，现将我单位</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年部门预算公开如下：</w:t>
      </w:r>
    </w:p>
    <w:p w14:paraId="3BD85A42">
      <w:pPr>
        <w:ind w:firstLine="640"/>
        <w:rPr>
          <w:rFonts w:ascii="黑体" w:hAnsi="黑体" w:eastAsia="黑体"/>
          <w:b/>
          <w:sz w:val="32"/>
          <w:szCs w:val="32"/>
        </w:rPr>
      </w:pPr>
      <w:r>
        <w:rPr>
          <w:rFonts w:hint="eastAsia" w:ascii="黑体" w:hAnsi="黑体" w:eastAsia="黑体"/>
          <w:b/>
          <w:sz w:val="32"/>
          <w:szCs w:val="32"/>
        </w:rPr>
        <w:t>一、部门职责及机构设置情况</w:t>
      </w:r>
    </w:p>
    <w:p w14:paraId="1B145453">
      <w:pPr>
        <w:ind w:firstLine="643" w:firstLineChars="200"/>
        <w:rPr>
          <w:rFonts w:hint="eastAsia" w:ascii="仿宋" w:hAnsi="仿宋" w:eastAsia="仿宋" w:cs="仿宋"/>
          <w:b/>
          <w:sz w:val="32"/>
          <w:szCs w:val="32"/>
        </w:rPr>
      </w:pPr>
      <w:r>
        <w:rPr>
          <w:rFonts w:hint="eastAsia" w:ascii="仿宋" w:hAnsi="仿宋" w:eastAsia="仿宋" w:cs="仿宋"/>
          <w:b/>
          <w:sz w:val="32"/>
          <w:szCs w:val="32"/>
        </w:rPr>
        <w:t>部门职责：</w:t>
      </w:r>
    </w:p>
    <w:p w14:paraId="1948FA34">
      <w:pPr>
        <w:pStyle w:val="17"/>
        <w:spacing w:before="0" w:beforeAutospacing="0" w:after="0" w:afterAutospacing="0"/>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、受县国有资产管理局委托行使对所属企业的国有资产运营的职权。</w:t>
      </w:r>
    </w:p>
    <w:p w14:paraId="2856650D">
      <w:pPr>
        <w:pStyle w:val="17"/>
        <w:spacing w:before="0" w:beforeAutospacing="0" w:after="0" w:afterAutospacing="0"/>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、对授权范围的国有资产承担保值增值责任。</w:t>
      </w:r>
    </w:p>
    <w:p w14:paraId="4D1E5F0E">
      <w:pPr>
        <w:pStyle w:val="17"/>
        <w:spacing w:before="0" w:beforeAutospacing="0" w:after="0" w:afterAutospacing="0"/>
        <w:ind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、负责对全县行政事业单位非经营性资产转经营性资产的管理。</w:t>
      </w:r>
    </w:p>
    <w:p w14:paraId="57FFD46D">
      <w:pPr>
        <w:pStyle w:val="17"/>
        <w:spacing w:before="0" w:beforeAutospacing="0" w:after="0" w:afterAutospacing="0"/>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、负责授权范围内国有资产的收益收缴和投资管理。</w:t>
      </w:r>
    </w:p>
    <w:p w14:paraId="4016AB2B">
      <w:pPr>
        <w:pStyle w:val="17"/>
        <w:spacing w:before="0" w:beforeAutospacing="0" w:after="0" w:afterAutospacing="0"/>
        <w:ind w:firstLine="640" w:firstLineChars="20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、承担县政府授权的有关集体企业资产的管理。</w:t>
      </w:r>
    </w:p>
    <w:p w14:paraId="02CE5D8C">
      <w:pPr>
        <w:pStyle w:val="17"/>
        <w:spacing w:before="0" w:beforeAutospacing="0" w:after="0" w:afterAutospacing="0"/>
        <w:ind w:firstLine="640" w:firstLineChars="200"/>
        <w:rPr>
          <w:rFonts w:hint="eastAsia" w:ascii="黑体" w:hAnsi="Times New Roman" w:eastAsia="黑体"/>
          <w:b/>
          <w:sz w:val="32"/>
          <w:szCs w:val="32"/>
        </w:rPr>
      </w:pPr>
      <w:r>
        <w:rPr>
          <w:rFonts w:ascii="仿宋" w:hAnsi="仿宋" w:eastAsia="仿宋"/>
          <w:color w:val="000000"/>
          <w:sz w:val="32"/>
          <w:szCs w:val="32"/>
        </w:rPr>
        <w:t>6</w:t>
      </w:r>
      <w:r>
        <w:rPr>
          <w:rFonts w:hint="eastAsia" w:ascii="仿宋" w:hAnsi="仿宋" w:eastAsia="仿宋"/>
          <w:color w:val="000000"/>
          <w:sz w:val="32"/>
          <w:szCs w:val="32"/>
        </w:rPr>
        <w:t>、对原轻工业局、城镇集体企业联社下属企业资产及人员管理。</w:t>
      </w:r>
    </w:p>
    <w:p w14:paraId="47F31067">
      <w:pPr>
        <w:autoSpaceDE w:val="0"/>
        <w:autoSpaceDN w:val="0"/>
        <w:adjustRightInd w:val="0"/>
        <w:ind w:left="198" w:firstLine="643" w:firstLineChars="200"/>
        <w:jc w:val="left"/>
        <w:rPr>
          <w:rFonts w:hint="eastAsia" w:ascii="仿宋" w:hAnsi="仿宋" w:eastAsia="仿宋" w:cs="仿宋"/>
          <w:b/>
          <w:sz w:val="32"/>
          <w:szCs w:val="32"/>
        </w:rPr>
      </w:pPr>
      <w:r>
        <w:rPr>
          <w:rFonts w:hint="eastAsia" w:ascii="仿宋" w:hAnsi="仿宋" w:eastAsia="仿宋" w:cs="仿宋"/>
          <w:b/>
          <w:sz w:val="32"/>
          <w:szCs w:val="32"/>
        </w:rPr>
        <w:t>机构设置：</w:t>
      </w:r>
    </w:p>
    <w:p w14:paraId="648B130B">
      <w:pPr>
        <w:jc w:val="center"/>
        <w:outlineLvl w:val="0"/>
        <w:rPr>
          <w:rFonts w:ascii="仿宋_GB2312" w:hAnsi="Times New Roman" w:eastAsia="仿宋_GB2312"/>
          <w:sz w:val="32"/>
          <w:szCs w:val="24"/>
        </w:rPr>
      </w:pPr>
      <w:r>
        <w:rPr>
          <w:rFonts w:hint="eastAsia" w:ascii="仿宋_GB2312" w:hAnsi="Times New Roman" w:eastAsia="仿宋_GB2312"/>
          <w:sz w:val="32"/>
          <w:szCs w:val="24"/>
        </w:rPr>
        <w:t>部门机构设置情况</w:t>
      </w:r>
    </w:p>
    <w:tbl>
      <w:tblPr>
        <w:tblStyle w:val="9"/>
        <w:tblW w:w="902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60"/>
        <w:gridCol w:w="3392"/>
        <w:gridCol w:w="1508"/>
        <w:gridCol w:w="2265"/>
      </w:tblGrid>
      <w:tr w14:paraId="3A61A7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73" w:hRule="atLeast"/>
          <w:tblHeader/>
          <w:jc w:val="center"/>
        </w:trPr>
        <w:tc>
          <w:tcPr>
            <w:tcW w:w="1860" w:type="dxa"/>
            <w:vAlign w:val="center"/>
          </w:tcPr>
          <w:p w14:paraId="6F5A755B">
            <w:pPr>
              <w:jc w:val="center"/>
              <w:rPr>
                <w:rFonts w:ascii="仿宋" w:hAnsi="仿宋" w:eastAsia="仿宋"/>
                <w:b/>
                <w:sz w:val="24"/>
                <w:szCs w:val="24"/>
              </w:rPr>
            </w:pPr>
            <w:r>
              <w:rPr>
                <w:rFonts w:hint="eastAsia" w:ascii="仿宋" w:hAnsi="仿宋" w:eastAsia="仿宋"/>
                <w:b/>
                <w:sz w:val="24"/>
                <w:szCs w:val="24"/>
              </w:rPr>
              <w:t>单位编码</w:t>
            </w:r>
          </w:p>
        </w:tc>
        <w:tc>
          <w:tcPr>
            <w:tcW w:w="3392" w:type="dxa"/>
            <w:vAlign w:val="center"/>
          </w:tcPr>
          <w:p w14:paraId="1715A360">
            <w:pPr>
              <w:jc w:val="center"/>
              <w:rPr>
                <w:rFonts w:ascii="仿宋" w:hAnsi="仿宋" w:eastAsia="仿宋"/>
                <w:b/>
                <w:sz w:val="24"/>
                <w:szCs w:val="24"/>
              </w:rPr>
            </w:pPr>
            <w:r>
              <w:rPr>
                <w:rFonts w:hint="eastAsia" w:ascii="仿宋" w:hAnsi="仿宋" w:eastAsia="仿宋"/>
                <w:b/>
                <w:sz w:val="24"/>
                <w:szCs w:val="24"/>
              </w:rPr>
              <w:t>单位名称</w:t>
            </w:r>
          </w:p>
        </w:tc>
        <w:tc>
          <w:tcPr>
            <w:tcW w:w="1508" w:type="dxa"/>
            <w:vAlign w:val="center"/>
          </w:tcPr>
          <w:p w14:paraId="73D9F475">
            <w:pPr>
              <w:jc w:val="center"/>
              <w:rPr>
                <w:rFonts w:ascii="仿宋" w:hAnsi="仿宋" w:eastAsia="仿宋"/>
                <w:b/>
                <w:sz w:val="24"/>
                <w:szCs w:val="24"/>
              </w:rPr>
            </w:pPr>
            <w:r>
              <w:rPr>
                <w:rFonts w:hint="eastAsia" w:ascii="仿宋" w:hAnsi="仿宋" w:eastAsia="仿宋"/>
                <w:b/>
                <w:sz w:val="24"/>
                <w:szCs w:val="24"/>
              </w:rPr>
              <w:t>单位性质</w:t>
            </w:r>
          </w:p>
        </w:tc>
        <w:tc>
          <w:tcPr>
            <w:tcW w:w="2265" w:type="dxa"/>
            <w:vAlign w:val="center"/>
          </w:tcPr>
          <w:p w14:paraId="0EF41AE4">
            <w:pPr>
              <w:jc w:val="center"/>
              <w:rPr>
                <w:rFonts w:ascii="仿宋" w:hAnsi="仿宋" w:eastAsia="仿宋"/>
                <w:b/>
                <w:sz w:val="24"/>
                <w:szCs w:val="24"/>
              </w:rPr>
            </w:pPr>
            <w:r>
              <w:rPr>
                <w:rFonts w:hint="eastAsia" w:ascii="仿宋" w:hAnsi="仿宋" w:eastAsia="仿宋"/>
                <w:b/>
                <w:sz w:val="24"/>
                <w:szCs w:val="24"/>
              </w:rPr>
              <w:t>财政供给政策</w:t>
            </w:r>
          </w:p>
        </w:tc>
      </w:tr>
      <w:tr w14:paraId="787673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6" w:hRule="atLeast"/>
          <w:jc w:val="center"/>
        </w:trPr>
        <w:tc>
          <w:tcPr>
            <w:tcW w:w="1860" w:type="dxa"/>
            <w:vAlign w:val="center"/>
          </w:tcPr>
          <w:p w14:paraId="1695E73D">
            <w:pPr>
              <w:jc w:val="center"/>
              <w:rPr>
                <w:rFonts w:ascii="仿宋" w:hAnsi="仿宋" w:eastAsia="仿宋"/>
                <w:sz w:val="24"/>
                <w:szCs w:val="24"/>
              </w:rPr>
            </w:pPr>
            <w:r>
              <w:rPr>
                <w:rFonts w:ascii="仿宋" w:hAnsi="仿宋" w:eastAsia="仿宋"/>
                <w:sz w:val="24"/>
                <w:szCs w:val="24"/>
              </w:rPr>
              <w:t>817</w:t>
            </w:r>
          </w:p>
        </w:tc>
        <w:tc>
          <w:tcPr>
            <w:tcW w:w="3392" w:type="dxa"/>
            <w:vAlign w:val="center"/>
          </w:tcPr>
          <w:p w14:paraId="4650D32F">
            <w:pPr>
              <w:jc w:val="center"/>
              <w:rPr>
                <w:rFonts w:ascii="仿宋" w:hAnsi="仿宋" w:eastAsia="仿宋"/>
                <w:sz w:val="24"/>
                <w:szCs w:val="24"/>
              </w:rPr>
            </w:pPr>
            <w:r>
              <w:rPr>
                <w:rFonts w:hint="eastAsia" w:ascii="仿宋" w:hAnsi="仿宋" w:eastAsia="仿宋"/>
                <w:sz w:val="24"/>
                <w:szCs w:val="24"/>
              </w:rPr>
              <w:t>馆陶县</w:t>
            </w:r>
            <w:r>
              <w:rPr>
                <w:rFonts w:hint="eastAsia" w:ascii="仿宋" w:hAnsi="仿宋" w:eastAsia="仿宋"/>
                <w:sz w:val="24"/>
                <w:szCs w:val="24"/>
                <w:lang w:eastAsia="zh-CN"/>
              </w:rPr>
              <w:t>国</w:t>
            </w:r>
            <w:r>
              <w:rPr>
                <w:rFonts w:hint="eastAsia" w:ascii="仿宋" w:hAnsi="仿宋" w:eastAsia="仿宋"/>
                <w:sz w:val="24"/>
                <w:szCs w:val="24"/>
              </w:rPr>
              <w:t>有资产运营公司</w:t>
            </w:r>
          </w:p>
        </w:tc>
        <w:tc>
          <w:tcPr>
            <w:tcW w:w="1508" w:type="dxa"/>
            <w:vAlign w:val="center"/>
          </w:tcPr>
          <w:p w14:paraId="08215B76">
            <w:pPr>
              <w:jc w:val="center"/>
              <w:rPr>
                <w:rFonts w:ascii="仿宋" w:hAnsi="仿宋" w:eastAsia="仿宋"/>
                <w:sz w:val="24"/>
                <w:szCs w:val="24"/>
              </w:rPr>
            </w:pPr>
            <w:r>
              <w:rPr>
                <w:rFonts w:hint="eastAsia" w:ascii="仿宋" w:hAnsi="仿宋" w:eastAsia="仿宋"/>
                <w:sz w:val="24"/>
                <w:szCs w:val="24"/>
              </w:rPr>
              <w:t>事业</w:t>
            </w:r>
          </w:p>
        </w:tc>
        <w:tc>
          <w:tcPr>
            <w:tcW w:w="2265" w:type="dxa"/>
            <w:vAlign w:val="center"/>
          </w:tcPr>
          <w:p w14:paraId="31C8470E">
            <w:pPr>
              <w:jc w:val="center"/>
              <w:rPr>
                <w:rFonts w:ascii="仿宋" w:hAnsi="仿宋" w:eastAsia="仿宋"/>
                <w:sz w:val="24"/>
                <w:szCs w:val="24"/>
              </w:rPr>
            </w:pPr>
            <w:r>
              <w:rPr>
                <w:rFonts w:hint="eastAsia" w:ascii="仿宋" w:hAnsi="仿宋" w:eastAsia="仿宋"/>
                <w:sz w:val="24"/>
                <w:szCs w:val="24"/>
              </w:rPr>
              <w:t>自收自支</w:t>
            </w:r>
          </w:p>
        </w:tc>
      </w:tr>
    </w:tbl>
    <w:p w14:paraId="40B573EA"/>
    <w:p w14:paraId="68987AA8">
      <w:pPr>
        <w:ind w:firstLine="640"/>
        <w:rPr>
          <w:rFonts w:ascii="黑体" w:hAnsi="黑体" w:eastAsia="黑体"/>
          <w:b/>
          <w:sz w:val="32"/>
          <w:szCs w:val="32"/>
        </w:rPr>
      </w:pPr>
      <w:r>
        <w:rPr>
          <w:rFonts w:hint="eastAsia" w:ascii="黑体" w:hAnsi="黑体" w:eastAsia="黑体"/>
          <w:b/>
          <w:sz w:val="32"/>
          <w:szCs w:val="32"/>
        </w:rPr>
        <w:t>二、部门预算安排的总体情况</w:t>
      </w:r>
    </w:p>
    <w:p w14:paraId="2ECFEC8A">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w:t>
      </w:r>
      <w:r>
        <w:rPr>
          <w:rFonts w:hint="eastAsia" w:ascii="仿宋_GB2312" w:hAnsi="Times New Roman" w:eastAsia="仿宋_GB2312"/>
          <w:sz w:val="32"/>
          <w:szCs w:val="32"/>
          <w:lang w:eastAsia="zh-CN"/>
        </w:rPr>
        <w:t>管理</w:t>
      </w:r>
      <w:r>
        <w:rPr>
          <w:rFonts w:hint="eastAsia" w:ascii="仿宋_GB2312" w:hAnsi="Times New Roman" w:eastAsia="仿宋_GB2312"/>
          <w:sz w:val="32"/>
          <w:szCs w:val="32"/>
        </w:rPr>
        <w:t>，即全部收入和支出都反映在预算中。馆陶县</w:t>
      </w:r>
      <w:r>
        <w:rPr>
          <w:rFonts w:hint="eastAsia" w:ascii="仿宋_GB2312" w:hAnsi="Times New Roman" w:eastAsia="仿宋_GB2312"/>
          <w:sz w:val="32"/>
          <w:szCs w:val="32"/>
          <w:lang w:eastAsia="zh-CN"/>
        </w:rPr>
        <w:t>国</w:t>
      </w:r>
      <w:r>
        <w:rPr>
          <w:rFonts w:hint="eastAsia" w:ascii="仿宋_GB2312" w:hAnsi="Times New Roman" w:eastAsia="仿宋_GB2312"/>
          <w:sz w:val="32"/>
          <w:szCs w:val="32"/>
        </w:rPr>
        <w:t>有资产运营公司的收支包含在部门预算中。</w:t>
      </w:r>
    </w:p>
    <w:p w14:paraId="3AE89B30">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14:paraId="166AC9B2">
      <w:pPr>
        <w:ind w:firstLine="640"/>
        <w:rPr>
          <w:rFonts w:hint="default" w:ascii="仿宋_GB2312" w:hAnsi="Times New Roman" w:eastAsia="仿宋_GB2312"/>
          <w:sz w:val="32"/>
          <w:szCs w:val="32"/>
          <w:lang w:val="en-US" w:eastAsia="zh-CN"/>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年预算收入</w:t>
      </w:r>
      <w:r>
        <w:rPr>
          <w:rFonts w:hint="eastAsia" w:ascii="仿宋_GB2312" w:hAnsi="Times New Roman" w:eastAsia="仿宋_GB2312"/>
          <w:sz w:val="32"/>
          <w:szCs w:val="32"/>
          <w:lang w:val="en-US" w:eastAsia="zh-CN"/>
        </w:rPr>
        <w:t>26.352</w:t>
      </w:r>
      <w:r>
        <w:rPr>
          <w:rFonts w:hint="eastAsia" w:ascii="仿宋_GB2312" w:hAnsi="Times New Roman" w:eastAsia="仿宋_GB2312"/>
          <w:sz w:val="32"/>
          <w:szCs w:val="32"/>
        </w:rPr>
        <w:t>万元，其中：一般公共预算收入</w:t>
      </w:r>
      <w:r>
        <w:rPr>
          <w:rFonts w:hint="eastAsia" w:ascii="仿宋_GB2312" w:hAnsi="Times New Roman" w:eastAsia="仿宋_GB2312"/>
          <w:sz w:val="32"/>
          <w:szCs w:val="32"/>
          <w:lang w:val="en-US" w:eastAsia="zh-CN"/>
        </w:rPr>
        <w:t>26.352</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基金预算收入</w:t>
      </w:r>
      <w:r>
        <w:rPr>
          <w:rFonts w:hint="eastAsia" w:ascii="仿宋_GB2312" w:hAnsi="Times New Roman" w:eastAsia="仿宋_GB2312"/>
          <w:sz w:val="32"/>
          <w:szCs w:val="32"/>
          <w:lang w:val="en-US" w:eastAsia="zh-CN"/>
        </w:rPr>
        <w:t>0万元，财政专户核拨收入0万元，其他来源收入0万元。</w:t>
      </w:r>
    </w:p>
    <w:p w14:paraId="37475C36">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14:paraId="4F180AF3">
      <w:pPr>
        <w:ind w:firstLine="640"/>
        <w:rPr>
          <w:rFonts w:hint="default" w:ascii="仿宋_GB2312" w:hAnsi="Times New Roman" w:eastAsia="仿宋_GB2312"/>
          <w:sz w:val="32"/>
          <w:szCs w:val="32"/>
          <w:lang w:val="en-US" w:eastAsia="zh-CN"/>
        </w:rPr>
      </w:pPr>
      <w:r>
        <w:rPr>
          <w:rFonts w:hint="eastAsia" w:ascii="仿宋_GB2312" w:hAnsi="Times New Roman" w:eastAsia="仿宋_GB2312"/>
          <w:sz w:val="32"/>
          <w:szCs w:val="32"/>
        </w:rPr>
        <w:t>收支预算总表支出栏、基本支出表、项目支出表按经济分类和支出功能分类科目编制，反映馆陶县</w:t>
      </w:r>
      <w:r>
        <w:rPr>
          <w:rFonts w:hint="eastAsia" w:ascii="仿宋_GB2312" w:hAnsi="Times New Roman" w:eastAsia="仿宋_GB2312"/>
          <w:sz w:val="32"/>
          <w:szCs w:val="32"/>
          <w:lang w:eastAsia="zh-CN"/>
        </w:rPr>
        <w:t>国</w:t>
      </w:r>
      <w:r>
        <w:rPr>
          <w:rFonts w:hint="eastAsia" w:ascii="仿宋_GB2312" w:hAnsi="Times New Roman" w:eastAsia="仿宋_GB2312"/>
          <w:sz w:val="32"/>
          <w:szCs w:val="32"/>
        </w:rPr>
        <w:t>有资产运营公司部门预算中支出预算的总体情况。</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部门</w:t>
      </w:r>
      <w:r>
        <w:rPr>
          <w:rFonts w:hint="eastAsia" w:ascii="仿宋_GB2312" w:hAnsi="Times New Roman" w:eastAsia="仿宋_GB2312"/>
          <w:sz w:val="32"/>
          <w:szCs w:val="32"/>
        </w:rPr>
        <w:t>支出预算</w:t>
      </w:r>
      <w:r>
        <w:rPr>
          <w:rFonts w:hint="eastAsia" w:ascii="仿宋_GB2312" w:hAnsi="Times New Roman" w:eastAsia="仿宋_GB2312"/>
          <w:sz w:val="32"/>
          <w:szCs w:val="32"/>
          <w:lang w:eastAsia="zh-CN"/>
        </w:rPr>
        <w:t>为</w:t>
      </w:r>
      <w:r>
        <w:rPr>
          <w:rFonts w:hint="eastAsia" w:ascii="仿宋_GB2312" w:hAnsi="Times New Roman" w:eastAsia="仿宋_GB2312"/>
          <w:sz w:val="32"/>
          <w:szCs w:val="32"/>
          <w:lang w:val="en-US" w:eastAsia="zh-CN"/>
        </w:rPr>
        <w:t>26.352</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val="en-US" w:eastAsia="zh-CN"/>
        </w:rPr>
        <w:t>26.352</w:t>
      </w:r>
      <w:r>
        <w:rPr>
          <w:rFonts w:hint="eastAsia" w:ascii="仿宋_GB2312" w:hAnsi="Times New Roman" w:eastAsia="仿宋_GB2312"/>
          <w:sz w:val="32"/>
          <w:szCs w:val="32"/>
        </w:rPr>
        <w:t>万元，包括人员经费</w:t>
      </w:r>
      <w:r>
        <w:rPr>
          <w:rFonts w:hint="eastAsia" w:ascii="仿宋_GB2312" w:hAnsi="Times New Roman" w:eastAsia="仿宋_GB2312"/>
          <w:sz w:val="32"/>
          <w:szCs w:val="32"/>
          <w:lang w:val="en-US" w:eastAsia="zh-CN"/>
        </w:rPr>
        <w:t>23.352</w:t>
      </w:r>
      <w:r>
        <w:rPr>
          <w:rFonts w:hint="eastAsia" w:ascii="仿宋_GB2312" w:hAnsi="Times New Roman" w:eastAsia="仿宋_GB2312"/>
          <w:sz w:val="32"/>
          <w:szCs w:val="32"/>
        </w:rPr>
        <w:t>万元和日常公用经费</w:t>
      </w:r>
      <w:r>
        <w:rPr>
          <w:rFonts w:ascii="仿宋_GB2312" w:hAnsi="Times New Roman" w:eastAsia="仿宋_GB2312"/>
          <w:sz w:val="32"/>
          <w:szCs w:val="32"/>
        </w:rPr>
        <w:t>3</w:t>
      </w:r>
      <w:r>
        <w:rPr>
          <w:rFonts w:hint="eastAsia" w:ascii="仿宋_GB2312" w:hAnsi="Times New Roman" w:eastAsia="仿宋_GB2312"/>
          <w:sz w:val="32"/>
          <w:szCs w:val="32"/>
        </w:rPr>
        <w:t>万</w:t>
      </w:r>
      <w:r>
        <w:rPr>
          <w:rFonts w:hint="eastAsia" w:ascii="仿宋_GB2312" w:hAnsi="Times New Roman" w:eastAsia="仿宋_GB2312"/>
          <w:sz w:val="32"/>
          <w:szCs w:val="32"/>
          <w:lang w:eastAsia="zh-CN"/>
        </w:rPr>
        <w:t>；项目支出</w:t>
      </w:r>
      <w:r>
        <w:rPr>
          <w:rFonts w:hint="eastAsia" w:ascii="仿宋_GB2312" w:hAnsi="Times New Roman" w:eastAsia="仿宋_GB2312"/>
          <w:sz w:val="32"/>
          <w:szCs w:val="32"/>
          <w:lang w:val="en-US" w:eastAsia="zh-CN"/>
        </w:rPr>
        <w:t>0万元。</w:t>
      </w:r>
    </w:p>
    <w:p w14:paraId="5B38EFA7">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14:paraId="40800351">
      <w:pPr>
        <w:ind w:firstLine="640"/>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年预算收支安排</w:t>
      </w:r>
      <w:r>
        <w:rPr>
          <w:rFonts w:hint="eastAsia" w:ascii="仿宋_GB2312" w:hAnsi="Times New Roman" w:eastAsia="仿宋_GB2312"/>
          <w:sz w:val="32"/>
          <w:szCs w:val="32"/>
          <w:lang w:val="en-US" w:eastAsia="zh-CN"/>
        </w:rPr>
        <w:t>26.352</w:t>
      </w:r>
      <w:r>
        <w:rPr>
          <w:rFonts w:hint="eastAsia" w:ascii="仿宋_GB2312" w:hAnsi="Times New Roman" w:eastAsia="仿宋_GB2312"/>
          <w:sz w:val="32"/>
          <w:szCs w:val="32"/>
        </w:rPr>
        <w:t>万元，较</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减少</w:t>
      </w:r>
      <w:r>
        <w:rPr>
          <w:rFonts w:hint="eastAsia" w:ascii="仿宋_GB2312" w:hAnsi="Times New Roman" w:eastAsia="仿宋_GB2312"/>
          <w:sz w:val="32"/>
          <w:szCs w:val="32"/>
          <w:lang w:val="en-US" w:eastAsia="zh-CN"/>
        </w:rPr>
        <w:t>23.738</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eastAsia="zh-CN"/>
        </w:rPr>
        <w:t>增加</w:t>
      </w:r>
      <w:r>
        <w:rPr>
          <w:rFonts w:hint="eastAsia" w:ascii="仿宋_GB2312" w:hAnsi="Times New Roman" w:eastAsia="仿宋_GB2312"/>
          <w:sz w:val="32"/>
          <w:szCs w:val="32"/>
          <w:lang w:val="en-US" w:eastAsia="zh-CN"/>
        </w:rPr>
        <w:t>6.972</w:t>
      </w:r>
      <w:r>
        <w:rPr>
          <w:rFonts w:hint="eastAsia" w:ascii="仿宋_GB2312" w:hAnsi="Times New Roman" w:eastAsia="仿宋_GB2312"/>
          <w:sz w:val="32"/>
          <w:szCs w:val="32"/>
        </w:rPr>
        <w:t>万元，主要为</w:t>
      </w:r>
      <w:r>
        <w:rPr>
          <w:rFonts w:hint="eastAsia" w:ascii="仿宋_GB2312" w:hAnsi="Times New Roman" w:eastAsia="仿宋_GB2312"/>
          <w:sz w:val="32"/>
          <w:szCs w:val="32"/>
          <w:lang w:eastAsia="zh-CN"/>
        </w:rPr>
        <w:t>增加</w:t>
      </w:r>
      <w:r>
        <w:rPr>
          <w:rFonts w:hint="eastAsia" w:ascii="仿宋_GB2312" w:hAnsi="Times New Roman" w:eastAsia="仿宋_GB2312"/>
          <w:sz w:val="32"/>
          <w:szCs w:val="32"/>
        </w:rPr>
        <w:t>人员经费</w:t>
      </w:r>
      <w:r>
        <w:rPr>
          <w:rFonts w:hint="eastAsia" w:ascii="仿宋_GB2312" w:hAnsi="Times New Roman" w:eastAsia="仿宋_GB2312"/>
          <w:sz w:val="32"/>
          <w:szCs w:val="32"/>
          <w:lang w:val="en-US" w:eastAsia="zh-CN"/>
        </w:rPr>
        <w:t>，</w:t>
      </w:r>
      <w:r>
        <w:rPr>
          <w:rFonts w:hint="eastAsia" w:ascii="仿宋_GB2312" w:hAnsi="Times New Roman" w:eastAsia="仿宋_GB2312"/>
          <w:sz w:val="32"/>
          <w:szCs w:val="32"/>
          <w:lang w:eastAsia="zh-CN"/>
        </w:rPr>
        <w:t>为</w:t>
      </w:r>
      <w:r>
        <w:rPr>
          <w:rFonts w:hint="eastAsia" w:ascii="仿宋_GB2312" w:hAnsi="Times New Roman" w:eastAsia="仿宋_GB2312"/>
          <w:sz w:val="32"/>
          <w:szCs w:val="32"/>
        </w:rPr>
        <w:t>人员工资</w:t>
      </w:r>
      <w:r>
        <w:rPr>
          <w:rFonts w:hint="eastAsia" w:ascii="仿宋_GB2312" w:hAnsi="Times New Roman" w:eastAsia="仿宋_GB2312"/>
          <w:sz w:val="32"/>
          <w:szCs w:val="32"/>
          <w:lang w:eastAsia="zh-CN"/>
        </w:rPr>
        <w:t>及社会保险费用</w:t>
      </w:r>
      <w:r>
        <w:rPr>
          <w:rFonts w:hint="eastAsia" w:ascii="仿宋_GB2312" w:hAnsi="Times New Roman" w:eastAsia="仿宋_GB2312"/>
          <w:sz w:val="32"/>
          <w:szCs w:val="32"/>
        </w:rPr>
        <w:t>提高；项目支出</w:t>
      </w:r>
      <w:r>
        <w:rPr>
          <w:rFonts w:hint="eastAsia" w:ascii="仿宋_GB2312" w:hAnsi="Times New Roman" w:eastAsia="仿宋_GB2312"/>
          <w:sz w:val="32"/>
          <w:szCs w:val="32"/>
          <w:lang w:eastAsia="zh-CN"/>
        </w:rPr>
        <w:t>减少</w:t>
      </w:r>
      <w:r>
        <w:rPr>
          <w:rFonts w:hint="eastAsia" w:ascii="仿宋_GB2312" w:hAnsi="Times New Roman" w:eastAsia="仿宋_GB2312"/>
          <w:sz w:val="32"/>
          <w:szCs w:val="32"/>
          <w:lang w:val="en-US" w:eastAsia="zh-CN"/>
        </w:rPr>
        <w:t>30.71</w:t>
      </w:r>
      <w:r>
        <w:rPr>
          <w:rFonts w:hint="eastAsia" w:ascii="仿宋_GB2312" w:hAnsi="Times New Roman" w:eastAsia="仿宋_GB2312"/>
          <w:sz w:val="32"/>
          <w:szCs w:val="32"/>
        </w:rPr>
        <w:t>万元，主要是</w:t>
      </w:r>
      <w:r>
        <w:rPr>
          <w:rFonts w:hint="eastAsia" w:ascii="仿宋_GB2312" w:hAnsi="Times New Roman" w:eastAsia="仿宋_GB2312"/>
          <w:sz w:val="32"/>
          <w:szCs w:val="32"/>
          <w:lang w:eastAsia="zh-CN"/>
        </w:rPr>
        <w:t>减少了</w:t>
      </w:r>
      <w:r>
        <w:rPr>
          <w:rFonts w:hint="eastAsia" w:ascii="仿宋_GB2312" w:hAnsi="Times New Roman" w:eastAsia="仿宋_GB2312"/>
          <w:sz w:val="32"/>
          <w:szCs w:val="32"/>
        </w:rPr>
        <w:t>军队退役人员上岗待遇生活费用。</w:t>
      </w:r>
    </w:p>
    <w:p w14:paraId="3354BEDE">
      <w:pPr>
        <w:ind w:firstLine="643" w:firstLineChars="200"/>
        <w:rPr>
          <w:rFonts w:ascii="黑体" w:hAnsi="黑体" w:eastAsia="黑体"/>
          <w:b/>
          <w:sz w:val="32"/>
          <w:szCs w:val="32"/>
        </w:rPr>
      </w:pPr>
      <w:r>
        <w:rPr>
          <w:rFonts w:hint="eastAsia" w:ascii="黑体" w:hAnsi="黑体" w:eastAsia="黑体"/>
          <w:b/>
          <w:sz w:val="32"/>
          <w:szCs w:val="32"/>
        </w:rPr>
        <w:t>三、机关运行经费安排情况</w:t>
      </w:r>
    </w:p>
    <w:p w14:paraId="2586EAF9">
      <w:pPr>
        <w:autoSpaceDE w:val="0"/>
        <w:autoSpaceDN w:val="0"/>
        <w:adjustRightInd w:val="0"/>
        <w:ind w:firstLine="640" w:firstLineChars="200"/>
        <w:jc w:val="left"/>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我部门</w:t>
      </w:r>
      <w:r>
        <w:rPr>
          <w:rFonts w:hint="eastAsia" w:ascii="仿宋_GB2312" w:hAnsi="Times New Roman" w:eastAsia="仿宋_GB2312"/>
          <w:sz w:val="32"/>
          <w:szCs w:val="32"/>
        </w:rPr>
        <w:t>机关运行经费共计安排</w:t>
      </w:r>
      <w:r>
        <w:rPr>
          <w:rFonts w:ascii="仿宋_GB2312" w:hAnsi="Times New Roman" w:eastAsia="仿宋_GB2312"/>
          <w:sz w:val="32"/>
          <w:szCs w:val="32"/>
        </w:rPr>
        <w:t>3</w:t>
      </w:r>
      <w:r>
        <w:rPr>
          <w:rFonts w:hint="eastAsia" w:ascii="仿宋_GB2312" w:hAnsi="Times New Roman" w:eastAsia="仿宋_GB2312"/>
          <w:sz w:val="32"/>
          <w:szCs w:val="32"/>
        </w:rPr>
        <w:t>万元，主要用于办公费、水费、电费、取暖费等日常运行支出。</w:t>
      </w:r>
    </w:p>
    <w:p w14:paraId="386BDD10">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14:paraId="6FCAFF18">
      <w:pPr>
        <w:autoSpaceDE w:val="0"/>
        <w:autoSpaceDN w:val="0"/>
        <w:adjustRightInd w:val="0"/>
        <w:ind w:firstLine="640" w:firstLineChars="200"/>
        <w:jc w:val="left"/>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lang w:val="en-US" w:eastAsia="zh-CN"/>
        </w:rPr>
        <w:t>9</w:t>
      </w:r>
      <w:r>
        <w:rPr>
          <w:rFonts w:hint="eastAsia" w:ascii="仿宋_GB2312" w:hAnsi="Times New Roman" w:eastAsia="仿宋_GB2312"/>
          <w:sz w:val="32"/>
          <w:szCs w:val="32"/>
        </w:rPr>
        <w:t>年，</w:t>
      </w:r>
      <w:r>
        <w:rPr>
          <w:rFonts w:hint="eastAsia" w:ascii="仿宋_GB2312" w:hAnsi="Times New Roman" w:eastAsia="仿宋_GB2312"/>
          <w:sz w:val="32"/>
          <w:szCs w:val="32"/>
          <w:lang w:eastAsia="zh-CN"/>
        </w:rPr>
        <w:t>我部门</w:t>
      </w:r>
      <w:r>
        <w:rPr>
          <w:rFonts w:hint="eastAsia" w:ascii="仿宋_GB2312" w:hAnsi="Times New Roman" w:eastAsia="仿宋_GB2312"/>
          <w:sz w:val="32"/>
          <w:szCs w:val="32"/>
        </w:rPr>
        <w:t>财政拨款“三公”经费预算安排</w:t>
      </w:r>
      <w:r>
        <w:rPr>
          <w:rFonts w:ascii="仿宋_GB2312" w:hAnsi="Times New Roman" w:eastAsia="仿宋_GB2312"/>
          <w:sz w:val="32"/>
          <w:szCs w:val="32"/>
        </w:rPr>
        <w:t>0</w:t>
      </w:r>
      <w:r>
        <w:rPr>
          <w:rFonts w:hint="eastAsia" w:ascii="仿宋_GB2312" w:hAnsi="Times New Roman" w:eastAsia="仿宋_GB2312"/>
          <w:sz w:val="32"/>
          <w:szCs w:val="32"/>
        </w:rPr>
        <w:t>万元，其中</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因公出国（境）费</w:t>
      </w:r>
      <w:r>
        <w:rPr>
          <w:rFonts w:ascii="仿宋_GB2312" w:hAnsi="Times New Roman" w:eastAsia="仿宋_GB2312"/>
          <w:sz w:val="32"/>
          <w:szCs w:val="32"/>
        </w:rPr>
        <w:t>0</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较上年持平</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公务用车购置及运维费</w:t>
      </w:r>
      <w:r>
        <w:rPr>
          <w:rFonts w:ascii="仿宋_GB2312" w:hAnsi="Times New Roman" w:eastAsia="仿宋_GB2312"/>
          <w:sz w:val="32"/>
          <w:szCs w:val="32"/>
        </w:rPr>
        <w:t>0</w:t>
      </w:r>
      <w:r>
        <w:rPr>
          <w:rFonts w:hint="eastAsia" w:ascii="仿宋_GB2312" w:hAnsi="Times New Roman" w:eastAsia="仿宋_GB2312"/>
          <w:sz w:val="32"/>
          <w:szCs w:val="32"/>
        </w:rPr>
        <w:t>万元（其中：公务用车购置费</w:t>
      </w:r>
      <w:r>
        <w:rPr>
          <w:rFonts w:ascii="仿宋_GB2312" w:hAnsi="Times New Roman" w:eastAsia="仿宋_GB2312"/>
          <w:sz w:val="32"/>
          <w:szCs w:val="32"/>
        </w:rPr>
        <w:t>0</w:t>
      </w:r>
      <w:r>
        <w:rPr>
          <w:rFonts w:hint="eastAsia" w:ascii="仿宋_GB2312" w:hAnsi="Times New Roman" w:eastAsia="仿宋_GB2312"/>
          <w:sz w:val="32"/>
          <w:szCs w:val="32"/>
        </w:rPr>
        <w:t>万元，公务用车运</w:t>
      </w:r>
      <w:r>
        <w:rPr>
          <w:rFonts w:hint="eastAsia" w:ascii="仿宋_GB2312" w:hAnsi="Times New Roman" w:eastAsia="仿宋_GB2312"/>
          <w:sz w:val="32"/>
          <w:szCs w:val="32"/>
          <w:lang w:eastAsia="zh-CN"/>
        </w:rPr>
        <w:t>行</w:t>
      </w:r>
      <w:r>
        <w:rPr>
          <w:rFonts w:hint="eastAsia" w:ascii="仿宋_GB2312" w:hAnsi="Times New Roman" w:eastAsia="仿宋_GB2312"/>
          <w:sz w:val="32"/>
          <w:szCs w:val="32"/>
        </w:rPr>
        <w:t>维</w:t>
      </w:r>
      <w:r>
        <w:rPr>
          <w:rFonts w:hint="eastAsia" w:ascii="仿宋_GB2312" w:hAnsi="Times New Roman" w:eastAsia="仿宋_GB2312"/>
          <w:sz w:val="32"/>
          <w:szCs w:val="32"/>
          <w:lang w:eastAsia="zh-CN"/>
        </w:rPr>
        <w:t>护</w:t>
      </w:r>
      <w:r>
        <w:rPr>
          <w:rFonts w:hint="eastAsia" w:ascii="仿宋_GB2312" w:hAnsi="Times New Roman" w:eastAsia="仿宋_GB2312"/>
          <w:sz w:val="32"/>
          <w:szCs w:val="32"/>
        </w:rPr>
        <w:t>费</w:t>
      </w:r>
      <w:r>
        <w:rPr>
          <w:rFonts w:ascii="仿宋_GB2312" w:hAnsi="Times New Roman" w:eastAsia="仿宋_GB2312"/>
          <w:sz w:val="32"/>
          <w:szCs w:val="32"/>
        </w:rPr>
        <w:t>0</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较上年持平</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公务接待费</w:t>
      </w:r>
      <w:r>
        <w:rPr>
          <w:rFonts w:ascii="仿宋_GB2312" w:hAnsi="Times New Roman" w:eastAsia="仿宋_GB2312"/>
          <w:sz w:val="32"/>
          <w:szCs w:val="32"/>
        </w:rPr>
        <w:t>0</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较上年持平。较</w:t>
      </w:r>
      <w:r>
        <w:rPr>
          <w:rFonts w:ascii="仿宋_GB2312" w:hAnsi="Times New Roman" w:eastAsia="仿宋_GB2312"/>
          <w:sz w:val="32"/>
          <w:szCs w:val="32"/>
        </w:rPr>
        <w:t>201</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年“三公”经费支出预算减少</w:t>
      </w:r>
      <w:r>
        <w:rPr>
          <w:rFonts w:ascii="仿宋_GB2312" w:hAnsi="Times New Roman" w:eastAsia="仿宋_GB2312"/>
          <w:sz w:val="32"/>
          <w:szCs w:val="32"/>
        </w:rPr>
        <w:t>0</w:t>
      </w:r>
      <w:r>
        <w:rPr>
          <w:rFonts w:hint="eastAsia" w:ascii="仿宋_GB2312" w:hAnsi="Times New Roman" w:eastAsia="仿宋_GB2312"/>
          <w:sz w:val="32"/>
          <w:szCs w:val="32"/>
        </w:rPr>
        <w:t>万元，主要原因是我单位厉行节约，</w:t>
      </w:r>
      <w:r>
        <w:rPr>
          <w:rFonts w:hint="eastAsia" w:ascii="仿宋_GB2312" w:hAnsi="Times New Roman" w:eastAsia="仿宋_GB2312"/>
          <w:sz w:val="32"/>
          <w:szCs w:val="32"/>
          <w:lang w:val="zh-CN"/>
        </w:rPr>
        <w:t>另所有公车已处置拍卖，无公车运行维护费用支出</w:t>
      </w:r>
      <w:r>
        <w:rPr>
          <w:rFonts w:hint="eastAsia" w:ascii="仿宋_GB2312" w:hAnsi="Times New Roman" w:eastAsia="仿宋_GB2312"/>
          <w:sz w:val="32"/>
          <w:szCs w:val="32"/>
        </w:rPr>
        <w:t>，无接待费，</w:t>
      </w:r>
      <w:r>
        <w:rPr>
          <w:rFonts w:hint="eastAsia" w:ascii="仿宋_GB2312" w:hAnsi="Times New Roman" w:eastAsia="仿宋_GB2312"/>
          <w:sz w:val="32"/>
          <w:szCs w:val="32"/>
          <w:lang w:val="zh-CN"/>
        </w:rPr>
        <w:t>严格执行中央八项规定等</w:t>
      </w:r>
      <w:r>
        <w:rPr>
          <w:rFonts w:hint="eastAsia" w:ascii="仿宋_GB2312" w:hAnsi="Times New Roman" w:eastAsia="仿宋_GB2312"/>
          <w:sz w:val="32"/>
          <w:szCs w:val="32"/>
        </w:rPr>
        <w:t>。</w:t>
      </w:r>
    </w:p>
    <w:p w14:paraId="7734267D">
      <w:pPr>
        <w:ind w:firstLine="640"/>
        <w:rPr>
          <w:rFonts w:ascii="黑体" w:hAnsi="黑体" w:eastAsia="黑体"/>
          <w:b/>
          <w:sz w:val="32"/>
          <w:szCs w:val="32"/>
        </w:rPr>
      </w:pPr>
      <w:r>
        <w:rPr>
          <w:rFonts w:hint="eastAsia" w:ascii="黑体" w:hAnsi="黑体" w:eastAsia="黑体"/>
          <w:b/>
          <w:sz w:val="32"/>
          <w:szCs w:val="32"/>
        </w:rPr>
        <w:t>五、绩效预算信息</w:t>
      </w:r>
    </w:p>
    <w:p w14:paraId="34017864">
      <w:pPr>
        <w:ind w:firstLine="561"/>
        <w:rPr>
          <w:rFonts w:hint="eastAsia" w:ascii="仿宋" w:hAnsi="仿宋" w:eastAsia="仿宋" w:cs="仿宋"/>
          <w:b/>
          <w:sz w:val="32"/>
          <w:szCs w:val="32"/>
          <w:lang w:eastAsia="zh-CN"/>
        </w:rPr>
      </w:pPr>
      <w:bookmarkStart w:id="0" w:name="_Toc471398463"/>
      <w:r>
        <w:rPr>
          <w:rFonts w:hint="eastAsia" w:ascii="仿宋" w:hAnsi="仿宋" w:eastAsia="仿宋" w:cs="仿宋"/>
          <w:b/>
          <w:sz w:val="32"/>
          <w:szCs w:val="32"/>
        </w:rPr>
        <w:t>总体绩效目标</w:t>
      </w:r>
      <w:r>
        <w:rPr>
          <w:rFonts w:hint="eastAsia" w:ascii="仿宋" w:hAnsi="仿宋" w:eastAsia="仿宋" w:cs="仿宋"/>
          <w:b/>
          <w:sz w:val="32"/>
          <w:szCs w:val="32"/>
          <w:lang w:eastAsia="zh-CN"/>
        </w:rPr>
        <w:t>：</w:t>
      </w:r>
    </w:p>
    <w:p w14:paraId="05904789">
      <w:pPr>
        <w:ind w:firstLine="561"/>
        <w:rPr>
          <w:rFonts w:ascii="方正仿宋_GBK" w:eastAsia="方正仿宋_GBK"/>
          <w:sz w:val="32"/>
          <w:szCs w:val="32"/>
        </w:rPr>
      </w:pPr>
      <w:r>
        <w:rPr>
          <w:rFonts w:ascii="仿宋_GB2312" w:hAnsi="Arial" w:eastAsia="仿宋_GB2312" w:cs="Arial"/>
          <w:color w:val="000000"/>
          <w:sz w:val="32"/>
          <w:szCs w:val="32"/>
          <w:shd w:val="clear" w:color="auto" w:fill="FFFFFF"/>
        </w:rPr>
        <w:t>201</w:t>
      </w:r>
      <w:r>
        <w:rPr>
          <w:rFonts w:hint="eastAsia" w:ascii="仿宋_GB2312" w:hAnsi="Arial" w:eastAsia="仿宋_GB2312" w:cs="Arial"/>
          <w:color w:val="000000"/>
          <w:sz w:val="32"/>
          <w:szCs w:val="32"/>
          <w:shd w:val="clear" w:color="auto" w:fill="FFFFFF"/>
          <w:lang w:val="en-US" w:eastAsia="zh-CN"/>
        </w:rPr>
        <w:t>9</w:t>
      </w:r>
      <w:r>
        <w:rPr>
          <w:rFonts w:hint="eastAsia" w:ascii="仿宋_GB2312" w:hAnsi="Arial" w:eastAsia="仿宋_GB2312" w:cs="Arial"/>
          <w:color w:val="000000"/>
          <w:sz w:val="32"/>
          <w:szCs w:val="32"/>
          <w:shd w:val="clear" w:color="auto" w:fill="FFFFFF"/>
        </w:rPr>
        <w:t>年，馆陶县</w:t>
      </w:r>
      <w:r>
        <w:rPr>
          <w:rFonts w:hint="eastAsia" w:ascii="仿宋_GB2312" w:hAnsi="Arial" w:eastAsia="仿宋_GB2312" w:cs="Arial"/>
          <w:color w:val="000000"/>
          <w:sz w:val="32"/>
          <w:szCs w:val="32"/>
          <w:shd w:val="clear" w:color="auto" w:fill="FFFFFF"/>
          <w:lang w:eastAsia="zh-CN"/>
        </w:rPr>
        <w:t>国</w:t>
      </w:r>
      <w:r>
        <w:rPr>
          <w:rFonts w:hint="eastAsia" w:ascii="仿宋_GB2312" w:hAnsi="Arial" w:eastAsia="仿宋_GB2312" w:cs="Arial"/>
          <w:color w:val="000000"/>
          <w:sz w:val="32"/>
          <w:szCs w:val="32"/>
          <w:shd w:val="clear" w:color="auto" w:fill="FFFFFF"/>
        </w:rPr>
        <w:t>有资产运营公司各级党组织和广大党员干部要在党的十九大精神引领下，高举习近平新时代中国特色社会主义思想伟大旗帜，以强烈的紧迫感和高度的责任感，进一步统一思想，坚定信心，锐意进取，迎难而上，全力做好以下</w:t>
      </w:r>
      <w:r>
        <w:rPr>
          <w:rFonts w:ascii="仿宋_GB2312" w:hAnsi="Arial" w:eastAsia="仿宋_GB2312" w:cs="Arial"/>
          <w:color w:val="000000"/>
          <w:sz w:val="32"/>
          <w:szCs w:val="32"/>
          <w:shd w:val="clear" w:color="auto" w:fill="FFFFFF"/>
        </w:rPr>
        <w:t>5</w:t>
      </w:r>
      <w:r>
        <w:rPr>
          <w:rFonts w:hint="eastAsia" w:ascii="仿宋_GB2312" w:hAnsi="Arial" w:eastAsia="仿宋_GB2312" w:cs="Arial"/>
          <w:color w:val="000000"/>
          <w:sz w:val="32"/>
          <w:szCs w:val="32"/>
          <w:shd w:val="clear" w:color="auto" w:fill="FFFFFF"/>
        </w:rPr>
        <w:t>个方面的工作：</w:t>
      </w:r>
    </w:p>
    <w:p w14:paraId="1B773E53">
      <w:pPr>
        <w:ind w:firstLine="561"/>
        <w:rPr>
          <w:rFonts w:ascii="仿宋" w:hAnsi="仿宋" w:eastAsia="仿宋"/>
          <w:sz w:val="32"/>
          <w:szCs w:val="32"/>
        </w:rPr>
      </w:pPr>
      <w:r>
        <w:rPr>
          <w:rFonts w:hint="eastAsia" w:ascii="仿宋" w:hAnsi="仿宋" w:eastAsia="仿宋"/>
          <w:sz w:val="32"/>
          <w:szCs w:val="32"/>
        </w:rPr>
        <w:t>一、继续做好信访稳定工作。我公司将站在讲政治顾大局高度，全力以赴做好信访工作，坚决杜绝进京访和赴县以上集体访。</w:t>
      </w:r>
    </w:p>
    <w:p w14:paraId="253D187B">
      <w:pPr>
        <w:ind w:firstLine="561"/>
        <w:rPr>
          <w:rFonts w:ascii="仿宋" w:hAnsi="仿宋" w:eastAsia="仿宋"/>
          <w:sz w:val="32"/>
          <w:szCs w:val="32"/>
        </w:rPr>
      </w:pPr>
      <w:r>
        <w:rPr>
          <w:rFonts w:hint="eastAsia" w:ascii="仿宋" w:hAnsi="仿宋" w:eastAsia="仿宋"/>
          <w:sz w:val="32"/>
          <w:szCs w:val="32"/>
        </w:rPr>
        <w:t>二、加快推进龙门美居项目建设，确保广大购房户</w:t>
      </w:r>
      <w:r>
        <w:rPr>
          <w:rFonts w:ascii="仿宋" w:hAnsi="仿宋" w:eastAsia="仿宋"/>
          <w:sz w:val="32"/>
          <w:szCs w:val="32"/>
        </w:rPr>
        <w:t>201</w:t>
      </w:r>
      <w:r>
        <w:rPr>
          <w:rFonts w:hint="eastAsia" w:ascii="仿宋" w:hAnsi="仿宋" w:eastAsia="仿宋"/>
          <w:sz w:val="32"/>
          <w:szCs w:val="32"/>
          <w:lang w:val="en-US" w:eastAsia="zh-CN"/>
        </w:rPr>
        <w:t>9</w:t>
      </w:r>
      <w:r>
        <w:rPr>
          <w:rFonts w:hint="eastAsia" w:ascii="仿宋" w:hAnsi="仿宋" w:eastAsia="仿宋"/>
          <w:sz w:val="32"/>
          <w:szCs w:val="32"/>
        </w:rPr>
        <w:t>年底能够入住新居。</w:t>
      </w:r>
    </w:p>
    <w:p w14:paraId="62CB0CB3">
      <w:pPr>
        <w:ind w:firstLine="561"/>
        <w:rPr>
          <w:rFonts w:ascii="仿宋" w:hAnsi="仿宋" w:eastAsia="仿宋"/>
          <w:sz w:val="32"/>
          <w:szCs w:val="32"/>
        </w:rPr>
      </w:pPr>
      <w:r>
        <w:rPr>
          <w:rFonts w:hint="eastAsia" w:ascii="仿宋" w:hAnsi="仿宋" w:eastAsia="仿宋"/>
          <w:sz w:val="32"/>
          <w:szCs w:val="32"/>
        </w:rPr>
        <w:t>三、切实加强对“两学一做”学习教育常态化制度化的组织领导，继续开展“两学一做”学习教育，把学习教育贯穿始终。进一步提高思</w:t>
      </w:r>
      <w:r>
        <w:rPr>
          <w:rFonts w:ascii="仿宋" w:hAnsi="仿宋" w:eastAsia="仿宋"/>
          <w:sz w:val="32"/>
          <w:szCs w:val="32"/>
        </w:rPr>
        <w:t xml:space="preserve"> </w:t>
      </w:r>
      <w:r>
        <w:rPr>
          <w:rFonts w:hint="eastAsia" w:ascii="仿宋" w:hAnsi="仿宋" w:eastAsia="仿宋"/>
          <w:sz w:val="32"/>
          <w:szCs w:val="32"/>
        </w:rPr>
        <w:t>想认识，转变工作作风，切实增强执行各项纪律自觉性，全体干部职工要站在讲政治顾大局的高度，严格执行党的各项制度规定，切实做到廉政勤政，务实干事。</w:t>
      </w:r>
    </w:p>
    <w:p w14:paraId="79E95E7B">
      <w:pPr>
        <w:ind w:firstLine="561"/>
        <w:rPr>
          <w:rFonts w:ascii="仿宋" w:hAnsi="仿宋" w:eastAsia="仿宋"/>
          <w:sz w:val="32"/>
          <w:szCs w:val="32"/>
        </w:rPr>
      </w:pPr>
      <w:r>
        <w:rPr>
          <w:rFonts w:hint="eastAsia" w:ascii="仿宋" w:hAnsi="仿宋" w:eastAsia="仿宋"/>
          <w:sz w:val="32"/>
          <w:szCs w:val="32"/>
        </w:rPr>
        <w:t>四、善始善终做好驻村扶贫工作，全力以赴完成王雷寨村精准扶贫的各项任务。</w:t>
      </w:r>
    </w:p>
    <w:p w14:paraId="26B7353F">
      <w:pPr>
        <w:ind w:firstLine="561"/>
        <w:rPr>
          <w:rFonts w:ascii="仿宋" w:hAnsi="仿宋" w:eastAsia="仿宋"/>
          <w:sz w:val="32"/>
          <w:szCs w:val="32"/>
        </w:rPr>
      </w:pPr>
      <w:r>
        <w:rPr>
          <w:rFonts w:hint="eastAsia" w:ascii="仿宋" w:hAnsi="仿宋" w:eastAsia="仿宋"/>
          <w:sz w:val="32"/>
          <w:szCs w:val="32"/>
        </w:rPr>
        <w:t>五、为了全面完成工作目标，我公司领导高度重视，成立了以副经理陈保岭任组长的考核领导小组，并且把任务层层落实到人，年终根据完成情况进行奖罚，从制度上确保</w:t>
      </w:r>
      <w:r>
        <w:rPr>
          <w:rFonts w:ascii="仿宋" w:hAnsi="仿宋" w:eastAsia="仿宋"/>
          <w:sz w:val="32"/>
          <w:szCs w:val="32"/>
        </w:rPr>
        <w:t>201</w:t>
      </w:r>
      <w:r>
        <w:rPr>
          <w:rFonts w:hint="eastAsia" w:ascii="仿宋" w:hAnsi="仿宋" w:eastAsia="仿宋"/>
          <w:sz w:val="32"/>
          <w:szCs w:val="32"/>
          <w:lang w:val="en-US" w:eastAsia="zh-CN"/>
        </w:rPr>
        <w:t>9</w:t>
      </w:r>
      <w:r>
        <w:rPr>
          <w:rFonts w:hint="eastAsia" w:ascii="仿宋" w:hAnsi="仿宋" w:eastAsia="仿宋"/>
          <w:sz w:val="32"/>
          <w:szCs w:val="32"/>
        </w:rPr>
        <w:t>年工作目标落到实处。</w:t>
      </w:r>
    </w:p>
    <w:p w14:paraId="1B2DA742">
      <w:pPr>
        <w:ind w:firstLine="643" w:firstLineChars="200"/>
        <w:outlineLvl w:val="0"/>
        <w:rPr>
          <w:rFonts w:hint="eastAsia" w:ascii="仿宋" w:hAnsi="仿宋" w:eastAsia="仿宋" w:cs="仿宋"/>
          <w:b/>
          <w:sz w:val="32"/>
          <w:szCs w:val="32"/>
        </w:rPr>
      </w:pPr>
      <w:r>
        <w:rPr>
          <w:rFonts w:hint="eastAsia" w:ascii="仿宋" w:hAnsi="仿宋" w:eastAsia="仿宋" w:cs="仿宋"/>
          <w:b/>
          <w:sz w:val="32"/>
          <w:szCs w:val="32"/>
          <w:lang w:eastAsia="zh-CN"/>
        </w:rPr>
        <w:t>职责分类绩效目标</w:t>
      </w:r>
      <w:r>
        <w:rPr>
          <w:rFonts w:hint="eastAsia" w:ascii="仿宋" w:hAnsi="仿宋" w:eastAsia="仿宋" w:cs="仿宋"/>
          <w:b/>
          <w:sz w:val="32"/>
          <w:szCs w:val="32"/>
        </w:rPr>
        <w:t>：</w:t>
      </w:r>
      <w:bookmarkStart w:id="1" w:name="_Toc510096851"/>
    </w:p>
    <w:p w14:paraId="6991C16B">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一、盘活国有资产</w:t>
      </w:r>
    </w:p>
    <w:p w14:paraId="7EAF4589">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职责描述：</w:t>
      </w:r>
      <w:r>
        <w:rPr>
          <w:rFonts w:hint="eastAsia" w:ascii="仿宋" w:hAnsi="仿宋" w:eastAsia="仿宋" w:cs="仿宋"/>
          <w:sz w:val="32"/>
          <w:szCs w:val="32"/>
        </w:rPr>
        <w:t xml:space="preserve">   </w:t>
      </w:r>
    </w:p>
    <w:p w14:paraId="0978E910">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2"/>
          <w:szCs w:val="32"/>
        </w:rPr>
      </w:pPr>
      <w:r>
        <w:rPr>
          <w:rFonts w:ascii="仿宋" w:hAnsi="仿宋" w:eastAsia="仿宋"/>
          <w:sz w:val="32"/>
          <w:szCs w:val="32"/>
        </w:rPr>
        <w:t>对授权范围的国有资产承担保值增值责任。闲置资产高效利用。</w:t>
      </w:r>
    </w:p>
    <w:p w14:paraId="742D68ED">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年度绩效目标：</w:t>
      </w:r>
    </w:p>
    <w:p w14:paraId="21A907DC">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解决资产闲置，有效提高资产使用率。</w:t>
      </w:r>
    </w:p>
    <w:p w14:paraId="36FDA6A5">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工作活动绩效指标：</w:t>
      </w:r>
    </w:p>
    <w:p w14:paraId="0307A8D6">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解决资产闲置率，争取把所有的闲置资产有效利用。</w:t>
      </w:r>
    </w:p>
    <w:p w14:paraId="54428DBD">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二、加强资产管理</w:t>
      </w:r>
    </w:p>
    <w:p w14:paraId="5E0FD113">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职责描述：</w:t>
      </w:r>
      <w:r>
        <w:rPr>
          <w:rFonts w:hint="eastAsia" w:ascii="仿宋" w:hAnsi="仿宋" w:eastAsia="仿宋" w:cs="仿宋"/>
          <w:sz w:val="32"/>
          <w:szCs w:val="32"/>
        </w:rPr>
        <w:t xml:space="preserve">  </w:t>
      </w:r>
    </w:p>
    <w:p w14:paraId="507F7144">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2"/>
          <w:szCs w:val="32"/>
        </w:rPr>
      </w:pPr>
      <w:r>
        <w:rPr>
          <w:rFonts w:ascii="仿宋" w:hAnsi="仿宋" w:eastAsia="仿宋"/>
          <w:sz w:val="32"/>
          <w:szCs w:val="32"/>
        </w:rPr>
        <w:t>承担县政府授权的有关集体企业资产的管理。确保原轻工业局、城镇集体企业联社下属企业资产保值增值。</w:t>
      </w:r>
    </w:p>
    <w:p w14:paraId="28805C84">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年度绩效目标：</w:t>
      </w:r>
    </w:p>
    <w:p w14:paraId="183517C1">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改制一家、破产一家。</w:t>
      </w:r>
    </w:p>
    <w:p w14:paraId="494946D2">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工作活动绩效指标：</w:t>
      </w:r>
    </w:p>
    <w:p w14:paraId="07554593">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sz w:val="32"/>
          <w:szCs w:val="32"/>
          <w:lang w:eastAsia="zh-CN"/>
        </w:rPr>
      </w:pPr>
      <w:r>
        <w:rPr>
          <w:rFonts w:hint="eastAsia" w:ascii="仿宋" w:hAnsi="仿宋" w:eastAsia="仿宋"/>
          <w:sz w:val="32"/>
          <w:szCs w:val="32"/>
          <w:lang w:eastAsia="zh-CN"/>
        </w:rPr>
        <w:t>解决企业遗留问题。给企业职工缴纳养老金，置换职工身份，解决职工后顾之忧。</w:t>
      </w:r>
    </w:p>
    <w:p w14:paraId="3E9047BA">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三、信访稳定</w:t>
      </w:r>
    </w:p>
    <w:p w14:paraId="09FFD51C">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职责描述：</w:t>
      </w:r>
      <w:r>
        <w:rPr>
          <w:rFonts w:hint="eastAsia" w:ascii="仿宋" w:hAnsi="仿宋" w:eastAsia="仿宋" w:cs="仿宋"/>
          <w:sz w:val="32"/>
          <w:szCs w:val="32"/>
        </w:rPr>
        <w:t xml:space="preserve">    </w:t>
      </w:r>
    </w:p>
    <w:p w14:paraId="7A203C17">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2"/>
          <w:szCs w:val="32"/>
        </w:rPr>
      </w:pPr>
      <w:r>
        <w:rPr>
          <w:rFonts w:ascii="仿宋" w:hAnsi="仿宋" w:eastAsia="仿宋"/>
          <w:sz w:val="32"/>
          <w:szCs w:val="32"/>
        </w:rPr>
        <w:t>负责下属企业的信访稳定工作，做好职工信访工作，防止出现越级访。</w:t>
      </w:r>
    </w:p>
    <w:p w14:paraId="497400D1">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年度绩效目标：</w:t>
      </w:r>
    </w:p>
    <w:p w14:paraId="6D755A47">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稳定职工情绪，做好信访工作</w:t>
      </w:r>
      <w:r>
        <w:rPr>
          <w:rFonts w:hint="eastAsia" w:ascii="仿宋" w:hAnsi="仿宋" w:eastAsia="仿宋"/>
          <w:sz w:val="32"/>
          <w:szCs w:val="32"/>
          <w:lang w:eastAsia="zh-CN"/>
        </w:rPr>
        <w:t>。</w:t>
      </w:r>
    </w:p>
    <w:p w14:paraId="7F5DB643">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工作活动绩效指标：</w:t>
      </w:r>
    </w:p>
    <w:p w14:paraId="5E0868FD">
      <w:pPr>
        <w:pStyle w:val="19"/>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rPr>
        <w:t>提高信访化解率</w:t>
      </w:r>
      <w:r>
        <w:rPr>
          <w:rFonts w:hint="eastAsia" w:ascii="仿宋" w:hAnsi="仿宋" w:eastAsia="仿宋"/>
          <w:sz w:val="32"/>
          <w:szCs w:val="32"/>
          <w:lang w:eastAsia="zh-CN"/>
        </w:rPr>
        <w:t>，争取不发生一起越级访。</w:t>
      </w:r>
    </w:p>
    <w:p w14:paraId="1F7ABD32">
      <w:pPr>
        <w:ind w:firstLine="643" w:firstLineChars="200"/>
        <w:outlineLvl w:val="0"/>
        <w:rPr>
          <w:rFonts w:hint="eastAsia" w:ascii="仿宋" w:hAnsi="仿宋" w:eastAsia="仿宋" w:cs="仿宋"/>
          <w:b/>
          <w:sz w:val="32"/>
          <w:szCs w:val="32"/>
          <w:lang w:eastAsia="zh-CN"/>
        </w:rPr>
      </w:pPr>
      <w:r>
        <w:rPr>
          <w:rFonts w:hint="eastAsia" w:ascii="仿宋" w:hAnsi="仿宋" w:eastAsia="仿宋" w:cs="仿宋"/>
          <w:b/>
          <w:sz w:val="32"/>
          <w:szCs w:val="32"/>
          <w:lang w:eastAsia="zh-CN"/>
        </w:rPr>
        <w:t>部门职责及工作活动绩效目标指标：</w:t>
      </w:r>
    </w:p>
    <w:bookmarkEnd w:id="1"/>
    <w:p w14:paraId="568D8C38">
      <w:pPr>
        <w:jc w:val="center"/>
        <w:outlineLvl w:val="0"/>
        <w:rPr>
          <w:rFonts w:hint="eastAsia" w:ascii="华文中宋" w:hAnsi="华文中宋" w:eastAsia="华文中宋" w:cs="华文中宋"/>
          <w:sz w:val="32"/>
        </w:rPr>
      </w:pPr>
      <w:bookmarkStart w:id="2" w:name="_Toc510510232"/>
      <w:r>
        <w:rPr>
          <w:rFonts w:hint="eastAsia" w:ascii="华文中宋" w:hAnsi="华文中宋" w:eastAsia="华文中宋" w:cs="华文中宋"/>
          <w:sz w:val="32"/>
        </w:rPr>
        <w:t>部门职责-工作活动绩效目标</w:t>
      </w:r>
      <w:bookmarkEnd w:id="2"/>
    </w:p>
    <w:tbl>
      <w:tblPr>
        <w:tblStyle w:val="9"/>
        <w:tblW w:w="1082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18"/>
        <w:gridCol w:w="1183"/>
        <w:gridCol w:w="2118"/>
        <w:gridCol w:w="2310"/>
        <w:gridCol w:w="1101"/>
        <w:gridCol w:w="572"/>
        <w:gridCol w:w="572"/>
        <w:gridCol w:w="573"/>
        <w:gridCol w:w="573"/>
      </w:tblGrid>
      <w:tr w14:paraId="2E80FB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8" w:hRule="atLeast"/>
          <w:tblHeader/>
          <w:jc w:val="center"/>
        </w:trPr>
        <w:tc>
          <w:tcPr>
            <w:tcW w:w="8530" w:type="dxa"/>
            <w:gridSpan w:val="5"/>
            <w:tcBorders>
              <w:top w:val="single" w:color="FFFFFF" w:sz="6" w:space="0"/>
              <w:left w:val="single" w:color="FFFFFF" w:sz="6" w:space="0"/>
              <w:right w:val="single" w:color="FFFFFF" w:sz="6" w:space="0"/>
            </w:tcBorders>
            <w:vAlign w:val="center"/>
          </w:tcPr>
          <w:p w14:paraId="28E5B8A7">
            <w:pPr>
              <w:spacing w:line="300" w:lineRule="exact"/>
              <w:jc w:val="left"/>
              <w:rPr>
                <w:rFonts w:hint="eastAsia" w:asciiTheme="minorEastAsia" w:hAnsiTheme="minorEastAsia" w:eastAsiaTheme="minorEastAsia" w:cstheme="minorEastAsia"/>
                <w:sz w:val="22"/>
                <w:szCs w:val="21"/>
              </w:rPr>
            </w:pPr>
            <w:r>
              <w:rPr>
                <w:rFonts w:hint="eastAsia" w:asciiTheme="minorEastAsia" w:hAnsiTheme="minorEastAsia" w:eastAsiaTheme="minorEastAsia" w:cstheme="minorEastAsia"/>
                <w:sz w:val="22"/>
                <w:szCs w:val="21"/>
              </w:rPr>
              <w:t>817馆陶县国有资产运营公司</w:t>
            </w:r>
          </w:p>
        </w:tc>
        <w:tc>
          <w:tcPr>
            <w:tcW w:w="2290" w:type="dxa"/>
            <w:gridSpan w:val="4"/>
            <w:tcBorders>
              <w:top w:val="single" w:color="FFFFFF" w:sz="6" w:space="0"/>
              <w:left w:val="single" w:color="FFFFFF" w:sz="6" w:space="0"/>
              <w:right w:val="single" w:color="FFFFFF" w:sz="6" w:space="0"/>
            </w:tcBorders>
            <w:vAlign w:val="center"/>
          </w:tcPr>
          <w:p w14:paraId="55696474">
            <w:pPr>
              <w:spacing w:line="300" w:lineRule="exact"/>
              <w:jc w:val="right"/>
              <w:rPr>
                <w:rFonts w:hint="eastAsia" w:asciiTheme="minorEastAsia" w:hAnsiTheme="minorEastAsia" w:eastAsiaTheme="minorEastAsia" w:cstheme="minorEastAsia"/>
                <w:sz w:val="22"/>
                <w:szCs w:val="21"/>
              </w:rPr>
            </w:pPr>
            <w:r>
              <w:rPr>
                <w:rFonts w:hint="eastAsia" w:asciiTheme="minorEastAsia" w:hAnsiTheme="minorEastAsia" w:eastAsiaTheme="minorEastAsia" w:cstheme="minorEastAsia"/>
                <w:sz w:val="22"/>
                <w:szCs w:val="21"/>
              </w:rPr>
              <w:t>单位：</w:t>
            </w:r>
            <w:r>
              <w:rPr>
                <w:rFonts w:hint="eastAsia" w:asciiTheme="minorEastAsia" w:hAnsiTheme="minorEastAsia" w:eastAsiaTheme="minorEastAsia" w:cstheme="minorEastAsia"/>
                <w:sz w:val="22"/>
                <w:szCs w:val="21"/>
                <w:lang w:eastAsia="zh-CN"/>
              </w:rPr>
              <w:t>万</w:t>
            </w:r>
            <w:r>
              <w:rPr>
                <w:rFonts w:hint="eastAsia" w:asciiTheme="minorEastAsia" w:hAnsiTheme="minorEastAsia" w:eastAsiaTheme="minorEastAsia" w:cstheme="minorEastAsia"/>
                <w:sz w:val="22"/>
                <w:szCs w:val="21"/>
              </w:rPr>
              <w:t>元</w:t>
            </w:r>
          </w:p>
        </w:tc>
      </w:tr>
      <w:tr w14:paraId="3234E6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8" w:hRule="atLeast"/>
          <w:tblHeader/>
          <w:jc w:val="center"/>
        </w:trPr>
        <w:tc>
          <w:tcPr>
            <w:tcW w:w="1818" w:type="dxa"/>
            <w:vMerge w:val="restart"/>
            <w:vAlign w:val="center"/>
          </w:tcPr>
          <w:p w14:paraId="687FCC0B">
            <w:pPr>
              <w:spacing w:line="300" w:lineRule="exact"/>
              <w:jc w:val="center"/>
              <w:rPr>
                <w:rFonts w:ascii="方正书宋_GBK" w:eastAsia="方正书宋_GBK"/>
                <w:b/>
                <w:sz w:val="20"/>
                <w:szCs w:val="21"/>
              </w:rPr>
            </w:pPr>
            <w:r>
              <w:rPr>
                <w:rFonts w:hint="eastAsia" w:ascii="方正书宋_GBK" w:eastAsia="方正书宋_GBK"/>
                <w:b/>
                <w:sz w:val="20"/>
                <w:szCs w:val="21"/>
              </w:rPr>
              <w:t>职责活动</w:t>
            </w:r>
          </w:p>
        </w:tc>
        <w:tc>
          <w:tcPr>
            <w:tcW w:w="1183" w:type="dxa"/>
            <w:vMerge w:val="restart"/>
            <w:vAlign w:val="center"/>
          </w:tcPr>
          <w:p w14:paraId="7C32BB23">
            <w:pPr>
              <w:spacing w:line="300" w:lineRule="exact"/>
              <w:jc w:val="center"/>
              <w:rPr>
                <w:rFonts w:ascii="方正书宋_GBK" w:eastAsia="方正书宋_GBK"/>
                <w:b/>
                <w:sz w:val="20"/>
                <w:szCs w:val="21"/>
              </w:rPr>
            </w:pPr>
            <w:r>
              <w:rPr>
                <w:rFonts w:hint="eastAsia" w:ascii="方正书宋_GBK" w:eastAsia="方正书宋_GBK"/>
                <w:b/>
                <w:sz w:val="20"/>
                <w:szCs w:val="21"/>
              </w:rPr>
              <w:t>年度预算数</w:t>
            </w:r>
          </w:p>
        </w:tc>
        <w:tc>
          <w:tcPr>
            <w:tcW w:w="2118" w:type="dxa"/>
            <w:vMerge w:val="restart"/>
            <w:vAlign w:val="center"/>
          </w:tcPr>
          <w:p w14:paraId="56FC78D3">
            <w:pPr>
              <w:spacing w:line="300" w:lineRule="exact"/>
              <w:jc w:val="center"/>
              <w:rPr>
                <w:rFonts w:ascii="方正书宋_GBK" w:eastAsia="方正书宋_GBK"/>
                <w:b/>
                <w:sz w:val="20"/>
                <w:szCs w:val="21"/>
              </w:rPr>
            </w:pPr>
            <w:r>
              <w:rPr>
                <w:rFonts w:hint="eastAsia" w:ascii="方正书宋_GBK" w:eastAsia="方正书宋_GBK"/>
                <w:b/>
                <w:sz w:val="20"/>
                <w:szCs w:val="21"/>
              </w:rPr>
              <w:t>内容描述</w:t>
            </w:r>
          </w:p>
        </w:tc>
        <w:tc>
          <w:tcPr>
            <w:tcW w:w="2310" w:type="dxa"/>
            <w:vMerge w:val="restart"/>
            <w:vAlign w:val="center"/>
          </w:tcPr>
          <w:p w14:paraId="3BA411CB">
            <w:pPr>
              <w:spacing w:line="300" w:lineRule="exact"/>
              <w:jc w:val="center"/>
              <w:rPr>
                <w:rFonts w:ascii="方正书宋_GBK" w:eastAsia="方正书宋_GBK"/>
                <w:b/>
                <w:sz w:val="20"/>
                <w:szCs w:val="21"/>
              </w:rPr>
            </w:pPr>
            <w:r>
              <w:rPr>
                <w:rFonts w:hint="eastAsia" w:ascii="方正书宋_GBK" w:eastAsia="方正书宋_GBK"/>
                <w:b/>
                <w:sz w:val="20"/>
                <w:szCs w:val="21"/>
              </w:rPr>
              <w:t>绩效目标</w:t>
            </w:r>
          </w:p>
        </w:tc>
        <w:tc>
          <w:tcPr>
            <w:tcW w:w="1101" w:type="dxa"/>
            <w:vMerge w:val="restart"/>
            <w:vAlign w:val="center"/>
          </w:tcPr>
          <w:p w14:paraId="25087728">
            <w:pPr>
              <w:spacing w:line="300" w:lineRule="exact"/>
              <w:jc w:val="center"/>
              <w:rPr>
                <w:rFonts w:ascii="方正书宋_GBK" w:eastAsia="方正书宋_GBK"/>
                <w:b/>
                <w:sz w:val="20"/>
                <w:szCs w:val="21"/>
              </w:rPr>
            </w:pPr>
            <w:r>
              <w:rPr>
                <w:rFonts w:hint="eastAsia" w:ascii="方正书宋_GBK" w:eastAsia="方正书宋_GBK"/>
                <w:b/>
                <w:sz w:val="20"/>
                <w:szCs w:val="21"/>
              </w:rPr>
              <w:t>绩效指标</w:t>
            </w:r>
          </w:p>
        </w:tc>
        <w:tc>
          <w:tcPr>
            <w:tcW w:w="2290" w:type="dxa"/>
            <w:gridSpan w:val="4"/>
            <w:vAlign w:val="center"/>
          </w:tcPr>
          <w:p w14:paraId="6CD40A3F">
            <w:pPr>
              <w:spacing w:line="300" w:lineRule="exact"/>
              <w:jc w:val="center"/>
              <w:rPr>
                <w:rFonts w:ascii="方正书宋_GBK" w:eastAsia="方正书宋_GBK"/>
                <w:b/>
                <w:sz w:val="20"/>
                <w:szCs w:val="21"/>
              </w:rPr>
            </w:pPr>
            <w:r>
              <w:rPr>
                <w:rFonts w:hint="eastAsia" w:ascii="方正书宋_GBK" w:eastAsia="方正书宋_GBK"/>
                <w:b/>
                <w:sz w:val="20"/>
                <w:szCs w:val="21"/>
              </w:rPr>
              <w:t>评价标准</w:t>
            </w:r>
          </w:p>
        </w:tc>
      </w:tr>
      <w:tr w14:paraId="2C95A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8" w:hRule="atLeast"/>
          <w:tblHeader/>
          <w:jc w:val="center"/>
        </w:trPr>
        <w:tc>
          <w:tcPr>
            <w:tcW w:w="1818" w:type="dxa"/>
            <w:vMerge w:val="continue"/>
            <w:vAlign w:val="center"/>
          </w:tcPr>
          <w:p w14:paraId="69D7C1C6">
            <w:pPr>
              <w:spacing w:line="300" w:lineRule="exact"/>
              <w:jc w:val="left"/>
              <w:outlineLvl w:val="0"/>
              <w:rPr>
                <w:sz w:val="20"/>
                <w:szCs w:val="21"/>
              </w:rPr>
            </w:pPr>
          </w:p>
        </w:tc>
        <w:tc>
          <w:tcPr>
            <w:tcW w:w="1183" w:type="dxa"/>
            <w:vMerge w:val="continue"/>
            <w:vAlign w:val="center"/>
          </w:tcPr>
          <w:p w14:paraId="776FAD38">
            <w:pPr>
              <w:spacing w:line="300" w:lineRule="exact"/>
              <w:jc w:val="left"/>
              <w:outlineLvl w:val="0"/>
              <w:rPr>
                <w:sz w:val="20"/>
                <w:szCs w:val="21"/>
              </w:rPr>
            </w:pPr>
          </w:p>
        </w:tc>
        <w:tc>
          <w:tcPr>
            <w:tcW w:w="2118" w:type="dxa"/>
            <w:vMerge w:val="continue"/>
            <w:vAlign w:val="center"/>
          </w:tcPr>
          <w:p w14:paraId="16022338">
            <w:pPr>
              <w:spacing w:line="300" w:lineRule="exact"/>
              <w:jc w:val="left"/>
              <w:outlineLvl w:val="0"/>
              <w:rPr>
                <w:sz w:val="20"/>
                <w:szCs w:val="21"/>
              </w:rPr>
            </w:pPr>
          </w:p>
        </w:tc>
        <w:tc>
          <w:tcPr>
            <w:tcW w:w="2310" w:type="dxa"/>
            <w:vMerge w:val="continue"/>
            <w:vAlign w:val="center"/>
          </w:tcPr>
          <w:p w14:paraId="65FDEAC4">
            <w:pPr>
              <w:spacing w:line="300" w:lineRule="exact"/>
              <w:jc w:val="left"/>
              <w:outlineLvl w:val="0"/>
              <w:rPr>
                <w:sz w:val="20"/>
                <w:szCs w:val="21"/>
              </w:rPr>
            </w:pPr>
          </w:p>
        </w:tc>
        <w:tc>
          <w:tcPr>
            <w:tcW w:w="1101" w:type="dxa"/>
            <w:vMerge w:val="continue"/>
            <w:vAlign w:val="center"/>
          </w:tcPr>
          <w:p w14:paraId="6345C4FC">
            <w:pPr>
              <w:spacing w:line="300" w:lineRule="exact"/>
              <w:jc w:val="left"/>
              <w:outlineLvl w:val="0"/>
              <w:rPr>
                <w:sz w:val="20"/>
                <w:szCs w:val="21"/>
              </w:rPr>
            </w:pPr>
          </w:p>
        </w:tc>
        <w:tc>
          <w:tcPr>
            <w:tcW w:w="572" w:type="dxa"/>
            <w:vAlign w:val="center"/>
          </w:tcPr>
          <w:p w14:paraId="74A0C54F">
            <w:pPr>
              <w:spacing w:line="300" w:lineRule="exact"/>
              <w:jc w:val="center"/>
              <w:rPr>
                <w:rFonts w:ascii="方正书宋_GBK" w:eastAsia="方正书宋_GBK"/>
                <w:b/>
                <w:sz w:val="20"/>
                <w:szCs w:val="21"/>
              </w:rPr>
            </w:pPr>
            <w:r>
              <w:rPr>
                <w:rFonts w:hint="eastAsia" w:ascii="方正书宋_GBK" w:eastAsia="方正书宋_GBK"/>
                <w:b/>
                <w:sz w:val="20"/>
                <w:szCs w:val="21"/>
              </w:rPr>
              <w:t>优</w:t>
            </w:r>
          </w:p>
        </w:tc>
        <w:tc>
          <w:tcPr>
            <w:tcW w:w="572" w:type="dxa"/>
            <w:vAlign w:val="center"/>
          </w:tcPr>
          <w:p w14:paraId="6171E2E0">
            <w:pPr>
              <w:spacing w:line="300" w:lineRule="exact"/>
              <w:jc w:val="center"/>
              <w:rPr>
                <w:rFonts w:ascii="方正书宋_GBK" w:eastAsia="方正书宋_GBK"/>
                <w:b/>
                <w:sz w:val="20"/>
                <w:szCs w:val="21"/>
              </w:rPr>
            </w:pPr>
            <w:r>
              <w:rPr>
                <w:rFonts w:hint="eastAsia" w:ascii="方正书宋_GBK" w:eastAsia="方正书宋_GBK"/>
                <w:b/>
                <w:sz w:val="20"/>
                <w:szCs w:val="21"/>
              </w:rPr>
              <w:t>良</w:t>
            </w:r>
          </w:p>
        </w:tc>
        <w:tc>
          <w:tcPr>
            <w:tcW w:w="573" w:type="dxa"/>
            <w:vAlign w:val="center"/>
          </w:tcPr>
          <w:p w14:paraId="25D8B2F8">
            <w:pPr>
              <w:spacing w:line="300" w:lineRule="exact"/>
              <w:jc w:val="center"/>
              <w:rPr>
                <w:rFonts w:ascii="方正书宋_GBK" w:eastAsia="方正书宋_GBK"/>
                <w:b/>
                <w:sz w:val="20"/>
                <w:szCs w:val="21"/>
              </w:rPr>
            </w:pPr>
            <w:r>
              <w:rPr>
                <w:rFonts w:hint="eastAsia" w:ascii="方正书宋_GBK" w:eastAsia="方正书宋_GBK"/>
                <w:b/>
                <w:sz w:val="20"/>
                <w:szCs w:val="21"/>
              </w:rPr>
              <w:t>中</w:t>
            </w:r>
          </w:p>
        </w:tc>
        <w:tc>
          <w:tcPr>
            <w:tcW w:w="573" w:type="dxa"/>
            <w:vAlign w:val="center"/>
          </w:tcPr>
          <w:p w14:paraId="57B4F6DA">
            <w:pPr>
              <w:spacing w:line="300" w:lineRule="exact"/>
              <w:jc w:val="center"/>
              <w:rPr>
                <w:rFonts w:ascii="方正书宋_GBK" w:eastAsia="方正书宋_GBK"/>
                <w:b/>
                <w:sz w:val="20"/>
                <w:szCs w:val="21"/>
              </w:rPr>
            </w:pPr>
            <w:r>
              <w:rPr>
                <w:rFonts w:hint="eastAsia" w:ascii="方正书宋_GBK" w:eastAsia="方正书宋_GBK"/>
                <w:b/>
                <w:sz w:val="20"/>
                <w:szCs w:val="21"/>
              </w:rPr>
              <w:t>差</w:t>
            </w:r>
          </w:p>
        </w:tc>
      </w:tr>
      <w:tr w14:paraId="603923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3" w:hRule="atLeast"/>
          <w:jc w:val="center"/>
        </w:trPr>
        <w:tc>
          <w:tcPr>
            <w:tcW w:w="1818" w:type="dxa"/>
            <w:vAlign w:val="center"/>
          </w:tcPr>
          <w:p w14:paraId="0055C528">
            <w:pPr>
              <w:spacing w:line="300" w:lineRule="exact"/>
              <w:jc w:val="left"/>
              <w:rPr>
                <w:rFonts w:ascii="方正书宋_GBK" w:eastAsia="方正书宋_GBK"/>
                <w:b/>
                <w:sz w:val="20"/>
                <w:szCs w:val="21"/>
              </w:rPr>
            </w:pPr>
            <w:r>
              <w:rPr>
                <w:rFonts w:hint="eastAsia" w:ascii="方正书宋_GBK" w:eastAsia="方正书宋_GBK"/>
                <w:b/>
                <w:sz w:val="20"/>
                <w:szCs w:val="21"/>
              </w:rPr>
              <w:t>一、盘活国有资产</w:t>
            </w:r>
          </w:p>
        </w:tc>
        <w:tc>
          <w:tcPr>
            <w:tcW w:w="1183" w:type="dxa"/>
            <w:vAlign w:val="center"/>
          </w:tcPr>
          <w:p w14:paraId="63856184">
            <w:pPr>
              <w:spacing w:line="300" w:lineRule="exact"/>
              <w:jc w:val="left"/>
              <w:rPr>
                <w:rFonts w:ascii="方正书宋_GBK" w:eastAsia="方正书宋_GBK"/>
                <w:sz w:val="20"/>
                <w:szCs w:val="21"/>
              </w:rPr>
            </w:pPr>
          </w:p>
        </w:tc>
        <w:tc>
          <w:tcPr>
            <w:tcW w:w="2118" w:type="dxa"/>
            <w:vAlign w:val="center"/>
          </w:tcPr>
          <w:p w14:paraId="5B9753CB">
            <w:pPr>
              <w:spacing w:line="300" w:lineRule="exact"/>
              <w:jc w:val="left"/>
              <w:rPr>
                <w:rFonts w:ascii="方正书宋_GBK" w:eastAsia="方正书宋_GBK"/>
                <w:sz w:val="20"/>
                <w:szCs w:val="21"/>
              </w:rPr>
            </w:pPr>
            <w:r>
              <w:rPr>
                <w:rFonts w:hint="eastAsia" w:ascii="方正书宋_GBK" w:eastAsia="方正书宋_GBK"/>
                <w:sz w:val="20"/>
                <w:szCs w:val="21"/>
              </w:rPr>
              <w:t>对授权范围的国有资产承担保值增值责任。</w:t>
            </w:r>
          </w:p>
        </w:tc>
        <w:tc>
          <w:tcPr>
            <w:tcW w:w="2310" w:type="dxa"/>
            <w:vAlign w:val="center"/>
          </w:tcPr>
          <w:p w14:paraId="2AEE8705">
            <w:pPr>
              <w:spacing w:line="300" w:lineRule="exact"/>
              <w:jc w:val="left"/>
              <w:rPr>
                <w:rFonts w:ascii="方正书宋_GBK" w:eastAsia="方正书宋_GBK"/>
                <w:sz w:val="20"/>
                <w:szCs w:val="21"/>
              </w:rPr>
            </w:pPr>
            <w:r>
              <w:rPr>
                <w:rFonts w:hint="eastAsia" w:ascii="方正书宋_GBK" w:eastAsia="方正书宋_GBK"/>
                <w:sz w:val="20"/>
                <w:szCs w:val="21"/>
              </w:rPr>
              <w:t>闲置资产高效利用</w:t>
            </w:r>
          </w:p>
        </w:tc>
        <w:tc>
          <w:tcPr>
            <w:tcW w:w="1101" w:type="dxa"/>
            <w:vAlign w:val="center"/>
          </w:tcPr>
          <w:p w14:paraId="64EF0517">
            <w:pPr>
              <w:spacing w:line="300" w:lineRule="exact"/>
              <w:jc w:val="left"/>
              <w:rPr>
                <w:rFonts w:ascii="方正书宋_GBK" w:eastAsia="方正书宋_GBK"/>
                <w:sz w:val="20"/>
                <w:szCs w:val="21"/>
              </w:rPr>
            </w:pPr>
          </w:p>
        </w:tc>
        <w:tc>
          <w:tcPr>
            <w:tcW w:w="572" w:type="dxa"/>
            <w:vAlign w:val="center"/>
          </w:tcPr>
          <w:p w14:paraId="38FFA58B">
            <w:pPr>
              <w:spacing w:line="300" w:lineRule="exact"/>
              <w:jc w:val="center"/>
              <w:rPr>
                <w:rFonts w:ascii="方正书宋_GBK" w:eastAsia="方正书宋_GBK"/>
                <w:sz w:val="20"/>
                <w:szCs w:val="21"/>
              </w:rPr>
            </w:pPr>
          </w:p>
        </w:tc>
        <w:tc>
          <w:tcPr>
            <w:tcW w:w="572" w:type="dxa"/>
            <w:vAlign w:val="center"/>
          </w:tcPr>
          <w:p w14:paraId="10469205">
            <w:pPr>
              <w:spacing w:line="300" w:lineRule="exact"/>
              <w:jc w:val="center"/>
              <w:rPr>
                <w:rFonts w:ascii="方正书宋_GBK" w:eastAsia="方正书宋_GBK"/>
                <w:sz w:val="20"/>
                <w:szCs w:val="21"/>
              </w:rPr>
            </w:pPr>
          </w:p>
        </w:tc>
        <w:tc>
          <w:tcPr>
            <w:tcW w:w="573" w:type="dxa"/>
            <w:vAlign w:val="center"/>
          </w:tcPr>
          <w:p w14:paraId="2989A32E">
            <w:pPr>
              <w:spacing w:line="300" w:lineRule="exact"/>
              <w:jc w:val="center"/>
              <w:rPr>
                <w:rFonts w:ascii="方正书宋_GBK" w:eastAsia="方正书宋_GBK"/>
                <w:sz w:val="20"/>
                <w:szCs w:val="21"/>
              </w:rPr>
            </w:pPr>
          </w:p>
        </w:tc>
        <w:tc>
          <w:tcPr>
            <w:tcW w:w="573" w:type="dxa"/>
            <w:vAlign w:val="center"/>
          </w:tcPr>
          <w:p w14:paraId="3D5C1017">
            <w:pPr>
              <w:spacing w:line="300" w:lineRule="exact"/>
              <w:jc w:val="center"/>
              <w:rPr>
                <w:rFonts w:ascii="方正书宋_GBK" w:eastAsia="方正书宋_GBK"/>
                <w:sz w:val="20"/>
                <w:szCs w:val="21"/>
              </w:rPr>
            </w:pPr>
          </w:p>
        </w:tc>
      </w:tr>
      <w:tr w14:paraId="6C14E2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19" w:hRule="atLeast"/>
          <w:jc w:val="center"/>
        </w:trPr>
        <w:tc>
          <w:tcPr>
            <w:tcW w:w="1818" w:type="dxa"/>
            <w:vAlign w:val="center"/>
          </w:tcPr>
          <w:p w14:paraId="7A4DF2B9">
            <w:pPr>
              <w:spacing w:line="300" w:lineRule="exact"/>
              <w:jc w:val="left"/>
              <w:rPr>
                <w:rFonts w:ascii="方正书宋_GBK" w:eastAsia="方正书宋_GBK"/>
                <w:b/>
                <w:sz w:val="20"/>
                <w:szCs w:val="21"/>
              </w:rPr>
            </w:pPr>
            <w:r>
              <w:rPr>
                <w:rFonts w:hint="eastAsia" w:ascii="方正书宋_GBK" w:eastAsia="方正书宋_GBK"/>
                <w:b/>
                <w:sz w:val="20"/>
                <w:szCs w:val="21"/>
              </w:rPr>
              <w:t>　　</w:t>
            </w:r>
            <w:r>
              <w:rPr>
                <w:rFonts w:ascii="方正书宋_GBK" w:eastAsia="方正书宋_GBK"/>
                <w:b/>
                <w:sz w:val="20"/>
                <w:szCs w:val="21"/>
              </w:rPr>
              <w:t>1</w:t>
            </w:r>
            <w:r>
              <w:rPr>
                <w:rFonts w:hint="eastAsia" w:ascii="方正书宋_GBK" w:eastAsia="方正书宋_GBK"/>
                <w:b/>
                <w:sz w:val="20"/>
                <w:szCs w:val="21"/>
              </w:rPr>
              <w:t>、资产盘活</w:t>
            </w:r>
          </w:p>
        </w:tc>
        <w:tc>
          <w:tcPr>
            <w:tcW w:w="1183" w:type="dxa"/>
            <w:vAlign w:val="center"/>
          </w:tcPr>
          <w:p w14:paraId="4924B72A">
            <w:pPr>
              <w:spacing w:line="300" w:lineRule="exact"/>
              <w:jc w:val="left"/>
              <w:rPr>
                <w:rFonts w:ascii="方正书宋_GBK" w:eastAsia="方正书宋_GBK"/>
                <w:sz w:val="20"/>
                <w:szCs w:val="21"/>
              </w:rPr>
            </w:pPr>
          </w:p>
        </w:tc>
        <w:tc>
          <w:tcPr>
            <w:tcW w:w="2118" w:type="dxa"/>
            <w:vAlign w:val="center"/>
          </w:tcPr>
          <w:p w14:paraId="3EBD3138">
            <w:pPr>
              <w:spacing w:line="300" w:lineRule="exact"/>
              <w:jc w:val="left"/>
              <w:rPr>
                <w:rFonts w:ascii="方正书宋_GBK" w:eastAsia="方正书宋_GBK"/>
                <w:sz w:val="20"/>
                <w:szCs w:val="21"/>
              </w:rPr>
            </w:pPr>
            <w:r>
              <w:rPr>
                <w:rFonts w:hint="eastAsia" w:ascii="方正书宋_GBK" w:eastAsia="方正书宋_GBK"/>
                <w:sz w:val="20"/>
                <w:szCs w:val="21"/>
              </w:rPr>
              <w:t>年内把企业的资产进行处置、盘活，避免资产流失，资源浪费</w:t>
            </w:r>
          </w:p>
        </w:tc>
        <w:tc>
          <w:tcPr>
            <w:tcW w:w="2310" w:type="dxa"/>
            <w:vAlign w:val="center"/>
          </w:tcPr>
          <w:p w14:paraId="651E62E7">
            <w:pPr>
              <w:spacing w:line="300" w:lineRule="exact"/>
              <w:jc w:val="left"/>
              <w:rPr>
                <w:rFonts w:ascii="方正书宋_GBK" w:eastAsia="方正书宋_GBK"/>
                <w:sz w:val="20"/>
                <w:szCs w:val="21"/>
              </w:rPr>
            </w:pPr>
            <w:r>
              <w:rPr>
                <w:rFonts w:hint="eastAsia" w:ascii="方正书宋_GBK" w:eastAsia="方正书宋_GBK"/>
                <w:sz w:val="20"/>
                <w:szCs w:val="21"/>
              </w:rPr>
              <w:t>解决资产闲置，有效提高资产使用率</w:t>
            </w:r>
          </w:p>
        </w:tc>
        <w:tc>
          <w:tcPr>
            <w:tcW w:w="1101" w:type="dxa"/>
            <w:vAlign w:val="center"/>
          </w:tcPr>
          <w:p w14:paraId="18D32DFE">
            <w:pPr>
              <w:spacing w:line="300" w:lineRule="exact"/>
              <w:jc w:val="left"/>
              <w:rPr>
                <w:rFonts w:ascii="方正书宋_GBK" w:eastAsia="方正书宋_GBK"/>
                <w:sz w:val="20"/>
                <w:szCs w:val="21"/>
              </w:rPr>
            </w:pPr>
            <w:r>
              <w:rPr>
                <w:rFonts w:hint="eastAsia" w:ascii="方正书宋_GBK" w:eastAsia="方正书宋_GBK"/>
                <w:sz w:val="20"/>
                <w:szCs w:val="21"/>
              </w:rPr>
              <w:t>解决资产闲置率</w:t>
            </w:r>
          </w:p>
        </w:tc>
        <w:tc>
          <w:tcPr>
            <w:tcW w:w="572" w:type="dxa"/>
            <w:vAlign w:val="center"/>
          </w:tcPr>
          <w:p w14:paraId="1D46229B">
            <w:pPr>
              <w:spacing w:line="300" w:lineRule="exact"/>
              <w:jc w:val="center"/>
              <w:rPr>
                <w:rFonts w:ascii="方正书宋_GBK" w:eastAsia="方正书宋_GBK"/>
                <w:sz w:val="20"/>
                <w:szCs w:val="21"/>
              </w:rPr>
            </w:pPr>
            <w:r>
              <w:rPr>
                <w:rFonts w:ascii="方正书宋_GBK" w:eastAsia="方正书宋_GBK"/>
                <w:sz w:val="20"/>
                <w:szCs w:val="21"/>
              </w:rPr>
              <w:t>100%</w:t>
            </w:r>
          </w:p>
        </w:tc>
        <w:tc>
          <w:tcPr>
            <w:tcW w:w="572" w:type="dxa"/>
            <w:vAlign w:val="center"/>
          </w:tcPr>
          <w:p w14:paraId="2D562C6B">
            <w:pPr>
              <w:spacing w:line="300" w:lineRule="exact"/>
              <w:jc w:val="center"/>
              <w:rPr>
                <w:rFonts w:ascii="方正书宋_GBK" w:eastAsia="方正书宋_GBK"/>
                <w:sz w:val="20"/>
                <w:szCs w:val="21"/>
              </w:rPr>
            </w:pPr>
            <w:r>
              <w:rPr>
                <w:rFonts w:ascii="方正书宋_GBK" w:eastAsia="方正书宋_GBK"/>
                <w:sz w:val="20"/>
                <w:szCs w:val="21"/>
              </w:rPr>
              <w:t>85%</w:t>
            </w:r>
            <w:r>
              <w:rPr>
                <w:rFonts w:hint="eastAsia" w:ascii="方正书宋_GBK" w:eastAsia="方正书宋_GBK"/>
                <w:sz w:val="20"/>
                <w:szCs w:val="21"/>
              </w:rPr>
              <w:t>及以上</w:t>
            </w:r>
          </w:p>
        </w:tc>
        <w:tc>
          <w:tcPr>
            <w:tcW w:w="573" w:type="dxa"/>
            <w:vAlign w:val="center"/>
          </w:tcPr>
          <w:p w14:paraId="0EC5F79F">
            <w:pPr>
              <w:spacing w:line="300" w:lineRule="exact"/>
              <w:jc w:val="center"/>
              <w:rPr>
                <w:rFonts w:ascii="方正书宋_GBK" w:eastAsia="方正书宋_GBK"/>
                <w:sz w:val="20"/>
                <w:szCs w:val="21"/>
              </w:rPr>
            </w:pPr>
            <w:r>
              <w:rPr>
                <w:rFonts w:ascii="方正书宋_GBK" w:eastAsia="方正书宋_GBK"/>
                <w:sz w:val="20"/>
                <w:szCs w:val="21"/>
              </w:rPr>
              <w:t>75%</w:t>
            </w:r>
            <w:r>
              <w:rPr>
                <w:rFonts w:hint="eastAsia" w:ascii="方正书宋_GBK" w:eastAsia="方正书宋_GBK"/>
                <w:sz w:val="20"/>
                <w:szCs w:val="21"/>
              </w:rPr>
              <w:t>及以上</w:t>
            </w:r>
          </w:p>
        </w:tc>
        <w:tc>
          <w:tcPr>
            <w:tcW w:w="573" w:type="dxa"/>
            <w:vAlign w:val="center"/>
          </w:tcPr>
          <w:p w14:paraId="690F4313">
            <w:pPr>
              <w:spacing w:line="300" w:lineRule="exact"/>
              <w:jc w:val="center"/>
              <w:rPr>
                <w:rFonts w:ascii="方正书宋_GBK" w:eastAsia="方正书宋_GBK"/>
                <w:sz w:val="20"/>
                <w:szCs w:val="21"/>
              </w:rPr>
            </w:pPr>
            <w:r>
              <w:rPr>
                <w:rFonts w:ascii="方正书宋_GBK" w:eastAsia="方正书宋_GBK"/>
                <w:sz w:val="20"/>
                <w:szCs w:val="21"/>
              </w:rPr>
              <w:t>75%</w:t>
            </w:r>
            <w:r>
              <w:rPr>
                <w:rFonts w:hint="eastAsia" w:ascii="方正书宋_GBK" w:eastAsia="方正书宋_GBK"/>
                <w:sz w:val="20"/>
                <w:szCs w:val="21"/>
              </w:rPr>
              <w:t>以下</w:t>
            </w:r>
          </w:p>
        </w:tc>
      </w:tr>
      <w:tr w14:paraId="3CC1FD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19" w:hRule="atLeast"/>
          <w:jc w:val="center"/>
        </w:trPr>
        <w:tc>
          <w:tcPr>
            <w:tcW w:w="1818" w:type="dxa"/>
            <w:vAlign w:val="center"/>
          </w:tcPr>
          <w:p w14:paraId="234BEFEA">
            <w:pPr>
              <w:spacing w:line="300" w:lineRule="exact"/>
              <w:jc w:val="left"/>
              <w:rPr>
                <w:rFonts w:ascii="方正书宋_GBK" w:eastAsia="方正书宋_GBK"/>
                <w:b/>
                <w:sz w:val="20"/>
                <w:szCs w:val="21"/>
              </w:rPr>
            </w:pPr>
            <w:r>
              <w:rPr>
                <w:rFonts w:hint="eastAsia" w:ascii="方正书宋_GBK" w:eastAsia="方正书宋_GBK"/>
                <w:b/>
                <w:sz w:val="20"/>
                <w:szCs w:val="21"/>
              </w:rPr>
              <w:t>二、加强资产管理</w:t>
            </w:r>
          </w:p>
        </w:tc>
        <w:tc>
          <w:tcPr>
            <w:tcW w:w="1183" w:type="dxa"/>
            <w:vAlign w:val="center"/>
          </w:tcPr>
          <w:p w14:paraId="53A82952">
            <w:pPr>
              <w:spacing w:line="300" w:lineRule="exact"/>
              <w:jc w:val="left"/>
              <w:rPr>
                <w:rFonts w:ascii="方正书宋_GBK" w:eastAsia="方正书宋_GBK"/>
                <w:sz w:val="20"/>
                <w:szCs w:val="21"/>
              </w:rPr>
            </w:pPr>
          </w:p>
        </w:tc>
        <w:tc>
          <w:tcPr>
            <w:tcW w:w="2118" w:type="dxa"/>
            <w:vAlign w:val="center"/>
          </w:tcPr>
          <w:p w14:paraId="074E17F6">
            <w:pPr>
              <w:spacing w:line="300" w:lineRule="exact"/>
              <w:jc w:val="left"/>
              <w:rPr>
                <w:rFonts w:ascii="方正书宋_GBK" w:eastAsia="方正书宋_GBK"/>
                <w:sz w:val="20"/>
                <w:szCs w:val="21"/>
              </w:rPr>
            </w:pPr>
            <w:r>
              <w:rPr>
                <w:rFonts w:hint="eastAsia" w:ascii="方正书宋_GBK" w:eastAsia="方正书宋_GBK"/>
                <w:sz w:val="20"/>
                <w:szCs w:val="21"/>
              </w:rPr>
              <w:t>承担县政府授权的有关集体企业资产的管理</w:t>
            </w:r>
          </w:p>
        </w:tc>
        <w:tc>
          <w:tcPr>
            <w:tcW w:w="2310" w:type="dxa"/>
            <w:vAlign w:val="center"/>
          </w:tcPr>
          <w:p w14:paraId="1AEDBB17">
            <w:pPr>
              <w:spacing w:line="300" w:lineRule="exact"/>
              <w:jc w:val="left"/>
              <w:rPr>
                <w:rFonts w:ascii="方正书宋_GBK" w:eastAsia="方正书宋_GBK"/>
                <w:sz w:val="20"/>
                <w:szCs w:val="21"/>
              </w:rPr>
            </w:pPr>
            <w:r>
              <w:rPr>
                <w:rFonts w:hint="eastAsia" w:ascii="方正书宋_GBK" w:eastAsia="方正书宋_GBK"/>
                <w:sz w:val="20"/>
                <w:szCs w:val="21"/>
              </w:rPr>
              <w:t>确保原轻工业局、城镇集体企业联社下属企业资产保值增值；</w:t>
            </w:r>
          </w:p>
        </w:tc>
        <w:tc>
          <w:tcPr>
            <w:tcW w:w="1101" w:type="dxa"/>
            <w:vAlign w:val="center"/>
          </w:tcPr>
          <w:p w14:paraId="2508D6F2">
            <w:pPr>
              <w:spacing w:line="300" w:lineRule="exact"/>
              <w:jc w:val="left"/>
              <w:rPr>
                <w:rFonts w:ascii="方正书宋_GBK" w:eastAsia="方正书宋_GBK"/>
                <w:sz w:val="20"/>
                <w:szCs w:val="21"/>
              </w:rPr>
            </w:pPr>
          </w:p>
        </w:tc>
        <w:tc>
          <w:tcPr>
            <w:tcW w:w="572" w:type="dxa"/>
            <w:vAlign w:val="center"/>
          </w:tcPr>
          <w:p w14:paraId="63331DEF">
            <w:pPr>
              <w:spacing w:line="300" w:lineRule="exact"/>
              <w:jc w:val="center"/>
              <w:rPr>
                <w:rFonts w:ascii="方正书宋_GBK" w:eastAsia="方正书宋_GBK"/>
                <w:sz w:val="20"/>
                <w:szCs w:val="21"/>
              </w:rPr>
            </w:pPr>
          </w:p>
        </w:tc>
        <w:tc>
          <w:tcPr>
            <w:tcW w:w="572" w:type="dxa"/>
            <w:vAlign w:val="center"/>
          </w:tcPr>
          <w:p w14:paraId="3590550F">
            <w:pPr>
              <w:spacing w:line="300" w:lineRule="exact"/>
              <w:jc w:val="center"/>
              <w:rPr>
                <w:rFonts w:ascii="方正书宋_GBK" w:eastAsia="方正书宋_GBK"/>
                <w:sz w:val="20"/>
                <w:szCs w:val="21"/>
              </w:rPr>
            </w:pPr>
          </w:p>
        </w:tc>
        <w:tc>
          <w:tcPr>
            <w:tcW w:w="573" w:type="dxa"/>
            <w:vAlign w:val="center"/>
          </w:tcPr>
          <w:p w14:paraId="5D2E882D">
            <w:pPr>
              <w:spacing w:line="300" w:lineRule="exact"/>
              <w:jc w:val="center"/>
              <w:rPr>
                <w:rFonts w:ascii="方正书宋_GBK" w:eastAsia="方正书宋_GBK"/>
                <w:sz w:val="20"/>
                <w:szCs w:val="21"/>
              </w:rPr>
            </w:pPr>
          </w:p>
        </w:tc>
        <w:tc>
          <w:tcPr>
            <w:tcW w:w="573" w:type="dxa"/>
            <w:vAlign w:val="center"/>
          </w:tcPr>
          <w:p w14:paraId="140AA087">
            <w:pPr>
              <w:spacing w:line="300" w:lineRule="exact"/>
              <w:jc w:val="center"/>
              <w:rPr>
                <w:rFonts w:ascii="方正书宋_GBK" w:eastAsia="方正书宋_GBK"/>
                <w:sz w:val="20"/>
                <w:szCs w:val="21"/>
              </w:rPr>
            </w:pPr>
          </w:p>
        </w:tc>
      </w:tr>
      <w:tr w14:paraId="37BD2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802" w:hRule="atLeast"/>
          <w:jc w:val="center"/>
        </w:trPr>
        <w:tc>
          <w:tcPr>
            <w:tcW w:w="1818" w:type="dxa"/>
            <w:vAlign w:val="center"/>
          </w:tcPr>
          <w:p w14:paraId="08986876">
            <w:pPr>
              <w:spacing w:line="300" w:lineRule="exact"/>
              <w:jc w:val="left"/>
              <w:rPr>
                <w:rFonts w:ascii="方正书宋_GBK" w:eastAsia="方正书宋_GBK"/>
                <w:b/>
                <w:sz w:val="20"/>
                <w:szCs w:val="21"/>
              </w:rPr>
            </w:pPr>
            <w:r>
              <w:rPr>
                <w:rFonts w:hint="eastAsia" w:ascii="方正书宋_GBK" w:eastAsia="方正书宋_GBK"/>
                <w:b/>
                <w:sz w:val="20"/>
                <w:szCs w:val="21"/>
              </w:rPr>
              <w:t>　　</w:t>
            </w:r>
            <w:r>
              <w:rPr>
                <w:rFonts w:ascii="方正书宋_GBK" w:eastAsia="方正书宋_GBK"/>
                <w:b/>
                <w:sz w:val="20"/>
                <w:szCs w:val="21"/>
              </w:rPr>
              <w:t>1</w:t>
            </w:r>
            <w:r>
              <w:rPr>
                <w:rFonts w:hint="eastAsia" w:ascii="方正书宋_GBK" w:eastAsia="方正书宋_GBK"/>
                <w:b/>
                <w:sz w:val="20"/>
                <w:szCs w:val="21"/>
              </w:rPr>
              <w:t>、企业管理</w:t>
            </w:r>
          </w:p>
        </w:tc>
        <w:tc>
          <w:tcPr>
            <w:tcW w:w="1183" w:type="dxa"/>
            <w:vAlign w:val="center"/>
          </w:tcPr>
          <w:p w14:paraId="5DF2A33A">
            <w:pPr>
              <w:spacing w:line="300" w:lineRule="exact"/>
              <w:jc w:val="left"/>
              <w:rPr>
                <w:rFonts w:ascii="方正书宋_GBK" w:eastAsia="方正书宋_GBK"/>
                <w:sz w:val="20"/>
                <w:szCs w:val="21"/>
              </w:rPr>
            </w:pPr>
          </w:p>
        </w:tc>
        <w:tc>
          <w:tcPr>
            <w:tcW w:w="2118" w:type="dxa"/>
            <w:vAlign w:val="center"/>
          </w:tcPr>
          <w:p w14:paraId="7FFF534F">
            <w:pPr>
              <w:spacing w:line="300" w:lineRule="exact"/>
              <w:jc w:val="left"/>
              <w:rPr>
                <w:rFonts w:ascii="方正书宋_GBK" w:eastAsia="方正书宋_GBK"/>
                <w:sz w:val="20"/>
                <w:szCs w:val="21"/>
              </w:rPr>
            </w:pPr>
            <w:r>
              <w:rPr>
                <w:rFonts w:hint="eastAsia" w:ascii="方正书宋_GBK" w:eastAsia="方正书宋_GBK"/>
                <w:sz w:val="20"/>
                <w:szCs w:val="21"/>
              </w:rPr>
              <w:t>采取出租、出让等办法，对现有资产进行处置，解决企业遗留问题。利用处置资金，置换职工身份，解除职工后顾之忧</w:t>
            </w:r>
          </w:p>
        </w:tc>
        <w:tc>
          <w:tcPr>
            <w:tcW w:w="2310" w:type="dxa"/>
            <w:vAlign w:val="center"/>
          </w:tcPr>
          <w:p w14:paraId="7A517B91">
            <w:pPr>
              <w:spacing w:line="300" w:lineRule="exact"/>
              <w:jc w:val="left"/>
              <w:rPr>
                <w:rFonts w:ascii="方正书宋_GBK" w:eastAsia="方正书宋_GBK"/>
                <w:sz w:val="20"/>
                <w:szCs w:val="21"/>
              </w:rPr>
            </w:pPr>
            <w:r>
              <w:rPr>
                <w:rFonts w:hint="eastAsia" w:ascii="方正书宋_GBK" w:eastAsia="方正书宋_GBK"/>
                <w:sz w:val="20"/>
                <w:szCs w:val="21"/>
              </w:rPr>
              <w:t>改制一家、破产一家</w:t>
            </w:r>
          </w:p>
        </w:tc>
        <w:tc>
          <w:tcPr>
            <w:tcW w:w="1101" w:type="dxa"/>
            <w:vAlign w:val="center"/>
          </w:tcPr>
          <w:p w14:paraId="42C0AC45">
            <w:pPr>
              <w:spacing w:line="300" w:lineRule="exact"/>
              <w:jc w:val="left"/>
              <w:rPr>
                <w:rFonts w:ascii="方正书宋_GBK" w:eastAsia="方正书宋_GBK"/>
                <w:sz w:val="20"/>
                <w:szCs w:val="21"/>
              </w:rPr>
            </w:pPr>
            <w:r>
              <w:rPr>
                <w:rFonts w:hint="eastAsia" w:ascii="方正书宋_GBK" w:eastAsia="方正书宋_GBK"/>
                <w:sz w:val="20"/>
                <w:szCs w:val="21"/>
              </w:rPr>
              <w:t>解决企业遗留问题</w:t>
            </w:r>
          </w:p>
        </w:tc>
        <w:tc>
          <w:tcPr>
            <w:tcW w:w="572" w:type="dxa"/>
            <w:vAlign w:val="center"/>
          </w:tcPr>
          <w:p w14:paraId="45C2239D">
            <w:pPr>
              <w:spacing w:line="300" w:lineRule="exact"/>
              <w:jc w:val="center"/>
              <w:rPr>
                <w:rFonts w:ascii="方正书宋_GBK" w:eastAsia="方正书宋_GBK"/>
                <w:sz w:val="20"/>
                <w:szCs w:val="21"/>
              </w:rPr>
            </w:pPr>
            <w:r>
              <w:rPr>
                <w:rFonts w:ascii="方正书宋_GBK" w:eastAsia="方正书宋_GBK"/>
                <w:sz w:val="20"/>
                <w:szCs w:val="21"/>
              </w:rPr>
              <w:t>100%</w:t>
            </w:r>
          </w:p>
        </w:tc>
        <w:tc>
          <w:tcPr>
            <w:tcW w:w="572" w:type="dxa"/>
            <w:vAlign w:val="center"/>
          </w:tcPr>
          <w:p w14:paraId="67BF1B61">
            <w:pPr>
              <w:spacing w:line="300" w:lineRule="exact"/>
              <w:jc w:val="center"/>
              <w:rPr>
                <w:rFonts w:ascii="方正书宋_GBK" w:eastAsia="方正书宋_GBK"/>
                <w:sz w:val="20"/>
                <w:szCs w:val="21"/>
              </w:rPr>
            </w:pPr>
            <w:r>
              <w:rPr>
                <w:rFonts w:ascii="方正书宋_GBK" w:eastAsia="方正书宋_GBK"/>
                <w:sz w:val="20"/>
                <w:szCs w:val="21"/>
              </w:rPr>
              <w:t>85%</w:t>
            </w:r>
            <w:r>
              <w:rPr>
                <w:rFonts w:hint="eastAsia" w:ascii="方正书宋_GBK" w:eastAsia="方正书宋_GBK"/>
                <w:sz w:val="20"/>
                <w:szCs w:val="21"/>
              </w:rPr>
              <w:t>及</w:t>
            </w:r>
            <w:r>
              <w:rPr>
                <w:rFonts w:ascii="方正书宋_GBK" w:eastAsia="方正书宋_GBK"/>
                <w:sz w:val="20"/>
                <w:szCs w:val="21"/>
              </w:rPr>
              <w:t xml:space="preserve"> </w:t>
            </w:r>
            <w:r>
              <w:rPr>
                <w:rFonts w:hint="eastAsia" w:ascii="方正书宋_GBK" w:eastAsia="方正书宋_GBK"/>
                <w:sz w:val="20"/>
                <w:szCs w:val="21"/>
              </w:rPr>
              <w:t>以上</w:t>
            </w:r>
          </w:p>
        </w:tc>
        <w:tc>
          <w:tcPr>
            <w:tcW w:w="573" w:type="dxa"/>
            <w:vAlign w:val="center"/>
          </w:tcPr>
          <w:p w14:paraId="218A4CD4">
            <w:pPr>
              <w:spacing w:line="300" w:lineRule="exact"/>
              <w:jc w:val="center"/>
              <w:rPr>
                <w:rFonts w:ascii="方正书宋_GBK" w:eastAsia="方正书宋_GBK"/>
                <w:sz w:val="20"/>
                <w:szCs w:val="21"/>
              </w:rPr>
            </w:pPr>
            <w:r>
              <w:rPr>
                <w:rFonts w:ascii="方正书宋_GBK" w:eastAsia="方正书宋_GBK"/>
                <w:sz w:val="20"/>
                <w:szCs w:val="21"/>
              </w:rPr>
              <w:t>75%</w:t>
            </w:r>
            <w:r>
              <w:rPr>
                <w:rFonts w:hint="eastAsia" w:ascii="方正书宋_GBK" w:eastAsia="方正书宋_GBK"/>
                <w:sz w:val="20"/>
                <w:szCs w:val="21"/>
              </w:rPr>
              <w:t>及以上</w:t>
            </w:r>
          </w:p>
        </w:tc>
        <w:tc>
          <w:tcPr>
            <w:tcW w:w="573" w:type="dxa"/>
            <w:vAlign w:val="center"/>
          </w:tcPr>
          <w:p w14:paraId="77A213BE">
            <w:pPr>
              <w:spacing w:line="300" w:lineRule="exact"/>
              <w:jc w:val="center"/>
              <w:rPr>
                <w:rFonts w:ascii="方正书宋_GBK" w:eastAsia="方正书宋_GBK"/>
                <w:sz w:val="20"/>
                <w:szCs w:val="21"/>
              </w:rPr>
            </w:pPr>
            <w:r>
              <w:rPr>
                <w:rFonts w:ascii="方正书宋_GBK" w:eastAsia="方正书宋_GBK"/>
                <w:sz w:val="20"/>
                <w:szCs w:val="21"/>
              </w:rPr>
              <w:t>75%</w:t>
            </w:r>
            <w:r>
              <w:rPr>
                <w:rFonts w:hint="eastAsia" w:ascii="方正书宋_GBK" w:eastAsia="方正书宋_GBK"/>
                <w:sz w:val="20"/>
                <w:szCs w:val="21"/>
              </w:rPr>
              <w:t>及以下</w:t>
            </w:r>
          </w:p>
        </w:tc>
      </w:tr>
      <w:tr w14:paraId="51ADDA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3" w:hRule="atLeast"/>
          <w:jc w:val="center"/>
        </w:trPr>
        <w:tc>
          <w:tcPr>
            <w:tcW w:w="1818" w:type="dxa"/>
            <w:vAlign w:val="center"/>
          </w:tcPr>
          <w:p w14:paraId="5C2D8E2E">
            <w:pPr>
              <w:spacing w:line="300" w:lineRule="exact"/>
              <w:jc w:val="left"/>
              <w:rPr>
                <w:rFonts w:ascii="方正书宋_GBK" w:eastAsia="方正书宋_GBK"/>
                <w:b/>
                <w:sz w:val="20"/>
                <w:szCs w:val="21"/>
              </w:rPr>
            </w:pPr>
            <w:r>
              <w:rPr>
                <w:rFonts w:hint="eastAsia" w:ascii="方正书宋_GBK" w:eastAsia="方正书宋_GBK"/>
                <w:b/>
                <w:sz w:val="20"/>
                <w:szCs w:val="21"/>
              </w:rPr>
              <w:t>三、信访稳定</w:t>
            </w:r>
          </w:p>
        </w:tc>
        <w:tc>
          <w:tcPr>
            <w:tcW w:w="1183" w:type="dxa"/>
            <w:vAlign w:val="center"/>
          </w:tcPr>
          <w:p w14:paraId="1125D74A">
            <w:pPr>
              <w:spacing w:line="300" w:lineRule="exact"/>
              <w:jc w:val="left"/>
              <w:rPr>
                <w:rFonts w:ascii="方正书宋_GBK" w:eastAsia="方正书宋_GBK"/>
                <w:sz w:val="20"/>
                <w:szCs w:val="21"/>
              </w:rPr>
            </w:pPr>
          </w:p>
        </w:tc>
        <w:tc>
          <w:tcPr>
            <w:tcW w:w="2118" w:type="dxa"/>
            <w:vAlign w:val="center"/>
          </w:tcPr>
          <w:p w14:paraId="07DD8BE1">
            <w:pPr>
              <w:spacing w:line="300" w:lineRule="exact"/>
              <w:jc w:val="left"/>
              <w:rPr>
                <w:rFonts w:ascii="方正书宋_GBK" w:eastAsia="方正书宋_GBK"/>
                <w:sz w:val="20"/>
                <w:szCs w:val="21"/>
              </w:rPr>
            </w:pPr>
            <w:r>
              <w:rPr>
                <w:rFonts w:hint="eastAsia" w:ascii="方正书宋_GBK" w:eastAsia="方正书宋_GBK"/>
                <w:sz w:val="20"/>
                <w:szCs w:val="21"/>
              </w:rPr>
              <w:t>负责下属企业的信访稳定工作</w:t>
            </w:r>
          </w:p>
        </w:tc>
        <w:tc>
          <w:tcPr>
            <w:tcW w:w="2310" w:type="dxa"/>
            <w:vAlign w:val="center"/>
          </w:tcPr>
          <w:p w14:paraId="531AF9C3">
            <w:pPr>
              <w:spacing w:line="300" w:lineRule="exact"/>
              <w:jc w:val="left"/>
              <w:rPr>
                <w:rFonts w:ascii="方正书宋_GBK" w:eastAsia="方正书宋_GBK"/>
                <w:sz w:val="20"/>
                <w:szCs w:val="21"/>
              </w:rPr>
            </w:pPr>
            <w:r>
              <w:rPr>
                <w:rFonts w:hint="eastAsia" w:ascii="方正书宋_GBK" w:eastAsia="方正书宋_GBK"/>
                <w:sz w:val="20"/>
                <w:szCs w:val="21"/>
              </w:rPr>
              <w:t>做好职工信访工作，防止出现越级访</w:t>
            </w:r>
          </w:p>
        </w:tc>
        <w:tc>
          <w:tcPr>
            <w:tcW w:w="1101" w:type="dxa"/>
            <w:vAlign w:val="center"/>
          </w:tcPr>
          <w:p w14:paraId="1C5CD5A7">
            <w:pPr>
              <w:spacing w:line="300" w:lineRule="exact"/>
              <w:jc w:val="left"/>
              <w:rPr>
                <w:rFonts w:ascii="方正书宋_GBK" w:eastAsia="方正书宋_GBK"/>
                <w:sz w:val="20"/>
                <w:szCs w:val="21"/>
              </w:rPr>
            </w:pPr>
          </w:p>
        </w:tc>
        <w:tc>
          <w:tcPr>
            <w:tcW w:w="572" w:type="dxa"/>
            <w:vAlign w:val="center"/>
          </w:tcPr>
          <w:p w14:paraId="2CDC1755">
            <w:pPr>
              <w:spacing w:line="300" w:lineRule="exact"/>
              <w:jc w:val="center"/>
              <w:rPr>
                <w:rFonts w:ascii="方正书宋_GBK" w:eastAsia="方正书宋_GBK"/>
                <w:sz w:val="20"/>
                <w:szCs w:val="21"/>
              </w:rPr>
            </w:pPr>
          </w:p>
        </w:tc>
        <w:tc>
          <w:tcPr>
            <w:tcW w:w="572" w:type="dxa"/>
            <w:vAlign w:val="center"/>
          </w:tcPr>
          <w:p w14:paraId="1143904A">
            <w:pPr>
              <w:spacing w:line="300" w:lineRule="exact"/>
              <w:jc w:val="center"/>
              <w:rPr>
                <w:rFonts w:ascii="方正书宋_GBK" w:eastAsia="方正书宋_GBK"/>
                <w:sz w:val="20"/>
                <w:szCs w:val="21"/>
              </w:rPr>
            </w:pPr>
          </w:p>
        </w:tc>
        <w:tc>
          <w:tcPr>
            <w:tcW w:w="573" w:type="dxa"/>
            <w:vAlign w:val="center"/>
          </w:tcPr>
          <w:p w14:paraId="4F59B2AC">
            <w:pPr>
              <w:spacing w:line="300" w:lineRule="exact"/>
              <w:jc w:val="center"/>
              <w:rPr>
                <w:rFonts w:ascii="方正书宋_GBK" w:eastAsia="方正书宋_GBK"/>
                <w:sz w:val="20"/>
                <w:szCs w:val="21"/>
              </w:rPr>
            </w:pPr>
          </w:p>
        </w:tc>
        <w:tc>
          <w:tcPr>
            <w:tcW w:w="573" w:type="dxa"/>
            <w:vAlign w:val="center"/>
          </w:tcPr>
          <w:p w14:paraId="63C8A2D7">
            <w:pPr>
              <w:spacing w:line="300" w:lineRule="exact"/>
              <w:jc w:val="center"/>
              <w:rPr>
                <w:rFonts w:ascii="方正书宋_GBK" w:eastAsia="方正书宋_GBK"/>
                <w:sz w:val="20"/>
                <w:szCs w:val="21"/>
              </w:rPr>
            </w:pPr>
          </w:p>
        </w:tc>
      </w:tr>
      <w:tr w14:paraId="30C030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817" w:hRule="atLeast"/>
          <w:jc w:val="center"/>
        </w:trPr>
        <w:tc>
          <w:tcPr>
            <w:tcW w:w="1818" w:type="dxa"/>
            <w:vAlign w:val="center"/>
          </w:tcPr>
          <w:p w14:paraId="7F15D951">
            <w:pPr>
              <w:spacing w:line="300" w:lineRule="exact"/>
              <w:jc w:val="left"/>
              <w:rPr>
                <w:rFonts w:ascii="方正书宋_GBK" w:eastAsia="方正书宋_GBK"/>
                <w:b/>
                <w:sz w:val="20"/>
                <w:szCs w:val="21"/>
              </w:rPr>
            </w:pPr>
            <w:r>
              <w:rPr>
                <w:rFonts w:hint="eastAsia" w:ascii="方正书宋_GBK" w:eastAsia="方正书宋_GBK"/>
                <w:b/>
                <w:sz w:val="20"/>
                <w:szCs w:val="21"/>
              </w:rPr>
              <w:t>　　</w:t>
            </w:r>
            <w:r>
              <w:rPr>
                <w:rFonts w:ascii="方正书宋_GBK" w:eastAsia="方正书宋_GBK"/>
                <w:b/>
                <w:sz w:val="20"/>
                <w:szCs w:val="21"/>
              </w:rPr>
              <w:t>1</w:t>
            </w:r>
            <w:r>
              <w:rPr>
                <w:rFonts w:hint="eastAsia" w:ascii="方正书宋_GBK" w:eastAsia="方正书宋_GBK"/>
                <w:b/>
                <w:sz w:val="20"/>
                <w:szCs w:val="21"/>
              </w:rPr>
              <w:t>、信访工作</w:t>
            </w:r>
          </w:p>
        </w:tc>
        <w:tc>
          <w:tcPr>
            <w:tcW w:w="1183" w:type="dxa"/>
            <w:vAlign w:val="center"/>
          </w:tcPr>
          <w:p w14:paraId="1FB76AEC">
            <w:pPr>
              <w:spacing w:line="300" w:lineRule="exact"/>
              <w:jc w:val="left"/>
              <w:rPr>
                <w:rFonts w:ascii="方正书宋_GBK" w:eastAsia="方正书宋_GBK"/>
                <w:sz w:val="20"/>
                <w:szCs w:val="21"/>
              </w:rPr>
            </w:pPr>
          </w:p>
        </w:tc>
        <w:tc>
          <w:tcPr>
            <w:tcW w:w="2118" w:type="dxa"/>
            <w:vAlign w:val="center"/>
          </w:tcPr>
          <w:p w14:paraId="14DB145C">
            <w:pPr>
              <w:spacing w:line="300" w:lineRule="exact"/>
              <w:jc w:val="left"/>
              <w:rPr>
                <w:rFonts w:ascii="方正书宋_GBK" w:eastAsia="方正书宋_GBK"/>
                <w:sz w:val="20"/>
                <w:szCs w:val="21"/>
              </w:rPr>
            </w:pPr>
            <w:r>
              <w:rPr>
                <w:rFonts w:hint="eastAsia" w:ascii="方正书宋_GBK" w:eastAsia="方正书宋_GBK"/>
                <w:sz w:val="20"/>
                <w:szCs w:val="21"/>
              </w:rPr>
              <w:t>由于下属停产，下岗职工多，矛盾问题突出，信访事件时有发生，做好职工的思想工作，把问题解决在基层，解决在萌芽状态</w:t>
            </w:r>
          </w:p>
        </w:tc>
        <w:tc>
          <w:tcPr>
            <w:tcW w:w="2310" w:type="dxa"/>
            <w:vAlign w:val="center"/>
          </w:tcPr>
          <w:p w14:paraId="2E12DDB4">
            <w:pPr>
              <w:spacing w:line="300" w:lineRule="exact"/>
              <w:jc w:val="left"/>
              <w:rPr>
                <w:rFonts w:ascii="方正书宋_GBK" w:eastAsia="方正书宋_GBK"/>
                <w:sz w:val="20"/>
                <w:szCs w:val="21"/>
              </w:rPr>
            </w:pPr>
            <w:r>
              <w:rPr>
                <w:rFonts w:hint="eastAsia" w:ascii="方正书宋_GBK" w:eastAsia="方正书宋_GBK"/>
                <w:sz w:val="20"/>
                <w:szCs w:val="21"/>
              </w:rPr>
              <w:t>稳定职工情绪，做好信访工作</w:t>
            </w:r>
          </w:p>
        </w:tc>
        <w:tc>
          <w:tcPr>
            <w:tcW w:w="1101" w:type="dxa"/>
            <w:vAlign w:val="center"/>
          </w:tcPr>
          <w:p w14:paraId="127808C1">
            <w:pPr>
              <w:spacing w:line="300" w:lineRule="exact"/>
              <w:jc w:val="left"/>
              <w:rPr>
                <w:rFonts w:ascii="方正书宋_GBK" w:eastAsia="方正书宋_GBK"/>
                <w:sz w:val="20"/>
                <w:szCs w:val="21"/>
              </w:rPr>
            </w:pPr>
            <w:r>
              <w:rPr>
                <w:rFonts w:hint="eastAsia" w:ascii="方正书宋_GBK" w:eastAsia="方正书宋_GBK"/>
                <w:sz w:val="20"/>
                <w:szCs w:val="21"/>
              </w:rPr>
              <w:t>提高信访化解率</w:t>
            </w:r>
          </w:p>
        </w:tc>
        <w:tc>
          <w:tcPr>
            <w:tcW w:w="572" w:type="dxa"/>
            <w:vAlign w:val="center"/>
          </w:tcPr>
          <w:p w14:paraId="02529BEF">
            <w:pPr>
              <w:spacing w:line="300" w:lineRule="exact"/>
              <w:jc w:val="center"/>
              <w:rPr>
                <w:rFonts w:ascii="方正书宋_GBK" w:eastAsia="方正书宋_GBK"/>
                <w:sz w:val="20"/>
                <w:szCs w:val="21"/>
              </w:rPr>
            </w:pPr>
            <w:r>
              <w:rPr>
                <w:rFonts w:ascii="方正书宋_GBK" w:eastAsia="方正书宋_GBK"/>
                <w:sz w:val="20"/>
                <w:szCs w:val="21"/>
              </w:rPr>
              <w:t>100%</w:t>
            </w:r>
          </w:p>
        </w:tc>
        <w:tc>
          <w:tcPr>
            <w:tcW w:w="572" w:type="dxa"/>
            <w:vAlign w:val="center"/>
          </w:tcPr>
          <w:p w14:paraId="7BD3EEE6">
            <w:pPr>
              <w:spacing w:line="300" w:lineRule="exact"/>
              <w:jc w:val="center"/>
              <w:rPr>
                <w:rFonts w:ascii="方正书宋_GBK" w:eastAsia="方正书宋_GBK"/>
                <w:sz w:val="20"/>
                <w:szCs w:val="21"/>
              </w:rPr>
            </w:pPr>
            <w:r>
              <w:rPr>
                <w:rFonts w:ascii="方正书宋_GBK" w:eastAsia="方正书宋_GBK"/>
                <w:sz w:val="20"/>
                <w:szCs w:val="21"/>
              </w:rPr>
              <w:t>85%</w:t>
            </w:r>
            <w:r>
              <w:rPr>
                <w:rFonts w:hint="eastAsia" w:ascii="方正书宋_GBK" w:eastAsia="方正书宋_GBK"/>
                <w:sz w:val="20"/>
                <w:szCs w:val="21"/>
              </w:rPr>
              <w:t>及</w:t>
            </w:r>
            <w:r>
              <w:rPr>
                <w:rFonts w:ascii="方正书宋_GBK" w:eastAsia="方正书宋_GBK"/>
                <w:sz w:val="20"/>
                <w:szCs w:val="21"/>
              </w:rPr>
              <w:t xml:space="preserve"> </w:t>
            </w:r>
            <w:r>
              <w:rPr>
                <w:rFonts w:hint="eastAsia" w:ascii="方正书宋_GBK" w:eastAsia="方正书宋_GBK"/>
                <w:sz w:val="20"/>
                <w:szCs w:val="21"/>
              </w:rPr>
              <w:t>以上</w:t>
            </w:r>
          </w:p>
        </w:tc>
        <w:tc>
          <w:tcPr>
            <w:tcW w:w="573" w:type="dxa"/>
            <w:vAlign w:val="center"/>
          </w:tcPr>
          <w:p w14:paraId="562C5663">
            <w:pPr>
              <w:spacing w:line="300" w:lineRule="exact"/>
              <w:jc w:val="center"/>
              <w:rPr>
                <w:rFonts w:ascii="方正书宋_GBK" w:eastAsia="方正书宋_GBK"/>
                <w:sz w:val="20"/>
                <w:szCs w:val="21"/>
              </w:rPr>
            </w:pPr>
            <w:r>
              <w:rPr>
                <w:rFonts w:ascii="方正书宋_GBK" w:eastAsia="方正书宋_GBK"/>
                <w:sz w:val="20"/>
                <w:szCs w:val="21"/>
              </w:rPr>
              <w:t>75%</w:t>
            </w:r>
            <w:r>
              <w:rPr>
                <w:rFonts w:hint="eastAsia" w:ascii="方正书宋_GBK" w:eastAsia="方正书宋_GBK"/>
                <w:sz w:val="20"/>
                <w:szCs w:val="21"/>
              </w:rPr>
              <w:t>及以上</w:t>
            </w:r>
          </w:p>
        </w:tc>
        <w:tc>
          <w:tcPr>
            <w:tcW w:w="573" w:type="dxa"/>
            <w:vAlign w:val="center"/>
          </w:tcPr>
          <w:p w14:paraId="1DC9B634">
            <w:pPr>
              <w:spacing w:line="300" w:lineRule="exact"/>
              <w:jc w:val="center"/>
              <w:rPr>
                <w:rFonts w:ascii="方正书宋_GBK" w:eastAsia="方正书宋_GBK"/>
                <w:sz w:val="20"/>
                <w:szCs w:val="21"/>
              </w:rPr>
            </w:pPr>
            <w:r>
              <w:rPr>
                <w:rFonts w:ascii="方正书宋_GBK" w:eastAsia="方正书宋_GBK"/>
                <w:sz w:val="20"/>
                <w:szCs w:val="21"/>
              </w:rPr>
              <w:t>75%</w:t>
            </w:r>
            <w:r>
              <w:rPr>
                <w:rFonts w:hint="eastAsia" w:ascii="方正书宋_GBK" w:eastAsia="方正书宋_GBK"/>
                <w:sz w:val="20"/>
                <w:szCs w:val="21"/>
              </w:rPr>
              <w:t>及以下</w:t>
            </w:r>
          </w:p>
        </w:tc>
      </w:tr>
    </w:tbl>
    <w:p w14:paraId="1222DF78">
      <w:pPr>
        <w:spacing w:line="300" w:lineRule="exact"/>
        <w:jc w:val="left"/>
        <w:outlineLvl w:val="0"/>
        <w:sectPr>
          <w:headerReference r:id="rId5" w:type="first"/>
          <w:footerReference r:id="rId7" w:type="first"/>
          <w:headerReference r:id="rId3" w:type="default"/>
          <w:headerReference r:id="rId4" w:type="even"/>
          <w:footerReference r:id="rId6" w:type="even"/>
          <w:pgSz w:w="11850" w:h="16783"/>
          <w:pgMar w:top="1361" w:right="1417" w:bottom="1361" w:left="1417" w:header="851" w:footer="992" w:gutter="0"/>
          <w:cols w:space="425" w:num="1"/>
          <w:docGrid w:type="lines" w:linePitch="312" w:charSpace="0"/>
        </w:sectPr>
      </w:pPr>
    </w:p>
    <w:bookmarkEnd w:id="0"/>
    <w:p w14:paraId="0D7A814E">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14:paraId="339E5723">
      <w:pPr>
        <w:ind w:firstLine="640"/>
        <w:rPr>
          <w:rFonts w:hint="eastAsia" w:ascii="仿宋_GB2312" w:eastAsia="仿宋_GB2312"/>
          <w:sz w:val="32"/>
        </w:rPr>
      </w:pPr>
      <w:r>
        <w:rPr>
          <w:rFonts w:ascii="仿宋_GB2312" w:eastAsia="仿宋_GB2312"/>
          <w:sz w:val="32"/>
        </w:rPr>
        <w:t>2019</w:t>
      </w:r>
      <w:r>
        <w:rPr>
          <w:rFonts w:hint="eastAsia" w:ascii="仿宋_GB2312" w:eastAsia="仿宋_GB2312"/>
          <w:sz w:val="32"/>
        </w:rPr>
        <w:t>年，我单位安排政府采购预算0万元。具体内容见下表。</w:t>
      </w:r>
    </w:p>
    <w:p w14:paraId="234995E9">
      <w:pPr>
        <w:jc w:val="center"/>
        <w:outlineLvl w:val="0"/>
        <w:rPr>
          <w:rFonts w:ascii="方正小标宋_GBK" w:eastAsia="方正小标宋_GBK"/>
          <w:sz w:val="32"/>
        </w:rPr>
      </w:pPr>
      <w:bookmarkStart w:id="3" w:name="_Toc504489153"/>
      <w:r>
        <w:rPr>
          <w:rFonts w:hint="eastAsia" w:ascii="方正小标宋_GBK" w:eastAsia="方正小标宋_GBK"/>
          <w:sz w:val="32"/>
        </w:rPr>
        <w:t>部门政府采购预算</w:t>
      </w:r>
      <w:bookmarkEnd w:id="3"/>
    </w:p>
    <w:tbl>
      <w:tblPr>
        <w:tblStyle w:val="9"/>
        <w:tblW w:w="978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17"/>
        <w:gridCol w:w="712"/>
        <w:gridCol w:w="739"/>
        <w:gridCol w:w="828"/>
        <w:gridCol w:w="484"/>
        <w:gridCol w:w="485"/>
        <w:gridCol w:w="598"/>
        <w:gridCol w:w="619"/>
        <w:gridCol w:w="619"/>
        <w:gridCol w:w="621"/>
        <w:gridCol w:w="619"/>
        <w:gridCol w:w="623"/>
        <w:gridCol w:w="622"/>
        <w:gridCol w:w="594"/>
      </w:tblGrid>
      <w:tr w14:paraId="2564F0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5" w:hRule="atLeast"/>
          <w:tblHeader/>
          <w:jc w:val="center"/>
        </w:trPr>
        <w:tc>
          <w:tcPr>
            <w:tcW w:w="5463" w:type="dxa"/>
            <w:gridSpan w:val="7"/>
            <w:tcBorders>
              <w:top w:val="single" w:color="FFFFFF" w:sz="6" w:space="0"/>
              <w:left w:val="single" w:color="FFFFFF" w:sz="6" w:space="0"/>
              <w:right w:val="single" w:color="FFFFFF" w:sz="6" w:space="0"/>
            </w:tcBorders>
            <w:noWrap w:val="0"/>
            <w:vAlign w:val="center"/>
          </w:tcPr>
          <w:p w14:paraId="671CFAE4">
            <w:pPr>
              <w:spacing w:line="300" w:lineRule="exact"/>
              <w:jc w:val="left"/>
              <w:rPr>
                <w:rFonts w:hint="eastAsia" w:ascii="方正小标宋_GBK" w:eastAsia="方正小标宋_GBK"/>
                <w:sz w:val="24"/>
                <w:lang w:eastAsia="zh-CN"/>
              </w:rPr>
            </w:pPr>
            <w:r>
              <w:rPr>
                <w:rFonts w:hint="eastAsia" w:ascii="方正小标宋_GBK" w:eastAsia="方正小标宋_GBK"/>
                <w:sz w:val="24"/>
                <w:lang w:val="en-US" w:eastAsia="zh-CN"/>
              </w:rPr>
              <w:t>817</w:t>
            </w:r>
            <w:r>
              <w:rPr>
                <w:rFonts w:hint="eastAsia" w:ascii="方正小标宋_GBK" w:eastAsia="方正小标宋_GBK"/>
                <w:sz w:val="24"/>
                <w:lang w:eastAsia="zh-CN"/>
              </w:rPr>
              <w:t>馆陶县国有资产运营公司</w:t>
            </w:r>
          </w:p>
        </w:tc>
        <w:tc>
          <w:tcPr>
            <w:tcW w:w="4317" w:type="dxa"/>
            <w:gridSpan w:val="7"/>
            <w:tcBorders>
              <w:top w:val="single" w:color="FFFFFF" w:sz="6" w:space="0"/>
              <w:left w:val="single" w:color="FFFFFF" w:sz="6" w:space="0"/>
              <w:right w:val="single" w:color="FFFFFF" w:sz="6" w:space="0"/>
            </w:tcBorders>
            <w:noWrap w:val="0"/>
            <w:vAlign w:val="center"/>
          </w:tcPr>
          <w:p w14:paraId="093F36B5">
            <w:pPr>
              <w:spacing w:line="300" w:lineRule="exact"/>
              <w:jc w:val="right"/>
              <w:rPr>
                <w:rFonts w:ascii="方正书宋_GBK" w:eastAsia="方正书宋_GBK"/>
                <w:sz w:val="24"/>
              </w:rPr>
            </w:pPr>
            <w:r>
              <w:rPr>
                <w:rFonts w:hint="eastAsia" w:ascii="方正书宋_GBK" w:eastAsia="方正书宋_GBK"/>
                <w:sz w:val="24"/>
              </w:rPr>
              <w:t>单位：万元</w:t>
            </w:r>
          </w:p>
        </w:tc>
      </w:tr>
      <w:tr w14:paraId="3A81BA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5" w:hRule="atLeast"/>
          <w:tblHeader/>
          <w:jc w:val="center"/>
        </w:trPr>
        <w:tc>
          <w:tcPr>
            <w:tcW w:w="2329" w:type="dxa"/>
            <w:gridSpan w:val="2"/>
            <w:noWrap w:val="0"/>
            <w:vAlign w:val="center"/>
          </w:tcPr>
          <w:p w14:paraId="69FBF8DA">
            <w:pPr>
              <w:spacing w:line="300" w:lineRule="exact"/>
              <w:jc w:val="center"/>
              <w:rPr>
                <w:rFonts w:ascii="方正书宋_GBK" w:eastAsia="方正书宋_GBK"/>
                <w:b/>
              </w:rPr>
            </w:pPr>
            <w:r>
              <w:rPr>
                <w:rFonts w:hint="eastAsia" w:ascii="方正书宋_GBK" w:eastAsia="方正书宋_GBK"/>
                <w:b/>
              </w:rPr>
              <w:t>政府采购项目来源</w:t>
            </w:r>
          </w:p>
        </w:tc>
        <w:tc>
          <w:tcPr>
            <w:tcW w:w="739" w:type="dxa"/>
            <w:vMerge w:val="restart"/>
            <w:noWrap w:val="0"/>
            <w:vAlign w:val="center"/>
          </w:tcPr>
          <w:p w14:paraId="58346672">
            <w:pPr>
              <w:spacing w:line="300" w:lineRule="exact"/>
              <w:jc w:val="center"/>
              <w:rPr>
                <w:rFonts w:ascii="方正书宋_GBK" w:eastAsia="方正书宋_GBK"/>
                <w:b/>
              </w:rPr>
            </w:pPr>
            <w:r>
              <w:rPr>
                <w:rFonts w:hint="eastAsia" w:ascii="方正书宋_GBK" w:eastAsia="方正书宋_GBK"/>
                <w:b/>
              </w:rPr>
              <w:t>采购物品名称</w:t>
            </w:r>
          </w:p>
        </w:tc>
        <w:tc>
          <w:tcPr>
            <w:tcW w:w="828" w:type="dxa"/>
            <w:vMerge w:val="restart"/>
            <w:noWrap w:val="0"/>
            <w:vAlign w:val="center"/>
          </w:tcPr>
          <w:p w14:paraId="5BB48DEC">
            <w:pPr>
              <w:spacing w:line="300" w:lineRule="exact"/>
              <w:jc w:val="center"/>
              <w:rPr>
                <w:rFonts w:ascii="方正书宋_GBK" w:eastAsia="方正书宋_GBK"/>
                <w:b/>
              </w:rPr>
            </w:pPr>
            <w:r>
              <w:rPr>
                <w:rFonts w:hint="eastAsia" w:ascii="方正书宋_GBK" w:eastAsia="方正书宋_GBK"/>
                <w:b/>
              </w:rPr>
              <w:t>政府采购目录序号</w:t>
            </w:r>
          </w:p>
        </w:tc>
        <w:tc>
          <w:tcPr>
            <w:tcW w:w="484" w:type="dxa"/>
            <w:vMerge w:val="restart"/>
            <w:noWrap w:val="0"/>
            <w:vAlign w:val="center"/>
          </w:tcPr>
          <w:p w14:paraId="273ADE25">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485" w:type="dxa"/>
            <w:vMerge w:val="restart"/>
            <w:noWrap w:val="0"/>
            <w:vAlign w:val="center"/>
          </w:tcPr>
          <w:p w14:paraId="69A2829B">
            <w:pPr>
              <w:spacing w:line="300" w:lineRule="exact"/>
              <w:jc w:val="center"/>
              <w:rPr>
                <w:rFonts w:ascii="方正书宋_GBK" w:eastAsia="方正书宋_GBK"/>
                <w:b/>
              </w:rPr>
            </w:pPr>
            <w:r>
              <w:rPr>
                <w:rFonts w:hint="eastAsia" w:ascii="方正书宋_GBK" w:eastAsia="方正书宋_GBK"/>
                <w:b/>
              </w:rPr>
              <w:t>数量</w:t>
            </w:r>
          </w:p>
        </w:tc>
        <w:tc>
          <w:tcPr>
            <w:tcW w:w="598" w:type="dxa"/>
            <w:vMerge w:val="restart"/>
            <w:noWrap w:val="0"/>
            <w:vAlign w:val="center"/>
          </w:tcPr>
          <w:p w14:paraId="16771324">
            <w:pPr>
              <w:spacing w:line="300" w:lineRule="exact"/>
              <w:jc w:val="center"/>
              <w:rPr>
                <w:rFonts w:ascii="方正书宋_GBK" w:eastAsia="方正书宋_GBK"/>
                <w:b/>
              </w:rPr>
            </w:pPr>
            <w:r>
              <w:rPr>
                <w:rFonts w:hint="eastAsia" w:ascii="方正书宋_GBK" w:eastAsia="方正书宋_GBK"/>
                <w:b/>
              </w:rPr>
              <w:t>单价</w:t>
            </w:r>
          </w:p>
        </w:tc>
        <w:tc>
          <w:tcPr>
            <w:tcW w:w="4317" w:type="dxa"/>
            <w:gridSpan w:val="7"/>
            <w:noWrap w:val="0"/>
            <w:vAlign w:val="center"/>
          </w:tcPr>
          <w:p w14:paraId="45B0B511">
            <w:pPr>
              <w:spacing w:line="300" w:lineRule="exact"/>
              <w:jc w:val="center"/>
              <w:rPr>
                <w:rFonts w:ascii="方正书宋_GBK" w:eastAsia="方正书宋_GBK"/>
                <w:b/>
              </w:rPr>
            </w:pPr>
            <w:r>
              <w:rPr>
                <w:rFonts w:hint="eastAsia" w:ascii="方正书宋_GBK" w:eastAsia="方正书宋_GBK"/>
                <w:b/>
              </w:rPr>
              <w:t>政府采购金额</w:t>
            </w:r>
          </w:p>
        </w:tc>
      </w:tr>
      <w:tr w14:paraId="6165FF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5" w:hRule="atLeast"/>
          <w:tblHeader/>
          <w:jc w:val="center"/>
        </w:trPr>
        <w:tc>
          <w:tcPr>
            <w:tcW w:w="1617" w:type="dxa"/>
            <w:vMerge w:val="restart"/>
            <w:noWrap w:val="0"/>
            <w:vAlign w:val="center"/>
          </w:tcPr>
          <w:p w14:paraId="33DBA82E">
            <w:pPr>
              <w:spacing w:line="300" w:lineRule="exact"/>
              <w:jc w:val="center"/>
              <w:rPr>
                <w:rFonts w:ascii="方正书宋_GBK" w:eastAsia="方正书宋_GBK"/>
                <w:b/>
              </w:rPr>
            </w:pPr>
            <w:r>
              <w:rPr>
                <w:rFonts w:hint="eastAsia" w:ascii="方正书宋_GBK" w:eastAsia="方正书宋_GBK"/>
                <w:b/>
              </w:rPr>
              <w:t>项目名称</w:t>
            </w:r>
          </w:p>
        </w:tc>
        <w:tc>
          <w:tcPr>
            <w:tcW w:w="712" w:type="dxa"/>
            <w:vMerge w:val="restart"/>
            <w:noWrap w:val="0"/>
            <w:vAlign w:val="center"/>
          </w:tcPr>
          <w:p w14:paraId="66087A49">
            <w:pPr>
              <w:spacing w:line="300" w:lineRule="exact"/>
              <w:jc w:val="center"/>
              <w:rPr>
                <w:rFonts w:ascii="方正书宋_GBK" w:eastAsia="方正书宋_GBK"/>
                <w:b/>
              </w:rPr>
            </w:pPr>
            <w:r>
              <w:rPr>
                <w:rFonts w:hint="eastAsia" w:ascii="方正书宋_GBK" w:eastAsia="方正书宋_GBK"/>
                <w:b/>
              </w:rPr>
              <w:t>预算资金</w:t>
            </w:r>
          </w:p>
        </w:tc>
        <w:tc>
          <w:tcPr>
            <w:tcW w:w="739" w:type="dxa"/>
            <w:vMerge w:val="continue"/>
            <w:noWrap w:val="0"/>
            <w:vAlign w:val="center"/>
          </w:tcPr>
          <w:p w14:paraId="54D7C80E">
            <w:pPr>
              <w:spacing w:line="300" w:lineRule="exact"/>
              <w:jc w:val="left"/>
              <w:outlineLvl w:val="0"/>
            </w:pPr>
          </w:p>
        </w:tc>
        <w:tc>
          <w:tcPr>
            <w:tcW w:w="828" w:type="dxa"/>
            <w:vMerge w:val="continue"/>
            <w:noWrap w:val="0"/>
            <w:vAlign w:val="center"/>
          </w:tcPr>
          <w:p w14:paraId="0BBB4341">
            <w:pPr>
              <w:spacing w:line="300" w:lineRule="exact"/>
              <w:jc w:val="left"/>
              <w:outlineLvl w:val="0"/>
            </w:pPr>
          </w:p>
        </w:tc>
        <w:tc>
          <w:tcPr>
            <w:tcW w:w="484" w:type="dxa"/>
            <w:vMerge w:val="continue"/>
            <w:noWrap w:val="0"/>
            <w:vAlign w:val="center"/>
          </w:tcPr>
          <w:p w14:paraId="6A03A47A">
            <w:pPr>
              <w:spacing w:line="300" w:lineRule="exact"/>
              <w:jc w:val="left"/>
              <w:outlineLvl w:val="0"/>
            </w:pPr>
          </w:p>
        </w:tc>
        <w:tc>
          <w:tcPr>
            <w:tcW w:w="485" w:type="dxa"/>
            <w:vMerge w:val="continue"/>
            <w:noWrap w:val="0"/>
            <w:vAlign w:val="center"/>
          </w:tcPr>
          <w:p w14:paraId="134DB2F0">
            <w:pPr>
              <w:spacing w:line="300" w:lineRule="exact"/>
              <w:jc w:val="left"/>
              <w:outlineLvl w:val="0"/>
            </w:pPr>
          </w:p>
        </w:tc>
        <w:tc>
          <w:tcPr>
            <w:tcW w:w="598" w:type="dxa"/>
            <w:vMerge w:val="continue"/>
            <w:noWrap w:val="0"/>
            <w:vAlign w:val="center"/>
          </w:tcPr>
          <w:p w14:paraId="6C3A51E2">
            <w:pPr>
              <w:spacing w:line="300" w:lineRule="exact"/>
              <w:jc w:val="left"/>
              <w:outlineLvl w:val="0"/>
            </w:pPr>
          </w:p>
        </w:tc>
        <w:tc>
          <w:tcPr>
            <w:tcW w:w="619" w:type="dxa"/>
            <w:vMerge w:val="restart"/>
            <w:noWrap w:val="0"/>
            <w:vAlign w:val="center"/>
          </w:tcPr>
          <w:p w14:paraId="664D8DDA">
            <w:pPr>
              <w:spacing w:line="300" w:lineRule="exact"/>
              <w:jc w:val="center"/>
              <w:rPr>
                <w:rFonts w:ascii="方正书宋_GBK" w:eastAsia="方正书宋_GBK"/>
                <w:b/>
              </w:rPr>
            </w:pPr>
            <w:r>
              <w:rPr>
                <w:rFonts w:hint="eastAsia" w:ascii="方正书宋_GBK" w:eastAsia="方正书宋_GBK"/>
                <w:b/>
              </w:rPr>
              <w:t>总计</w:t>
            </w:r>
          </w:p>
        </w:tc>
        <w:tc>
          <w:tcPr>
            <w:tcW w:w="3104" w:type="dxa"/>
            <w:gridSpan w:val="5"/>
            <w:noWrap w:val="0"/>
            <w:vAlign w:val="center"/>
          </w:tcPr>
          <w:p w14:paraId="0E97E58C">
            <w:pPr>
              <w:spacing w:line="300" w:lineRule="exact"/>
              <w:jc w:val="center"/>
              <w:rPr>
                <w:rFonts w:ascii="方正书宋_GBK" w:eastAsia="方正书宋_GBK"/>
                <w:b/>
              </w:rPr>
            </w:pPr>
            <w:r>
              <w:rPr>
                <w:rFonts w:hint="eastAsia" w:ascii="方正书宋_GBK" w:eastAsia="方正书宋_GBK"/>
                <w:b/>
              </w:rPr>
              <w:t>当年部门预算安排资金</w:t>
            </w:r>
          </w:p>
        </w:tc>
        <w:tc>
          <w:tcPr>
            <w:tcW w:w="594" w:type="dxa"/>
            <w:vMerge w:val="restart"/>
            <w:noWrap w:val="0"/>
            <w:vAlign w:val="center"/>
          </w:tcPr>
          <w:p w14:paraId="3723D651">
            <w:pPr>
              <w:spacing w:line="300" w:lineRule="exact"/>
              <w:jc w:val="center"/>
              <w:rPr>
                <w:rFonts w:ascii="方正书宋_GBK" w:eastAsia="方正书宋_GBK"/>
                <w:b/>
              </w:rPr>
            </w:pPr>
            <w:r>
              <w:rPr>
                <w:rFonts w:hint="eastAsia" w:ascii="方正书宋_GBK" w:eastAsia="方正书宋_GBK"/>
                <w:b/>
              </w:rPr>
              <w:t>其他渠道资金</w:t>
            </w:r>
          </w:p>
        </w:tc>
      </w:tr>
      <w:tr w14:paraId="2B3897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97" w:hRule="atLeast"/>
          <w:tblHeader/>
          <w:jc w:val="center"/>
        </w:trPr>
        <w:tc>
          <w:tcPr>
            <w:tcW w:w="1617" w:type="dxa"/>
            <w:vMerge w:val="continue"/>
            <w:noWrap w:val="0"/>
            <w:vAlign w:val="center"/>
          </w:tcPr>
          <w:p w14:paraId="339A4F39">
            <w:pPr>
              <w:spacing w:line="300" w:lineRule="exact"/>
              <w:jc w:val="left"/>
              <w:outlineLvl w:val="0"/>
            </w:pPr>
          </w:p>
        </w:tc>
        <w:tc>
          <w:tcPr>
            <w:tcW w:w="712" w:type="dxa"/>
            <w:vMerge w:val="continue"/>
            <w:noWrap w:val="0"/>
            <w:vAlign w:val="center"/>
          </w:tcPr>
          <w:p w14:paraId="7E6BAA1B">
            <w:pPr>
              <w:spacing w:line="300" w:lineRule="exact"/>
              <w:jc w:val="left"/>
              <w:outlineLvl w:val="0"/>
            </w:pPr>
          </w:p>
        </w:tc>
        <w:tc>
          <w:tcPr>
            <w:tcW w:w="739" w:type="dxa"/>
            <w:vMerge w:val="continue"/>
            <w:noWrap w:val="0"/>
            <w:vAlign w:val="center"/>
          </w:tcPr>
          <w:p w14:paraId="78EB752A">
            <w:pPr>
              <w:spacing w:line="300" w:lineRule="exact"/>
              <w:jc w:val="left"/>
              <w:outlineLvl w:val="0"/>
            </w:pPr>
          </w:p>
        </w:tc>
        <w:tc>
          <w:tcPr>
            <w:tcW w:w="828" w:type="dxa"/>
            <w:vMerge w:val="continue"/>
            <w:noWrap w:val="0"/>
            <w:vAlign w:val="center"/>
          </w:tcPr>
          <w:p w14:paraId="6FBB3C10">
            <w:pPr>
              <w:spacing w:line="300" w:lineRule="exact"/>
              <w:jc w:val="left"/>
              <w:outlineLvl w:val="0"/>
            </w:pPr>
          </w:p>
        </w:tc>
        <w:tc>
          <w:tcPr>
            <w:tcW w:w="484" w:type="dxa"/>
            <w:vMerge w:val="continue"/>
            <w:noWrap w:val="0"/>
            <w:vAlign w:val="center"/>
          </w:tcPr>
          <w:p w14:paraId="58F9C34B">
            <w:pPr>
              <w:spacing w:line="300" w:lineRule="exact"/>
              <w:jc w:val="left"/>
              <w:outlineLvl w:val="0"/>
            </w:pPr>
          </w:p>
        </w:tc>
        <w:tc>
          <w:tcPr>
            <w:tcW w:w="485" w:type="dxa"/>
            <w:vMerge w:val="continue"/>
            <w:noWrap w:val="0"/>
            <w:vAlign w:val="center"/>
          </w:tcPr>
          <w:p w14:paraId="376B308A">
            <w:pPr>
              <w:spacing w:line="300" w:lineRule="exact"/>
              <w:jc w:val="left"/>
              <w:outlineLvl w:val="0"/>
            </w:pPr>
          </w:p>
        </w:tc>
        <w:tc>
          <w:tcPr>
            <w:tcW w:w="598" w:type="dxa"/>
            <w:vMerge w:val="continue"/>
            <w:noWrap w:val="0"/>
            <w:vAlign w:val="center"/>
          </w:tcPr>
          <w:p w14:paraId="7E3B8133">
            <w:pPr>
              <w:spacing w:line="300" w:lineRule="exact"/>
              <w:jc w:val="left"/>
              <w:outlineLvl w:val="0"/>
            </w:pPr>
          </w:p>
        </w:tc>
        <w:tc>
          <w:tcPr>
            <w:tcW w:w="619" w:type="dxa"/>
            <w:vMerge w:val="continue"/>
            <w:noWrap w:val="0"/>
            <w:vAlign w:val="center"/>
          </w:tcPr>
          <w:p w14:paraId="477D281C">
            <w:pPr>
              <w:spacing w:line="300" w:lineRule="exact"/>
              <w:jc w:val="left"/>
              <w:outlineLvl w:val="0"/>
            </w:pPr>
          </w:p>
        </w:tc>
        <w:tc>
          <w:tcPr>
            <w:tcW w:w="619" w:type="dxa"/>
            <w:noWrap w:val="0"/>
            <w:vAlign w:val="center"/>
          </w:tcPr>
          <w:p w14:paraId="6C13A26F">
            <w:pPr>
              <w:spacing w:line="300" w:lineRule="exact"/>
              <w:jc w:val="center"/>
              <w:rPr>
                <w:rFonts w:ascii="方正书宋_GBK" w:eastAsia="方正书宋_GBK"/>
                <w:b/>
              </w:rPr>
            </w:pPr>
            <w:r>
              <w:rPr>
                <w:rFonts w:hint="eastAsia" w:ascii="方正书宋_GBK" w:eastAsia="方正书宋_GBK"/>
                <w:b/>
              </w:rPr>
              <w:t>合计</w:t>
            </w:r>
          </w:p>
        </w:tc>
        <w:tc>
          <w:tcPr>
            <w:tcW w:w="621" w:type="dxa"/>
            <w:noWrap w:val="0"/>
            <w:vAlign w:val="center"/>
          </w:tcPr>
          <w:p w14:paraId="196A10E5">
            <w:pPr>
              <w:spacing w:line="300" w:lineRule="exact"/>
              <w:jc w:val="center"/>
              <w:rPr>
                <w:rFonts w:ascii="方正书宋_GBK" w:eastAsia="方正书宋_GBK"/>
                <w:b/>
              </w:rPr>
            </w:pPr>
            <w:r>
              <w:rPr>
                <w:rFonts w:hint="eastAsia" w:ascii="方正书宋_GBK" w:eastAsia="方正书宋_GBK"/>
                <w:b/>
              </w:rPr>
              <w:t>一般公共预算拨款</w:t>
            </w:r>
          </w:p>
        </w:tc>
        <w:tc>
          <w:tcPr>
            <w:tcW w:w="619" w:type="dxa"/>
            <w:noWrap w:val="0"/>
            <w:vAlign w:val="center"/>
          </w:tcPr>
          <w:p w14:paraId="3E771749">
            <w:pPr>
              <w:spacing w:line="300" w:lineRule="exact"/>
              <w:jc w:val="center"/>
              <w:rPr>
                <w:rFonts w:ascii="方正书宋_GBK" w:eastAsia="方正书宋_GBK"/>
                <w:b/>
              </w:rPr>
            </w:pPr>
            <w:r>
              <w:rPr>
                <w:rFonts w:hint="eastAsia" w:ascii="方正书宋_GBK" w:eastAsia="方正书宋_GBK"/>
                <w:b/>
              </w:rPr>
              <w:t>基金预算拨款</w:t>
            </w:r>
          </w:p>
        </w:tc>
        <w:tc>
          <w:tcPr>
            <w:tcW w:w="623" w:type="dxa"/>
            <w:noWrap w:val="0"/>
            <w:vAlign w:val="center"/>
          </w:tcPr>
          <w:p w14:paraId="23D11EFF">
            <w:pPr>
              <w:spacing w:line="300" w:lineRule="exact"/>
              <w:jc w:val="center"/>
              <w:rPr>
                <w:rFonts w:ascii="方正书宋_GBK" w:eastAsia="方正书宋_GBK"/>
                <w:b/>
              </w:rPr>
            </w:pPr>
            <w:r>
              <w:rPr>
                <w:rFonts w:hint="eastAsia" w:ascii="方正书宋_GBK" w:eastAsia="方正书宋_GBK"/>
                <w:b/>
              </w:rPr>
              <w:t>财政专户核拨</w:t>
            </w:r>
          </w:p>
        </w:tc>
        <w:tc>
          <w:tcPr>
            <w:tcW w:w="622" w:type="dxa"/>
            <w:noWrap w:val="0"/>
            <w:vAlign w:val="center"/>
          </w:tcPr>
          <w:p w14:paraId="6C7F69CD">
            <w:pPr>
              <w:spacing w:line="300" w:lineRule="exact"/>
              <w:jc w:val="center"/>
              <w:rPr>
                <w:rFonts w:ascii="方正书宋_GBK" w:eastAsia="方正书宋_GBK"/>
                <w:b/>
              </w:rPr>
            </w:pPr>
            <w:r>
              <w:rPr>
                <w:rFonts w:hint="eastAsia" w:ascii="方正书宋_GBK" w:eastAsia="方正书宋_GBK"/>
                <w:b/>
              </w:rPr>
              <w:t>其他来源收入</w:t>
            </w:r>
          </w:p>
        </w:tc>
        <w:tc>
          <w:tcPr>
            <w:tcW w:w="594" w:type="dxa"/>
            <w:vMerge w:val="continue"/>
            <w:noWrap w:val="0"/>
            <w:vAlign w:val="center"/>
          </w:tcPr>
          <w:p w14:paraId="7C7AD9AE">
            <w:pPr>
              <w:spacing w:line="300" w:lineRule="exact"/>
              <w:jc w:val="left"/>
              <w:outlineLvl w:val="0"/>
            </w:pPr>
          </w:p>
        </w:tc>
      </w:tr>
      <w:tr w14:paraId="13B85F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5" w:hRule="atLeast"/>
          <w:jc w:val="center"/>
        </w:trPr>
        <w:tc>
          <w:tcPr>
            <w:tcW w:w="1617" w:type="dxa"/>
            <w:noWrap w:val="0"/>
            <w:vAlign w:val="center"/>
          </w:tcPr>
          <w:p w14:paraId="4DE38D33">
            <w:pPr>
              <w:spacing w:line="300" w:lineRule="exact"/>
              <w:jc w:val="center"/>
              <w:rPr>
                <w:rFonts w:ascii="方正书宋_GBK" w:eastAsia="方正书宋_GBK"/>
                <w:b/>
              </w:rPr>
            </w:pPr>
            <w:r>
              <w:rPr>
                <w:rFonts w:hint="eastAsia" w:ascii="方正书宋_GBK" w:eastAsia="方正书宋_GBK"/>
                <w:b/>
              </w:rPr>
              <w:t>合　计</w:t>
            </w:r>
          </w:p>
        </w:tc>
        <w:tc>
          <w:tcPr>
            <w:tcW w:w="712" w:type="dxa"/>
            <w:noWrap w:val="0"/>
            <w:vAlign w:val="center"/>
          </w:tcPr>
          <w:p w14:paraId="027106BB">
            <w:pPr>
              <w:spacing w:line="300" w:lineRule="exact"/>
              <w:jc w:val="center"/>
              <w:rPr>
                <w:rFonts w:hint="eastAsia" w:ascii="方正书宋_GBK" w:eastAsia="方正书宋_GBK"/>
                <w:b/>
              </w:rPr>
            </w:pPr>
            <w:r>
              <w:rPr>
                <w:rFonts w:hint="eastAsia" w:ascii="方正书宋_GBK" w:eastAsia="方正书宋_GBK"/>
                <w:b/>
              </w:rPr>
              <w:t>0</w:t>
            </w:r>
          </w:p>
        </w:tc>
        <w:tc>
          <w:tcPr>
            <w:tcW w:w="739" w:type="dxa"/>
            <w:noWrap w:val="0"/>
            <w:vAlign w:val="center"/>
          </w:tcPr>
          <w:p w14:paraId="6C9E6B09">
            <w:pPr>
              <w:spacing w:line="300" w:lineRule="exact"/>
              <w:jc w:val="left"/>
              <w:rPr>
                <w:rFonts w:ascii="方正书宋_GBK" w:eastAsia="方正书宋_GBK"/>
                <w:b/>
              </w:rPr>
            </w:pPr>
          </w:p>
        </w:tc>
        <w:tc>
          <w:tcPr>
            <w:tcW w:w="828" w:type="dxa"/>
            <w:noWrap w:val="0"/>
            <w:vAlign w:val="center"/>
          </w:tcPr>
          <w:p w14:paraId="4008615D">
            <w:pPr>
              <w:spacing w:line="300" w:lineRule="exact"/>
              <w:jc w:val="left"/>
              <w:rPr>
                <w:rFonts w:ascii="方正书宋_GBK" w:eastAsia="方正书宋_GBK"/>
                <w:b/>
              </w:rPr>
            </w:pPr>
          </w:p>
        </w:tc>
        <w:tc>
          <w:tcPr>
            <w:tcW w:w="484" w:type="dxa"/>
            <w:noWrap w:val="0"/>
            <w:vAlign w:val="center"/>
          </w:tcPr>
          <w:p w14:paraId="2FF6E2C9">
            <w:pPr>
              <w:spacing w:line="300" w:lineRule="exact"/>
              <w:jc w:val="left"/>
              <w:rPr>
                <w:rFonts w:ascii="方正书宋_GBK" w:eastAsia="方正书宋_GBK"/>
                <w:b/>
              </w:rPr>
            </w:pPr>
          </w:p>
        </w:tc>
        <w:tc>
          <w:tcPr>
            <w:tcW w:w="485" w:type="dxa"/>
            <w:noWrap w:val="0"/>
            <w:vAlign w:val="center"/>
          </w:tcPr>
          <w:p w14:paraId="7966659A">
            <w:pPr>
              <w:spacing w:line="300" w:lineRule="exact"/>
              <w:jc w:val="right"/>
              <w:rPr>
                <w:rFonts w:ascii="方正书宋_GBK" w:eastAsia="方正书宋_GBK"/>
                <w:b/>
              </w:rPr>
            </w:pPr>
          </w:p>
        </w:tc>
        <w:tc>
          <w:tcPr>
            <w:tcW w:w="598" w:type="dxa"/>
            <w:noWrap w:val="0"/>
            <w:vAlign w:val="center"/>
          </w:tcPr>
          <w:p w14:paraId="6E5F4AEA">
            <w:pPr>
              <w:spacing w:line="300" w:lineRule="exact"/>
              <w:jc w:val="right"/>
              <w:rPr>
                <w:rFonts w:ascii="方正书宋_GBK" w:eastAsia="方正书宋_GBK"/>
                <w:b/>
              </w:rPr>
            </w:pPr>
          </w:p>
        </w:tc>
        <w:tc>
          <w:tcPr>
            <w:tcW w:w="619" w:type="dxa"/>
            <w:noWrap w:val="0"/>
            <w:vAlign w:val="center"/>
          </w:tcPr>
          <w:p w14:paraId="226F6B78">
            <w:pPr>
              <w:spacing w:line="300" w:lineRule="exact"/>
              <w:rPr>
                <w:rFonts w:ascii="方正书宋_GBK" w:eastAsia="方正书宋_GBK"/>
                <w:b/>
              </w:rPr>
            </w:pPr>
          </w:p>
        </w:tc>
        <w:tc>
          <w:tcPr>
            <w:tcW w:w="619" w:type="dxa"/>
            <w:noWrap w:val="0"/>
            <w:vAlign w:val="center"/>
          </w:tcPr>
          <w:p w14:paraId="5EC1EB5B">
            <w:pPr>
              <w:spacing w:line="300" w:lineRule="exact"/>
              <w:rPr>
                <w:rFonts w:ascii="方正书宋_GBK" w:eastAsia="方正书宋_GBK"/>
                <w:b/>
              </w:rPr>
            </w:pPr>
          </w:p>
        </w:tc>
        <w:tc>
          <w:tcPr>
            <w:tcW w:w="621" w:type="dxa"/>
            <w:noWrap w:val="0"/>
            <w:vAlign w:val="center"/>
          </w:tcPr>
          <w:p w14:paraId="0B18D86B">
            <w:pPr>
              <w:spacing w:line="300" w:lineRule="exact"/>
              <w:rPr>
                <w:rFonts w:ascii="方正书宋_GBK" w:eastAsia="方正书宋_GBK"/>
                <w:b/>
              </w:rPr>
            </w:pPr>
          </w:p>
        </w:tc>
        <w:tc>
          <w:tcPr>
            <w:tcW w:w="619" w:type="dxa"/>
            <w:noWrap w:val="0"/>
            <w:vAlign w:val="center"/>
          </w:tcPr>
          <w:p w14:paraId="770E6199">
            <w:pPr>
              <w:spacing w:line="300" w:lineRule="exact"/>
              <w:rPr>
                <w:rFonts w:ascii="方正书宋_GBK" w:eastAsia="方正书宋_GBK"/>
                <w:b/>
              </w:rPr>
            </w:pPr>
          </w:p>
        </w:tc>
        <w:tc>
          <w:tcPr>
            <w:tcW w:w="623" w:type="dxa"/>
            <w:noWrap w:val="0"/>
            <w:vAlign w:val="center"/>
          </w:tcPr>
          <w:p w14:paraId="3A02B37A">
            <w:pPr>
              <w:spacing w:line="300" w:lineRule="exact"/>
              <w:rPr>
                <w:rFonts w:ascii="方正书宋_GBK" w:eastAsia="方正书宋_GBK"/>
                <w:b/>
              </w:rPr>
            </w:pPr>
          </w:p>
        </w:tc>
        <w:tc>
          <w:tcPr>
            <w:tcW w:w="622" w:type="dxa"/>
            <w:noWrap w:val="0"/>
            <w:vAlign w:val="center"/>
          </w:tcPr>
          <w:p w14:paraId="39848A5C">
            <w:pPr>
              <w:spacing w:line="300" w:lineRule="exact"/>
              <w:jc w:val="center"/>
              <w:rPr>
                <w:rFonts w:ascii="方正书宋_GBK" w:eastAsia="方正书宋_GBK"/>
                <w:b/>
              </w:rPr>
            </w:pPr>
          </w:p>
        </w:tc>
        <w:tc>
          <w:tcPr>
            <w:tcW w:w="594" w:type="dxa"/>
            <w:noWrap w:val="0"/>
            <w:vAlign w:val="center"/>
          </w:tcPr>
          <w:p w14:paraId="101FF03B">
            <w:pPr>
              <w:spacing w:line="300" w:lineRule="exact"/>
              <w:jc w:val="right"/>
              <w:rPr>
                <w:rFonts w:ascii="方正书宋_GBK" w:eastAsia="方正书宋_GBK"/>
                <w:b/>
              </w:rPr>
            </w:pPr>
          </w:p>
        </w:tc>
      </w:tr>
      <w:tr w14:paraId="5EDE06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4" w:hRule="atLeast"/>
          <w:jc w:val="center"/>
        </w:trPr>
        <w:tc>
          <w:tcPr>
            <w:tcW w:w="1617" w:type="dxa"/>
            <w:noWrap w:val="0"/>
            <w:vAlign w:val="center"/>
          </w:tcPr>
          <w:p w14:paraId="30CDCA20">
            <w:pPr>
              <w:spacing w:line="300" w:lineRule="exact"/>
              <w:jc w:val="center"/>
              <w:rPr>
                <w:rFonts w:ascii="方正书宋_GBK" w:eastAsia="方正书宋_GBK"/>
              </w:rPr>
            </w:pPr>
          </w:p>
        </w:tc>
        <w:tc>
          <w:tcPr>
            <w:tcW w:w="712" w:type="dxa"/>
            <w:noWrap w:val="0"/>
            <w:vAlign w:val="center"/>
          </w:tcPr>
          <w:p w14:paraId="0095E72F">
            <w:pPr>
              <w:spacing w:line="300" w:lineRule="exact"/>
              <w:jc w:val="center"/>
              <w:rPr>
                <w:rFonts w:hint="eastAsia" w:ascii="方正书宋_GBK" w:eastAsia="方正书宋_GBK"/>
                <w:b/>
              </w:rPr>
            </w:pPr>
          </w:p>
        </w:tc>
        <w:tc>
          <w:tcPr>
            <w:tcW w:w="739" w:type="dxa"/>
            <w:noWrap w:val="0"/>
            <w:vAlign w:val="center"/>
          </w:tcPr>
          <w:p w14:paraId="1DEE79CE">
            <w:pPr>
              <w:spacing w:line="300" w:lineRule="exact"/>
              <w:jc w:val="left"/>
              <w:rPr>
                <w:rFonts w:ascii="方正书宋_GBK" w:eastAsia="方正书宋_GBK"/>
                <w:b/>
              </w:rPr>
            </w:pPr>
          </w:p>
        </w:tc>
        <w:tc>
          <w:tcPr>
            <w:tcW w:w="828" w:type="dxa"/>
            <w:noWrap w:val="0"/>
            <w:vAlign w:val="center"/>
          </w:tcPr>
          <w:p w14:paraId="5598DE9D">
            <w:pPr>
              <w:spacing w:line="300" w:lineRule="exact"/>
              <w:jc w:val="center"/>
              <w:rPr>
                <w:rFonts w:ascii="方正书宋_GBK" w:eastAsia="方正书宋_GBK"/>
                <w:b/>
              </w:rPr>
            </w:pPr>
          </w:p>
        </w:tc>
        <w:tc>
          <w:tcPr>
            <w:tcW w:w="484" w:type="dxa"/>
            <w:noWrap w:val="0"/>
            <w:vAlign w:val="center"/>
          </w:tcPr>
          <w:p w14:paraId="52EA5D38">
            <w:pPr>
              <w:spacing w:line="300" w:lineRule="exact"/>
              <w:jc w:val="left"/>
              <w:rPr>
                <w:rFonts w:ascii="方正书宋_GBK" w:eastAsia="方正书宋_GBK"/>
                <w:b/>
              </w:rPr>
            </w:pPr>
          </w:p>
        </w:tc>
        <w:tc>
          <w:tcPr>
            <w:tcW w:w="485" w:type="dxa"/>
            <w:noWrap w:val="0"/>
            <w:vAlign w:val="center"/>
          </w:tcPr>
          <w:p w14:paraId="7A713A6E">
            <w:pPr>
              <w:spacing w:line="300" w:lineRule="exact"/>
              <w:jc w:val="left"/>
              <w:rPr>
                <w:rFonts w:ascii="方正书宋_GBK" w:eastAsia="方正书宋_GBK"/>
                <w:b/>
              </w:rPr>
            </w:pPr>
          </w:p>
        </w:tc>
        <w:tc>
          <w:tcPr>
            <w:tcW w:w="598" w:type="dxa"/>
            <w:noWrap w:val="0"/>
            <w:vAlign w:val="center"/>
          </w:tcPr>
          <w:p w14:paraId="6E4B6499">
            <w:pPr>
              <w:spacing w:line="300" w:lineRule="exact"/>
              <w:jc w:val="left"/>
              <w:rPr>
                <w:rFonts w:ascii="方正书宋_GBK" w:eastAsia="方正书宋_GBK"/>
                <w:b/>
              </w:rPr>
            </w:pPr>
          </w:p>
        </w:tc>
        <w:tc>
          <w:tcPr>
            <w:tcW w:w="619" w:type="dxa"/>
            <w:noWrap w:val="0"/>
            <w:vAlign w:val="center"/>
          </w:tcPr>
          <w:p w14:paraId="71DAE810">
            <w:pPr>
              <w:spacing w:line="300" w:lineRule="exact"/>
              <w:jc w:val="center"/>
              <w:rPr>
                <w:rFonts w:ascii="方正书宋_GBK" w:eastAsia="方正书宋_GBK"/>
                <w:b/>
              </w:rPr>
            </w:pPr>
          </w:p>
        </w:tc>
        <w:tc>
          <w:tcPr>
            <w:tcW w:w="619" w:type="dxa"/>
            <w:noWrap w:val="0"/>
            <w:vAlign w:val="center"/>
          </w:tcPr>
          <w:p w14:paraId="1045B6B2">
            <w:pPr>
              <w:spacing w:line="300" w:lineRule="exact"/>
              <w:jc w:val="center"/>
              <w:rPr>
                <w:rFonts w:ascii="方正书宋_GBK" w:eastAsia="方正书宋_GBK"/>
                <w:b/>
              </w:rPr>
            </w:pPr>
          </w:p>
        </w:tc>
        <w:tc>
          <w:tcPr>
            <w:tcW w:w="621" w:type="dxa"/>
            <w:noWrap w:val="0"/>
            <w:vAlign w:val="center"/>
          </w:tcPr>
          <w:p w14:paraId="189D70B6">
            <w:pPr>
              <w:spacing w:line="300" w:lineRule="exact"/>
              <w:jc w:val="center"/>
              <w:rPr>
                <w:rFonts w:ascii="方正书宋_GBK" w:eastAsia="方正书宋_GBK"/>
                <w:b/>
              </w:rPr>
            </w:pPr>
          </w:p>
        </w:tc>
        <w:tc>
          <w:tcPr>
            <w:tcW w:w="619" w:type="dxa"/>
            <w:noWrap w:val="0"/>
            <w:vAlign w:val="center"/>
          </w:tcPr>
          <w:p w14:paraId="408E7AA3">
            <w:pPr>
              <w:spacing w:line="300" w:lineRule="exact"/>
              <w:jc w:val="left"/>
              <w:rPr>
                <w:rFonts w:ascii="方正书宋_GBK" w:eastAsia="方正书宋_GBK"/>
                <w:b/>
              </w:rPr>
            </w:pPr>
          </w:p>
        </w:tc>
        <w:tc>
          <w:tcPr>
            <w:tcW w:w="623" w:type="dxa"/>
            <w:noWrap w:val="0"/>
            <w:vAlign w:val="center"/>
          </w:tcPr>
          <w:p w14:paraId="28B39A43">
            <w:pPr>
              <w:spacing w:line="300" w:lineRule="exact"/>
              <w:jc w:val="right"/>
              <w:rPr>
                <w:rFonts w:ascii="方正书宋_GBK" w:eastAsia="方正书宋_GBK"/>
              </w:rPr>
            </w:pPr>
          </w:p>
        </w:tc>
        <w:tc>
          <w:tcPr>
            <w:tcW w:w="622" w:type="dxa"/>
            <w:noWrap w:val="0"/>
            <w:vAlign w:val="center"/>
          </w:tcPr>
          <w:p w14:paraId="040B706E">
            <w:pPr>
              <w:spacing w:line="300" w:lineRule="exact"/>
              <w:jc w:val="right"/>
              <w:rPr>
                <w:rFonts w:ascii="方正书宋_GBK" w:eastAsia="方正书宋_GBK"/>
              </w:rPr>
            </w:pPr>
          </w:p>
        </w:tc>
        <w:tc>
          <w:tcPr>
            <w:tcW w:w="594" w:type="dxa"/>
            <w:noWrap w:val="0"/>
            <w:vAlign w:val="center"/>
          </w:tcPr>
          <w:p w14:paraId="1451F56E">
            <w:pPr>
              <w:spacing w:line="300" w:lineRule="exact"/>
              <w:jc w:val="right"/>
              <w:rPr>
                <w:rFonts w:ascii="方正书宋_GBK" w:eastAsia="方正书宋_GBK"/>
              </w:rPr>
            </w:pPr>
          </w:p>
        </w:tc>
      </w:tr>
    </w:tbl>
    <w:p w14:paraId="1157E914">
      <w:pPr>
        <w:ind w:firstLine="630"/>
        <w:outlineLvl w:val="0"/>
        <w:rPr>
          <w:rFonts w:ascii="黑体" w:hAnsi="黑体" w:eastAsia="黑体"/>
          <w:b/>
          <w:sz w:val="32"/>
          <w:szCs w:val="32"/>
        </w:rPr>
      </w:pPr>
      <w:r>
        <w:rPr>
          <w:rFonts w:hint="eastAsia" w:ascii="黑体" w:hAnsi="黑体" w:eastAsia="黑体"/>
          <w:b/>
          <w:sz w:val="32"/>
          <w:szCs w:val="32"/>
        </w:rPr>
        <w:t>七、国有资产信息</w:t>
      </w:r>
    </w:p>
    <w:p w14:paraId="693B6ED0">
      <w:pPr>
        <w:ind w:firstLine="640"/>
        <w:rPr>
          <w:rFonts w:hint="eastAsia" w:ascii="仿宋_GB2312" w:eastAsia="仿宋_GB2312"/>
          <w:sz w:val="32"/>
        </w:rPr>
      </w:pPr>
      <w:r>
        <w:rPr>
          <w:rFonts w:hint="eastAsia" w:ascii="仿宋_GB2312" w:hAnsi="仿宋_GB2312" w:eastAsia="仿宋_GB2312" w:cs="仿宋_GB2312"/>
          <w:color w:val="000000"/>
          <w:kern w:val="0"/>
          <w:sz w:val="32"/>
          <w:szCs w:val="32"/>
        </w:rPr>
        <w:t>截至</w:t>
      </w:r>
      <w:bookmarkStart w:id="4" w:name="_GoBack"/>
      <w:bookmarkEnd w:id="4"/>
      <w:r>
        <w:rPr>
          <w:rFonts w:ascii="仿宋_GB2312" w:hAnsi="仿宋_GB2312" w:eastAsia="仿宋_GB2312" w:cs="仿宋_GB2312"/>
          <w:color w:val="000000"/>
          <w:kern w:val="0"/>
          <w:sz w:val="32"/>
          <w:szCs w:val="32"/>
        </w:rPr>
        <w:t>201</w:t>
      </w:r>
      <w:r>
        <w:rPr>
          <w:rFonts w:hint="eastAsia" w:ascii="仿宋_GB2312" w:hAnsi="仿宋_GB2312" w:eastAsia="仿宋_GB2312" w:cs="仿宋_GB2312"/>
          <w:color w:val="000000"/>
          <w:kern w:val="0"/>
          <w:sz w:val="32"/>
          <w:szCs w:val="32"/>
          <w:lang w:val="en-US" w:eastAsia="zh-CN"/>
        </w:rPr>
        <w:t>8</w:t>
      </w:r>
      <w:r>
        <w:rPr>
          <w:rFonts w:hint="eastAsia" w:ascii="仿宋_GB2312" w:hAnsi="仿宋_GB2312" w:eastAsia="仿宋_GB2312" w:cs="仿宋_GB2312"/>
          <w:color w:val="000000"/>
          <w:kern w:val="0"/>
          <w:sz w:val="32"/>
          <w:szCs w:val="32"/>
        </w:rPr>
        <w:t>年底，我单位没有国有资产。</w:t>
      </w:r>
      <w:r>
        <w:rPr>
          <w:rFonts w:hint="eastAsia" w:ascii="仿宋_GB2312" w:eastAsia="仿宋_GB2312"/>
          <w:sz w:val="32"/>
        </w:rPr>
        <w:t>具体内容见下表。</w:t>
      </w:r>
    </w:p>
    <w:tbl>
      <w:tblPr>
        <w:tblStyle w:val="9"/>
        <w:tblW w:w="10140" w:type="dxa"/>
        <w:jc w:val="center"/>
        <w:tblLayout w:type="fixed"/>
        <w:tblCellMar>
          <w:top w:w="15" w:type="dxa"/>
          <w:left w:w="15" w:type="dxa"/>
          <w:bottom w:w="15" w:type="dxa"/>
          <w:right w:w="15" w:type="dxa"/>
        </w:tblCellMar>
      </w:tblPr>
      <w:tblGrid>
        <w:gridCol w:w="4191"/>
        <w:gridCol w:w="1103"/>
        <w:gridCol w:w="1344"/>
        <w:gridCol w:w="1635"/>
        <w:gridCol w:w="1867"/>
      </w:tblGrid>
      <w:tr w14:paraId="7B114945">
        <w:tblPrEx>
          <w:tblCellMar>
            <w:top w:w="15" w:type="dxa"/>
            <w:left w:w="15" w:type="dxa"/>
            <w:bottom w:w="15" w:type="dxa"/>
            <w:right w:w="15" w:type="dxa"/>
          </w:tblCellMar>
        </w:tblPrEx>
        <w:trPr>
          <w:trHeight w:val="540" w:hRule="atLeast"/>
          <w:jc w:val="center"/>
        </w:trPr>
        <w:tc>
          <w:tcPr>
            <w:tcW w:w="10140" w:type="dxa"/>
            <w:gridSpan w:val="5"/>
            <w:noWrap w:val="0"/>
            <w:vAlign w:val="bottom"/>
          </w:tcPr>
          <w:p w14:paraId="206009E0">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14:paraId="7978C4B6">
        <w:tblPrEx>
          <w:tblCellMar>
            <w:top w:w="15" w:type="dxa"/>
            <w:left w:w="15" w:type="dxa"/>
            <w:bottom w:w="15" w:type="dxa"/>
            <w:right w:w="15" w:type="dxa"/>
          </w:tblCellMar>
        </w:tblPrEx>
        <w:trPr>
          <w:trHeight w:val="256" w:hRule="atLeast"/>
          <w:jc w:val="center"/>
        </w:trPr>
        <w:tc>
          <w:tcPr>
            <w:tcW w:w="4191" w:type="dxa"/>
            <w:noWrap w:val="0"/>
            <w:vAlign w:val="bottom"/>
          </w:tcPr>
          <w:p w14:paraId="6C405E11">
            <w:pPr>
              <w:rPr>
                <w:rFonts w:ascii="Arial" w:hAnsi="Arial" w:cs="Arial"/>
                <w:color w:val="000000"/>
                <w:sz w:val="20"/>
                <w:szCs w:val="20"/>
              </w:rPr>
            </w:pPr>
          </w:p>
        </w:tc>
        <w:tc>
          <w:tcPr>
            <w:tcW w:w="1103" w:type="dxa"/>
            <w:noWrap w:val="0"/>
            <w:vAlign w:val="bottom"/>
          </w:tcPr>
          <w:p w14:paraId="42DD68AC">
            <w:pPr>
              <w:rPr>
                <w:rFonts w:ascii="Arial" w:hAnsi="Arial" w:cs="Arial"/>
                <w:color w:val="000000"/>
                <w:sz w:val="20"/>
                <w:szCs w:val="20"/>
              </w:rPr>
            </w:pPr>
          </w:p>
        </w:tc>
        <w:tc>
          <w:tcPr>
            <w:tcW w:w="1344" w:type="dxa"/>
            <w:noWrap w:val="0"/>
            <w:vAlign w:val="bottom"/>
          </w:tcPr>
          <w:p w14:paraId="742A8AEF">
            <w:pPr>
              <w:rPr>
                <w:rFonts w:ascii="Arial" w:hAnsi="Arial" w:cs="Arial"/>
                <w:color w:val="000000"/>
                <w:sz w:val="20"/>
                <w:szCs w:val="20"/>
              </w:rPr>
            </w:pPr>
          </w:p>
        </w:tc>
        <w:tc>
          <w:tcPr>
            <w:tcW w:w="1635" w:type="dxa"/>
            <w:noWrap w:val="0"/>
            <w:vAlign w:val="bottom"/>
          </w:tcPr>
          <w:p w14:paraId="6EBD6609">
            <w:pPr>
              <w:rPr>
                <w:rFonts w:ascii="Arial" w:hAnsi="Arial" w:cs="Arial"/>
                <w:color w:val="000000"/>
                <w:sz w:val="20"/>
                <w:szCs w:val="20"/>
              </w:rPr>
            </w:pPr>
          </w:p>
        </w:tc>
        <w:tc>
          <w:tcPr>
            <w:tcW w:w="1867" w:type="dxa"/>
            <w:noWrap w:val="0"/>
            <w:vAlign w:val="bottom"/>
          </w:tcPr>
          <w:p w14:paraId="2C902761">
            <w:pPr>
              <w:rPr>
                <w:rFonts w:ascii="Arial" w:hAnsi="Arial" w:cs="Arial"/>
                <w:color w:val="000000"/>
                <w:sz w:val="20"/>
                <w:szCs w:val="20"/>
              </w:rPr>
            </w:pPr>
          </w:p>
        </w:tc>
      </w:tr>
      <w:tr w14:paraId="141D32B3">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bottom"/>
          </w:tcPr>
          <w:p w14:paraId="7DCAD541">
            <w:pPr>
              <w:widowControl/>
              <w:jc w:val="left"/>
              <w:textAlignment w:val="bottom"/>
              <w:rPr>
                <w:rFonts w:hint="eastAsia" w:ascii="宋体" w:eastAsia="宋体" w:cs="宋体"/>
                <w:color w:val="000000"/>
                <w:sz w:val="24"/>
                <w:lang w:val="en-US" w:eastAsia="zh-CN"/>
              </w:rPr>
            </w:pPr>
            <w:r>
              <w:rPr>
                <w:rFonts w:hint="eastAsia" w:ascii="宋体" w:hAnsi="宋体" w:cs="宋体"/>
                <w:color w:val="000000"/>
                <w:kern w:val="0"/>
                <w:sz w:val="24"/>
              </w:rPr>
              <w:t>编制单位：馆陶县</w:t>
            </w:r>
            <w:r>
              <w:rPr>
                <w:rFonts w:hint="eastAsia" w:ascii="宋体" w:hAnsi="宋体" w:cs="宋体"/>
                <w:color w:val="000000"/>
                <w:kern w:val="0"/>
                <w:sz w:val="24"/>
                <w:lang w:eastAsia="zh-CN"/>
              </w:rPr>
              <w:t>国有资产运营公司</w:t>
            </w:r>
          </w:p>
        </w:tc>
        <w:tc>
          <w:tcPr>
            <w:tcW w:w="1103" w:type="dxa"/>
            <w:tcBorders>
              <w:top w:val="single" w:color="000000" w:sz="4" w:space="0"/>
              <w:left w:val="single" w:color="000000" w:sz="4" w:space="0"/>
              <w:bottom w:val="single" w:color="000000" w:sz="4" w:space="0"/>
              <w:right w:val="single" w:color="000000" w:sz="4" w:space="0"/>
            </w:tcBorders>
            <w:noWrap w:val="0"/>
            <w:vAlign w:val="bottom"/>
          </w:tcPr>
          <w:p w14:paraId="1C2836E9">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noWrap w:val="0"/>
            <w:vAlign w:val="bottom"/>
          </w:tcPr>
          <w:p w14:paraId="6A93BCCF">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noWrap w:val="0"/>
            <w:vAlign w:val="bottom"/>
          </w:tcPr>
          <w:p w14:paraId="53BA0D61">
            <w:pPr>
              <w:widowControl/>
              <w:jc w:val="center"/>
              <w:textAlignment w:val="bottom"/>
              <w:rPr>
                <w:rFonts w:ascii="宋体" w:cs="宋体"/>
                <w:color w:val="000000"/>
                <w:sz w:val="24"/>
              </w:rPr>
            </w:pPr>
            <w:r>
              <w:rPr>
                <w:rFonts w:ascii="宋体" w:hAnsi="宋体" w:cs="宋体"/>
                <w:color w:val="000000"/>
                <w:kern w:val="0"/>
                <w:sz w:val="24"/>
              </w:rPr>
              <w:t>2019</w:t>
            </w:r>
            <w:r>
              <w:rPr>
                <w:rFonts w:hint="eastAsia" w:ascii="宋体" w:hAnsi="宋体" w:cs="宋体"/>
                <w:color w:val="000000"/>
                <w:kern w:val="0"/>
                <w:sz w:val="24"/>
              </w:rPr>
              <w:t>年度</w:t>
            </w:r>
          </w:p>
        </w:tc>
        <w:tc>
          <w:tcPr>
            <w:tcW w:w="1867" w:type="dxa"/>
            <w:tcBorders>
              <w:top w:val="single" w:color="000000" w:sz="4" w:space="0"/>
              <w:left w:val="single" w:color="000000" w:sz="4" w:space="0"/>
              <w:bottom w:val="single" w:color="000000" w:sz="4" w:space="0"/>
              <w:right w:val="single" w:color="000000" w:sz="4" w:space="0"/>
            </w:tcBorders>
            <w:noWrap w:val="0"/>
            <w:vAlign w:val="bottom"/>
          </w:tcPr>
          <w:p w14:paraId="56E34C89">
            <w:pPr>
              <w:widowControl/>
              <w:jc w:val="right"/>
              <w:textAlignment w:val="bottom"/>
              <w:rPr>
                <w:rFonts w:ascii="宋体" w:cs="宋体"/>
                <w:color w:val="000000"/>
                <w:sz w:val="24"/>
              </w:rPr>
            </w:pPr>
            <w:r>
              <w:rPr>
                <w:rFonts w:hint="eastAsia" w:ascii="宋体" w:hAnsi="宋体" w:cs="宋体"/>
                <w:color w:val="000000"/>
                <w:kern w:val="0"/>
                <w:sz w:val="24"/>
              </w:rPr>
              <w:t>金额单位：元</w:t>
            </w:r>
          </w:p>
        </w:tc>
      </w:tr>
      <w:tr w14:paraId="04458A41">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noWrap w:val="0"/>
            <w:vAlign w:val="center"/>
          </w:tcPr>
          <w:p w14:paraId="2B4B5BA5">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noWrap w:val="0"/>
            <w:vAlign w:val="center"/>
          </w:tcPr>
          <w:p w14:paraId="32545879">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3502" w:type="dxa"/>
            <w:gridSpan w:val="2"/>
            <w:tcBorders>
              <w:top w:val="single" w:color="000000" w:sz="4" w:space="0"/>
              <w:left w:val="single" w:color="000000" w:sz="4" w:space="0"/>
              <w:bottom w:val="single" w:color="000000" w:sz="4" w:space="0"/>
              <w:right w:val="single" w:color="000000" w:sz="4" w:space="0"/>
            </w:tcBorders>
            <w:noWrap w:val="0"/>
            <w:vAlign w:val="center"/>
          </w:tcPr>
          <w:p w14:paraId="523545F0">
            <w:pPr>
              <w:widowControl/>
              <w:jc w:val="center"/>
              <w:textAlignment w:val="center"/>
              <w:rPr>
                <w:rFonts w:ascii="宋体" w:cs="宋体"/>
                <w:color w:val="000000"/>
                <w:sz w:val="22"/>
              </w:rPr>
            </w:pPr>
            <w:r>
              <w:rPr>
                <w:rFonts w:hint="eastAsia" w:ascii="宋体" w:hAnsi="宋体" w:cs="宋体"/>
                <w:color w:val="000000"/>
                <w:kern w:val="0"/>
                <w:sz w:val="22"/>
              </w:rPr>
              <w:t>价值</w:t>
            </w:r>
          </w:p>
        </w:tc>
      </w:tr>
      <w:tr w14:paraId="65D810D2">
        <w:tblPrEx>
          <w:tblCellMar>
            <w:top w:w="15" w:type="dxa"/>
            <w:left w:w="15" w:type="dxa"/>
            <w:bottom w:w="15" w:type="dxa"/>
            <w:right w:w="15" w:type="dxa"/>
          </w:tblCellMar>
        </w:tblPrEx>
        <w:trPr>
          <w:trHeight w:val="317"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080D0">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4E8485AF">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641DA523">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6A5406F">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3909AE8F">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14:paraId="54582F0D">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20A4A773">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5FCECD93">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140F8959">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2B67D95">
            <w:pPr>
              <w:widowControl/>
              <w:jc w:val="right"/>
              <w:textAlignment w:val="center"/>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4789F585">
            <w:pPr>
              <w:widowControl/>
              <w:jc w:val="right"/>
              <w:textAlignment w:val="center"/>
              <w:rPr>
                <w:rFonts w:ascii="宋体" w:cs="宋体"/>
                <w:color w:val="000000"/>
                <w:sz w:val="22"/>
              </w:rPr>
            </w:pPr>
          </w:p>
        </w:tc>
      </w:tr>
      <w:tr w14:paraId="186E7816">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5C1A7222">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1D1449A7">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398E44A9">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41A846D6">
            <w:pPr>
              <w:widowControl/>
              <w:jc w:val="right"/>
              <w:textAlignment w:val="center"/>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701A0B7A">
            <w:pPr>
              <w:widowControl/>
              <w:jc w:val="right"/>
              <w:textAlignment w:val="center"/>
              <w:rPr>
                <w:rFonts w:ascii="宋体" w:cs="宋体"/>
                <w:color w:val="000000"/>
                <w:sz w:val="22"/>
              </w:rPr>
            </w:pPr>
          </w:p>
        </w:tc>
      </w:tr>
      <w:tr w14:paraId="7FF78B2D">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3E79C414">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58306E8D">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12371BF1">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9C35078">
            <w:pPr>
              <w:widowControl/>
              <w:jc w:val="right"/>
              <w:textAlignment w:val="center"/>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36301FAB">
            <w:pPr>
              <w:widowControl/>
              <w:jc w:val="right"/>
              <w:textAlignment w:val="center"/>
              <w:rPr>
                <w:rFonts w:ascii="宋体" w:cs="宋体"/>
                <w:color w:val="000000"/>
                <w:sz w:val="22"/>
              </w:rPr>
            </w:pPr>
          </w:p>
        </w:tc>
      </w:tr>
      <w:tr w14:paraId="68AA94ED">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3C623A13">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00BCCAF8">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7CC0FD6B">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515BCDBB">
            <w:pPr>
              <w:jc w:val="right"/>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7CE843CC">
            <w:pPr>
              <w:jc w:val="right"/>
              <w:rPr>
                <w:rFonts w:ascii="宋体" w:cs="宋体"/>
                <w:color w:val="000000"/>
                <w:sz w:val="22"/>
              </w:rPr>
            </w:pPr>
          </w:p>
        </w:tc>
      </w:tr>
      <w:tr w14:paraId="37BCF53B">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189E5156">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3BB2464B">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3E877CEF">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261C9C67">
            <w:pPr>
              <w:jc w:val="right"/>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0976BDCB">
            <w:pPr>
              <w:jc w:val="right"/>
              <w:rPr>
                <w:rFonts w:ascii="宋体" w:cs="宋体"/>
                <w:color w:val="000000"/>
                <w:sz w:val="22"/>
              </w:rPr>
            </w:pPr>
          </w:p>
        </w:tc>
      </w:tr>
      <w:tr w14:paraId="7003E148">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6C98A0C5">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0F88BB6E">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0AFD2590">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0C17C1A">
            <w:pPr>
              <w:jc w:val="right"/>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31DD6908">
            <w:pPr>
              <w:jc w:val="right"/>
              <w:rPr>
                <w:rFonts w:ascii="宋体" w:cs="宋体"/>
                <w:color w:val="000000"/>
                <w:sz w:val="22"/>
              </w:rPr>
            </w:pPr>
          </w:p>
        </w:tc>
      </w:tr>
      <w:tr w14:paraId="28267562">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4C71177F">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160F5F17">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716B5475">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FB7DC0F">
            <w:pPr>
              <w:jc w:val="right"/>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2A7D6344">
            <w:pPr>
              <w:jc w:val="right"/>
              <w:rPr>
                <w:rFonts w:ascii="宋体" w:cs="宋体"/>
                <w:color w:val="000000"/>
                <w:sz w:val="22"/>
              </w:rPr>
            </w:pPr>
          </w:p>
        </w:tc>
      </w:tr>
      <w:tr w14:paraId="51471FB4">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39C67ECC">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116EE24F">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08B34802">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183C725E">
            <w:pPr>
              <w:jc w:val="right"/>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36594DE1">
            <w:pPr>
              <w:jc w:val="right"/>
              <w:rPr>
                <w:rFonts w:ascii="宋体" w:cs="宋体"/>
                <w:color w:val="000000"/>
                <w:sz w:val="22"/>
              </w:rPr>
            </w:pPr>
          </w:p>
        </w:tc>
      </w:tr>
      <w:tr w14:paraId="1A28FB10">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noWrap w:val="0"/>
            <w:vAlign w:val="center"/>
          </w:tcPr>
          <w:p w14:paraId="5A0CE2E9">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14:paraId="19FAA879">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noWrap w:val="0"/>
            <w:vAlign w:val="center"/>
          </w:tcPr>
          <w:p w14:paraId="54DC07D8">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noWrap w:val="0"/>
            <w:vAlign w:val="center"/>
          </w:tcPr>
          <w:p w14:paraId="6F3F9328">
            <w:pPr>
              <w:widowControl/>
              <w:jc w:val="right"/>
              <w:textAlignment w:val="center"/>
              <w:rPr>
                <w:rFonts w:ascii="宋体" w:cs="宋体"/>
                <w:color w:val="000000"/>
                <w:sz w:val="22"/>
              </w:rPr>
            </w:pPr>
          </w:p>
        </w:tc>
        <w:tc>
          <w:tcPr>
            <w:tcW w:w="1867" w:type="dxa"/>
            <w:tcBorders>
              <w:top w:val="single" w:color="000000" w:sz="4" w:space="0"/>
              <w:left w:val="single" w:color="000000" w:sz="4" w:space="0"/>
              <w:bottom w:val="single" w:color="000000" w:sz="4" w:space="0"/>
              <w:right w:val="single" w:color="000000" w:sz="4" w:space="0"/>
            </w:tcBorders>
            <w:noWrap w:val="0"/>
            <w:vAlign w:val="center"/>
          </w:tcPr>
          <w:p w14:paraId="6502D311">
            <w:pPr>
              <w:widowControl/>
              <w:jc w:val="right"/>
              <w:textAlignment w:val="center"/>
              <w:rPr>
                <w:rFonts w:ascii="宋体" w:cs="宋体"/>
                <w:color w:val="000000"/>
                <w:sz w:val="22"/>
              </w:rPr>
            </w:pPr>
          </w:p>
        </w:tc>
      </w:tr>
    </w:tbl>
    <w:p w14:paraId="47199C2A">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14:paraId="6B7AF79D">
      <w:pPr>
        <w:tabs>
          <w:tab w:val="left" w:pos="11490"/>
        </w:tabs>
        <w:ind w:firstLine="643" w:firstLineChars="200"/>
        <w:rPr>
          <w:rFonts w:ascii="Times New Roman" w:hAnsi="Times New Roman" w:eastAsia="方正仿宋_GBK"/>
          <w:sz w:val="32"/>
          <w:szCs w:val="32"/>
        </w:rPr>
      </w:pPr>
      <w:r>
        <w:rPr>
          <w:rFonts w:hint="eastAsia" w:ascii="仿宋" w:hAnsi="仿宋" w:eastAsia="仿宋" w:cs="仿宋"/>
          <w:b/>
          <w:sz w:val="32"/>
          <w:szCs w:val="32"/>
        </w:rPr>
        <w:t>1、一般公共预算拨款收入：</w:t>
      </w:r>
      <w:r>
        <w:rPr>
          <w:rFonts w:hint="eastAsia" w:ascii="仿宋_GB2312" w:hAnsi="Times New Roman" w:eastAsia="仿宋_GB2312"/>
          <w:sz w:val="32"/>
          <w:szCs w:val="32"/>
        </w:rPr>
        <w:t>指县级财政当年拨付的资金。</w:t>
      </w:r>
    </w:p>
    <w:p w14:paraId="1347A5B5">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2、事业收入：</w:t>
      </w:r>
      <w:r>
        <w:rPr>
          <w:rFonts w:hint="eastAsia" w:ascii="仿宋_GB2312" w:hAnsi="Times New Roman" w:eastAsia="仿宋_GB2312"/>
          <w:sz w:val="32"/>
          <w:szCs w:val="32"/>
        </w:rPr>
        <w:t>指事业单位开展专业业务活动及辅助活动所取得的收入。</w:t>
      </w:r>
    </w:p>
    <w:p w14:paraId="5337A8B8">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3、其他收入：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14:paraId="657BFEA9">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4、基本支出：</w:t>
      </w:r>
      <w:r>
        <w:rPr>
          <w:rFonts w:hint="eastAsia" w:ascii="仿宋_GB2312" w:hAnsi="Times New Roman" w:eastAsia="仿宋_GB2312"/>
          <w:sz w:val="32"/>
          <w:szCs w:val="32"/>
        </w:rPr>
        <w:t>指为保障机构正常运转、完成日常工作任务而发生的人员支出和公用支出。</w:t>
      </w:r>
    </w:p>
    <w:p w14:paraId="5AEC7D32">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5、项目支出：</w:t>
      </w:r>
      <w:r>
        <w:rPr>
          <w:rFonts w:hint="eastAsia" w:ascii="仿宋_GB2312" w:hAnsi="Times New Roman" w:eastAsia="仿宋_GB2312"/>
          <w:sz w:val="32"/>
          <w:szCs w:val="32"/>
        </w:rPr>
        <w:t>指在基本支出之外为完成特定行政任务和事业发展目标所发生的支出。</w:t>
      </w:r>
    </w:p>
    <w:p w14:paraId="53CDF2E4">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6、“三公”经费：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753AE7E">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7、机关运行费：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05C9D90">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8、上年结转：</w:t>
      </w:r>
      <w:r>
        <w:rPr>
          <w:rFonts w:hint="eastAsia" w:ascii="仿宋_GB2312" w:hAnsi="Times New Roman" w:eastAsia="仿宋_GB2312"/>
          <w:sz w:val="32"/>
          <w:szCs w:val="32"/>
        </w:rPr>
        <w:t>指以前年度尚未完成、结转到本年仍按原规定用途继续使用的资金。</w:t>
      </w:r>
    </w:p>
    <w:p w14:paraId="7BAD7219">
      <w:pPr>
        <w:tabs>
          <w:tab w:val="left" w:pos="11490"/>
        </w:tabs>
        <w:ind w:firstLine="643" w:firstLineChars="200"/>
        <w:rPr>
          <w:rFonts w:ascii="仿宋_GB2312" w:hAnsi="Times New Roman" w:eastAsia="仿宋_GB2312"/>
          <w:sz w:val="32"/>
          <w:szCs w:val="32"/>
        </w:rPr>
      </w:pPr>
      <w:r>
        <w:rPr>
          <w:rFonts w:hint="eastAsia" w:ascii="仿宋" w:hAnsi="仿宋" w:eastAsia="仿宋" w:cs="仿宋"/>
          <w:b/>
          <w:sz w:val="32"/>
          <w:szCs w:val="32"/>
        </w:rPr>
        <w:t>9、事业单位经营支出：</w:t>
      </w:r>
      <w:r>
        <w:rPr>
          <w:rFonts w:hint="eastAsia" w:ascii="仿宋_GB2312" w:hAnsi="Times New Roman" w:eastAsia="仿宋_GB2312"/>
          <w:sz w:val="32"/>
          <w:szCs w:val="32"/>
        </w:rPr>
        <w:t>指事业单位在专业业务活动及其辅助活动之外开展非独立核算经营活动发生的支出。</w:t>
      </w:r>
    </w:p>
    <w:p w14:paraId="460B8C9B">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14:paraId="504F23A9">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10" w:type="first"/>
      <w:footerReference r:id="rId13" w:type="first"/>
      <w:headerReference r:id="rId8" w:type="default"/>
      <w:footerReference r:id="rId11" w:type="default"/>
      <w:headerReference r:id="rId9" w:type="even"/>
      <w:footerReference r:id="rId12" w:type="even"/>
      <w:pgSz w:w="11905" w:h="16783"/>
      <w:pgMar w:top="1440" w:right="1800" w:bottom="1440" w:left="1800" w:header="851"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4843EFE-4E73-41D8-84CF-514625D420BB}"/>
  </w:font>
  <w:font w:name="黑体">
    <w:panose1 w:val="02010609060101010101"/>
    <w:charset w:val="86"/>
    <w:family w:val="auto"/>
    <w:pitch w:val="default"/>
    <w:sig w:usb0="800002BF" w:usb1="38CF7CFA" w:usb2="00000016" w:usb3="00000000" w:csb0="00040001" w:csb1="00000000"/>
    <w:embedRegular r:id="rId2" w:fontKey="{A03CF624-7AA3-42E7-BB2E-75A45B4D47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31264104-64AD-440C-975C-6C69986DA1CE}"/>
  </w:font>
  <w:font w:name="仿宋">
    <w:panose1 w:val="02010609060101010101"/>
    <w:charset w:val="86"/>
    <w:family w:val="modern"/>
    <w:pitch w:val="default"/>
    <w:sig w:usb0="800002BF" w:usb1="38CF7CFA" w:usb2="00000016" w:usb3="00000000" w:csb0="00040001" w:csb1="00000000"/>
    <w:embedRegular r:id="rId4" w:fontKey="{9AED4295-3712-4591-B072-F0AEC4656DFB}"/>
  </w:font>
  <w:font w:name="方正仿宋_GBK">
    <w:panose1 w:val="02000000000000000000"/>
    <w:charset w:val="86"/>
    <w:family w:val="script"/>
    <w:pitch w:val="default"/>
    <w:sig w:usb0="00000001" w:usb1="080E0000" w:usb2="00000000" w:usb3="00000000" w:csb0="00040000" w:csb1="00000000"/>
    <w:embedRegular r:id="rId5" w:fontKey="{742988C5-6580-490A-9E8C-881BAD2CD383}"/>
  </w:font>
  <w:font w:name="华文中宋">
    <w:altName w:val="宋体"/>
    <w:panose1 w:val="02010600040101010101"/>
    <w:charset w:val="86"/>
    <w:family w:val="auto"/>
    <w:pitch w:val="default"/>
    <w:sig w:usb0="00000000" w:usb1="00000000" w:usb2="00000000" w:usb3="00000000" w:csb0="0004009F" w:csb1="DFD70000"/>
    <w:embedRegular r:id="rId6" w:fontKey="{D62EDA2A-17BE-459A-9011-5E2895A53264}"/>
  </w:font>
  <w:font w:name="方正书宋_GBK">
    <w:panose1 w:val="02000000000000000000"/>
    <w:charset w:val="86"/>
    <w:family w:val="script"/>
    <w:pitch w:val="default"/>
    <w:sig w:usb0="A00002BF" w:usb1="38CF7CFA" w:usb2="00082016" w:usb3="00000000" w:csb0="00040001" w:csb1="00000000"/>
    <w:embedRegular r:id="rId7" w:fontKey="{D64F3857-D38E-4F07-BA16-470917F37280}"/>
  </w:font>
  <w:font w:name="方正小标宋_GBK">
    <w:panose1 w:val="02000000000000000000"/>
    <w:charset w:val="86"/>
    <w:family w:val="roman"/>
    <w:pitch w:val="default"/>
    <w:sig w:usb0="A00002BF" w:usb1="38CF7CFA" w:usb2="00082016" w:usb3="00000000" w:csb0="00040001" w:csb1="00000000"/>
    <w:embedRegular r:id="rId8" w:fontKey="{E2A26030-44C0-45B8-A912-3335B9E1E6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419A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0782B">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CAE1F">
    <w:pPr>
      <w:pStyle w:val="3"/>
      <w:jc w:val="center"/>
    </w:pPr>
    <w:r>
      <w:t>-</w:t>
    </w:r>
    <w:r>
      <w:fldChar w:fldCharType="begin"/>
    </w:r>
    <w:r>
      <w:instrText xml:space="preserve">PAGE   \* MERGEFORMAT</w:instrText>
    </w:r>
    <w:r>
      <w:fldChar w:fldCharType="separate"/>
    </w:r>
    <w:r>
      <w:rPr>
        <w:lang w:val="zh-CN"/>
      </w:rPr>
      <w:t>7</w:t>
    </w:r>
    <w:r>
      <w:rPr>
        <w:lang w:val="zh-CN"/>
      </w:rPr>
      <w:fldChar w:fldCharType="end"/>
    </w:r>
    <w:r>
      <w:t>-</w:t>
    </w:r>
  </w:p>
  <w:p w14:paraId="4C35F275">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1A97C">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FBE0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DF1A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0DE62">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62880">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EE1A4">
    <w:pPr>
      <w:pStyle w:val="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2E847">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32B00">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457"/>
    <w:rsid w:val="000C3A19"/>
    <w:rsid w:val="000C4DFC"/>
    <w:rsid w:val="000D5C0F"/>
    <w:rsid w:val="000E594B"/>
    <w:rsid w:val="00107D81"/>
    <w:rsid w:val="001245BB"/>
    <w:rsid w:val="001251A3"/>
    <w:rsid w:val="001643E8"/>
    <w:rsid w:val="0017128A"/>
    <w:rsid w:val="0017463C"/>
    <w:rsid w:val="001869D4"/>
    <w:rsid w:val="001919C4"/>
    <w:rsid w:val="0019723B"/>
    <w:rsid w:val="001E0757"/>
    <w:rsid w:val="001E6DDC"/>
    <w:rsid w:val="001F7873"/>
    <w:rsid w:val="00241FD4"/>
    <w:rsid w:val="00242A68"/>
    <w:rsid w:val="00251B12"/>
    <w:rsid w:val="00265318"/>
    <w:rsid w:val="002835D7"/>
    <w:rsid w:val="00290FD6"/>
    <w:rsid w:val="00296113"/>
    <w:rsid w:val="002A673A"/>
    <w:rsid w:val="002C5E13"/>
    <w:rsid w:val="002C62BC"/>
    <w:rsid w:val="002E0EB8"/>
    <w:rsid w:val="002F3E58"/>
    <w:rsid w:val="0030542C"/>
    <w:rsid w:val="00311B7A"/>
    <w:rsid w:val="00313D9C"/>
    <w:rsid w:val="00327A9C"/>
    <w:rsid w:val="00333A2F"/>
    <w:rsid w:val="00360A41"/>
    <w:rsid w:val="003D0033"/>
    <w:rsid w:val="003D066E"/>
    <w:rsid w:val="00424943"/>
    <w:rsid w:val="0042727E"/>
    <w:rsid w:val="0043175C"/>
    <w:rsid w:val="00437296"/>
    <w:rsid w:val="004468AA"/>
    <w:rsid w:val="00451590"/>
    <w:rsid w:val="00451871"/>
    <w:rsid w:val="004706DE"/>
    <w:rsid w:val="00472923"/>
    <w:rsid w:val="00486DCD"/>
    <w:rsid w:val="004A4254"/>
    <w:rsid w:val="004B0C3A"/>
    <w:rsid w:val="004B5CCA"/>
    <w:rsid w:val="004B6906"/>
    <w:rsid w:val="004C49A8"/>
    <w:rsid w:val="004D140C"/>
    <w:rsid w:val="004D5788"/>
    <w:rsid w:val="004E3066"/>
    <w:rsid w:val="004E419C"/>
    <w:rsid w:val="004E74CD"/>
    <w:rsid w:val="00524EFD"/>
    <w:rsid w:val="00537A00"/>
    <w:rsid w:val="00543C7F"/>
    <w:rsid w:val="00572067"/>
    <w:rsid w:val="00573562"/>
    <w:rsid w:val="00576114"/>
    <w:rsid w:val="005801EE"/>
    <w:rsid w:val="00590ECE"/>
    <w:rsid w:val="005A55F9"/>
    <w:rsid w:val="005A630E"/>
    <w:rsid w:val="005C0981"/>
    <w:rsid w:val="005F5714"/>
    <w:rsid w:val="00600A07"/>
    <w:rsid w:val="00611D03"/>
    <w:rsid w:val="00614A29"/>
    <w:rsid w:val="00636A39"/>
    <w:rsid w:val="00673D76"/>
    <w:rsid w:val="006854F0"/>
    <w:rsid w:val="006920B9"/>
    <w:rsid w:val="00697705"/>
    <w:rsid w:val="006B1C4A"/>
    <w:rsid w:val="006B610D"/>
    <w:rsid w:val="006E49F5"/>
    <w:rsid w:val="007013C8"/>
    <w:rsid w:val="00753836"/>
    <w:rsid w:val="0075393C"/>
    <w:rsid w:val="00754592"/>
    <w:rsid w:val="00776C08"/>
    <w:rsid w:val="007C219A"/>
    <w:rsid w:val="007D5880"/>
    <w:rsid w:val="007E1DA8"/>
    <w:rsid w:val="007F6C26"/>
    <w:rsid w:val="00813208"/>
    <w:rsid w:val="00817533"/>
    <w:rsid w:val="008334AE"/>
    <w:rsid w:val="00836FED"/>
    <w:rsid w:val="0083724E"/>
    <w:rsid w:val="00841D53"/>
    <w:rsid w:val="00845CD2"/>
    <w:rsid w:val="00852B0D"/>
    <w:rsid w:val="00864B7F"/>
    <w:rsid w:val="00871097"/>
    <w:rsid w:val="008807F5"/>
    <w:rsid w:val="00881692"/>
    <w:rsid w:val="008A39D8"/>
    <w:rsid w:val="008A6576"/>
    <w:rsid w:val="008B3CC5"/>
    <w:rsid w:val="008B52CD"/>
    <w:rsid w:val="008C7C4D"/>
    <w:rsid w:val="008E4261"/>
    <w:rsid w:val="008E70D4"/>
    <w:rsid w:val="008E7E40"/>
    <w:rsid w:val="008F4662"/>
    <w:rsid w:val="00905D08"/>
    <w:rsid w:val="009210BF"/>
    <w:rsid w:val="00924B84"/>
    <w:rsid w:val="00925753"/>
    <w:rsid w:val="009425F4"/>
    <w:rsid w:val="00943BD8"/>
    <w:rsid w:val="00944DC3"/>
    <w:rsid w:val="0095322B"/>
    <w:rsid w:val="00954B2C"/>
    <w:rsid w:val="00966C5C"/>
    <w:rsid w:val="00973104"/>
    <w:rsid w:val="00980FD2"/>
    <w:rsid w:val="009837C1"/>
    <w:rsid w:val="00995BF0"/>
    <w:rsid w:val="009A16D5"/>
    <w:rsid w:val="009A353D"/>
    <w:rsid w:val="009B0B77"/>
    <w:rsid w:val="009B511E"/>
    <w:rsid w:val="009C0ED3"/>
    <w:rsid w:val="009D37D3"/>
    <w:rsid w:val="00A16E6C"/>
    <w:rsid w:val="00A40F60"/>
    <w:rsid w:val="00A44E3D"/>
    <w:rsid w:val="00A72D2E"/>
    <w:rsid w:val="00A74447"/>
    <w:rsid w:val="00A74CE5"/>
    <w:rsid w:val="00A77500"/>
    <w:rsid w:val="00A911E7"/>
    <w:rsid w:val="00A939D9"/>
    <w:rsid w:val="00AB3A10"/>
    <w:rsid w:val="00AC3660"/>
    <w:rsid w:val="00AD5259"/>
    <w:rsid w:val="00B01735"/>
    <w:rsid w:val="00B01D36"/>
    <w:rsid w:val="00B078CD"/>
    <w:rsid w:val="00B20712"/>
    <w:rsid w:val="00B26980"/>
    <w:rsid w:val="00B3715A"/>
    <w:rsid w:val="00B43238"/>
    <w:rsid w:val="00B45DD3"/>
    <w:rsid w:val="00B73582"/>
    <w:rsid w:val="00B75216"/>
    <w:rsid w:val="00B755A2"/>
    <w:rsid w:val="00B9104C"/>
    <w:rsid w:val="00B91D52"/>
    <w:rsid w:val="00B9490F"/>
    <w:rsid w:val="00BA1ACD"/>
    <w:rsid w:val="00BD09F8"/>
    <w:rsid w:val="00C005B2"/>
    <w:rsid w:val="00C52C11"/>
    <w:rsid w:val="00CA7176"/>
    <w:rsid w:val="00CC70E4"/>
    <w:rsid w:val="00CC75B0"/>
    <w:rsid w:val="00CD2773"/>
    <w:rsid w:val="00CE01BA"/>
    <w:rsid w:val="00CE143B"/>
    <w:rsid w:val="00D07DBA"/>
    <w:rsid w:val="00D27003"/>
    <w:rsid w:val="00D846C7"/>
    <w:rsid w:val="00D9307A"/>
    <w:rsid w:val="00DB5EDD"/>
    <w:rsid w:val="00DD30D2"/>
    <w:rsid w:val="00DE5772"/>
    <w:rsid w:val="00E167C7"/>
    <w:rsid w:val="00E31EFE"/>
    <w:rsid w:val="00E34FA3"/>
    <w:rsid w:val="00E55B78"/>
    <w:rsid w:val="00E579FB"/>
    <w:rsid w:val="00E76361"/>
    <w:rsid w:val="00E81EED"/>
    <w:rsid w:val="00E9623F"/>
    <w:rsid w:val="00EB31FC"/>
    <w:rsid w:val="00EC47F6"/>
    <w:rsid w:val="00EF08C9"/>
    <w:rsid w:val="00EF535E"/>
    <w:rsid w:val="00F14A62"/>
    <w:rsid w:val="00F471F7"/>
    <w:rsid w:val="00F66032"/>
    <w:rsid w:val="00F83B96"/>
    <w:rsid w:val="00F8441D"/>
    <w:rsid w:val="00F87C1E"/>
    <w:rsid w:val="00F958C2"/>
    <w:rsid w:val="00FA3AC5"/>
    <w:rsid w:val="00FA740E"/>
    <w:rsid w:val="00FC06C7"/>
    <w:rsid w:val="00FD1837"/>
    <w:rsid w:val="00FD5DB4"/>
    <w:rsid w:val="00FE1724"/>
    <w:rsid w:val="03B23769"/>
    <w:rsid w:val="0A2023C6"/>
    <w:rsid w:val="0B331B7E"/>
    <w:rsid w:val="0C044491"/>
    <w:rsid w:val="0DB32BBD"/>
    <w:rsid w:val="0FB56335"/>
    <w:rsid w:val="11C37B1A"/>
    <w:rsid w:val="1D025D40"/>
    <w:rsid w:val="1D3D2697"/>
    <w:rsid w:val="1FC1447C"/>
    <w:rsid w:val="21613782"/>
    <w:rsid w:val="275F258B"/>
    <w:rsid w:val="317E4865"/>
    <w:rsid w:val="31907403"/>
    <w:rsid w:val="31E15395"/>
    <w:rsid w:val="3473676B"/>
    <w:rsid w:val="34D72AD3"/>
    <w:rsid w:val="37C376AA"/>
    <w:rsid w:val="38781EB8"/>
    <w:rsid w:val="3E3D63A2"/>
    <w:rsid w:val="43274E58"/>
    <w:rsid w:val="45FE5EEA"/>
    <w:rsid w:val="4A657D63"/>
    <w:rsid w:val="513B4492"/>
    <w:rsid w:val="53071741"/>
    <w:rsid w:val="56733828"/>
    <w:rsid w:val="575E3F12"/>
    <w:rsid w:val="595917B5"/>
    <w:rsid w:val="5CBA5B33"/>
    <w:rsid w:val="5D5A3361"/>
    <w:rsid w:val="5E51036F"/>
    <w:rsid w:val="60315DEE"/>
    <w:rsid w:val="61BD1837"/>
    <w:rsid w:val="62AC6848"/>
    <w:rsid w:val="63756E47"/>
    <w:rsid w:val="64FF07E7"/>
    <w:rsid w:val="659B1E0F"/>
    <w:rsid w:val="66047C9F"/>
    <w:rsid w:val="690935C2"/>
    <w:rsid w:val="69C822D4"/>
    <w:rsid w:val="6B3562B9"/>
    <w:rsid w:val="6D0414AD"/>
    <w:rsid w:val="6EE341FE"/>
    <w:rsid w:val="6FA90EE9"/>
    <w:rsid w:val="71051481"/>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99"/>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qFormat/>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qFormat/>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17">
    <w:name w:val="normal"/>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8">
    <w:name w:val="Char"/>
    <w:basedOn w:val="1"/>
    <w:qFormat/>
    <w:uiPriority w:val="99"/>
  </w:style>
  <w:style w:type="paragraph" w:customStyle="1" w:styleId="19">
    <w:name w:val="[Normal]"/>
    <w:qFormat/>
    <w:uiPriority w:val="6"/>
    <w:rPr>
      <w:rFonts w:ascii="宋体" w:hAnsi="宋体" w:eastAsia="宋体" w:cs="Times New Roman"/>
      <w:color w:val="auto"/>
      <w:position w:val="0"/>
      <w:sz w:val="24"/>
      <w:u w:val="none"/>
      <w:shd w:val="clear" w:color="auto" w:fill="auto"/>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8</Pages>
  <Words>3147</Words>
  <Characters>3274</Characters>
  <Lines>0</Lines>
  <Paragraphs>0</Paragraphs>
  <TotalTime>12</TotalTime>
  <ScaleCrop>false</ScaleCrop>
  <LinksUpToDate>false</LinksUpToDate>
  <CharactersWithSpaces>3327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2018-04-04T01:51:00Z</dcterms:created>
  <dc:creator>guest</dc:creator>
  <cp:lastModifiedBy>闫林雪</cp:lastModifiedBy>
  <cp:lastPrinted>2018-01-30T06:12:00Z</cp:lastPrinted>
  <dcterms:modified xsi:type="dcterms:W3CDTF">2025-07-22T01:29:14Z</dcterms:modified>
  <dc:title>馆陶县公有资产运营公司2018年部门预算信息公开</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207F06CBF1BF407FA6D17BC3FD74AB86_12</vt:lpwstr>
  </property>
  <property fmtid="{D5CDD505-2E9C-101B-9397-08002B2CF9AE}" pid="4" name="KSOTemplateDocerSaveRecord">
    <vt:lpwstr>eyJoZGlkIjoiNGZlMDQzZjY2MjFlMGE0ZDYwZDc4NjBjNTBkNGEwNTEiLCJ1c2VySWQiOiIxNjc0NDYyOTMwIn0=</vt:lpwstr>
  </property>
</Properties>
</file>