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河北馆陶经济开发区管理委员会</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4" w:name="_GoBack"/>
      <w:bookmarkEnd w:id="4"/>
      <w:r>
        <w:rPr>
          <w:rFonts w:hint="eastAsia" w:ascii="仿宋" w:hAnsi="仿宋" w:eastAsia="仿宋" w:cs="仿宋"/>
          <w:sz w:val="32"/>
          <w:szCs w:val="32"/>
        </w:rPr>
        <w:t>预算法》、《地方预决算公开操作规程》和《河北省省级预算公开办法》规定，现将</w:t>
      </w:r>
      <w:r>
        <w:rPr>
          <w:rFonts w:hint="eastAsia" w:ascii="Times New Roman" w:hAnsi="Times New Roman" w:eastAsia="仿宋" w:cs="仿宋"/>
          <w:sz w:val="32"/>
          <w:szCs w:val="32"/>
        </w:rPr>
        <w:t>河北馆陶经济开发区管理委员会</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sz w:val="30"/>
        </w:rPr>
        <w:t>1、</w:t>
      </w:r>
      <w:r>
        <w:rPr>
          <w:rFonts w:ascii="仿宋" w:hAnsi="仿宋" w:eastAsia="仿宋"/>
          <w:color w:val="000000"/>
          <w:sz w:val="30"/>
        </w:rPr>
        <w:t>开发区发展规划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2、、开发区建设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督导、推进开发区在建项目，加强项目建设管理力度，确保项目按期顺利建设。逐步完善开发区互联网+高新高端产业模式；绿色环保、生态治理、智慧园区等方面共同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3、开发区招商职责：大力引进高科技项目、技术、人才，为开发区发展，企业发展增强后备力量，增强发展后劲。多渠道开展招商活动，不断引进新项目、新技术、新人才，确保开发区发展活力。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b/>
          <w:bCs/>
          <w:sz w:val="32"/>
          <w:szCs w:val="32"/>
        </w:rPr>
      </w:pPr>
      <w:r>
        <w:rPr>
          <w:rFonts w:ascii="仿宋" w:hAnsi="仿宋" w:eastAsia="仿宋"/>
          <w:color w:val="000000"/>
          <w:sz w:val="30"/>
        </w:rPr>
        <w:t>4、、开发区管理职责：监督管理开发区企业正常生产运营，减少或避免发展不安全事件。负责开发区党政工作开展及群众来信来访，提升开发区群众精神面貌；协调开发区内社会事务，为企业提供法律、金融、纳税等服务。</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河北馆陶经济开发区管理委员会</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行政</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河北馆陶经济开发区党工委</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行政</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河北馆陶经济开发区管理委员会</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事业</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按照预算管理有关规定，目前我县部门预算的编制实行综合预算管理，即全部收入和支出都反映的预算中。河北馆陶经济开发区管理委员会的收支包含在部门预算中。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2600.78</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2517.07</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83.8</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仿宋"/>
          <w:sz w:val="32"/>
          <w:szCs w:val="32"/>
        </w:rPr>
        <w:t>收支预算总表支出栏、基本支出表、项目支出表按经济分类和支出功能分类科目编制，反映河北馆陶经济开发区管理委员会年度部门预算中支出预算的总体情况。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2600.87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329.07</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309.88</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19.19</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2271.8</w:t>
      </w:r>
      <w:r>
        <w:rPr>
          <w:rFonts w:hint="eastAsia" w:ascii="Times New Roman" w:hAnsi="Times New Roman" w:eastAsia="仿宋" w:cs="仿宋"/>
          <w:sz w:val="32"/>
          <w:szCs w:val="32"/>
        </w:rPr>
        <w:t>万元，主要为</w:t>
      </w:r>
      <w:r>
        <w:rPr>
          <w:rFonts w:hint="eastAsia" w:ascii="Times New Roman" w:hAnsi="Times New Roman" w:eastAsia="仿宋" w:cs="仿宋"/>
          <w:sz w:val="32"/>
          <w:szCs w:val="32"/>
          <w:lang w:eastAsia="zh-CN"/>
        </w:rPr>
        <w:t>督促企业安全生产建设、保护环境及应急救援、信访维稳经费</w:t>
      </w:r>
      <w:r>
        <w:rPr>
          <w:rFonts w:hint="eastAsia" w:ascii="Times New Roman" w:hAnsi="Times New Roman" w:eastAsia="仿宋" w:cs="仿宋"/>
          <w:sz w:val="32"/>
          <w:szCs w:val="32"/>
          <w:lang w:val="en-US" w:eastAsia="zh-CN"/>
        </w:rPr>
        <w:t>25万元，经开区法律、金融、纳税服务、经济运行分析及综合统计、集中受理限时办结经费18万元，开发区环境整治及道路维护经费30万元，开发区投资环境宣传、项目包装、进出口贸易经费40万元，项目前期、僵尸项目盘活及项目观摩经费55万元，开发区化工园区污水处理在线设备运维资金83.8万元，开发区财政体制补助资金2000万元，经开区</w:t>
      </w:r>
      <w:r>
        <w:rPr>
          <w:rFonts w:hint="eastAsia" w:ascii="Times New Roman" w:hAnsi="Times New Roman" w:eastAsia="仿宋" w:cs="Times New Roman"/>
          <w:sz w:val="32"/>
          <w:szCs w:val="32"/>
          <w:lang w:eastAsia="zh-CN"/>
        </w:rPr>
        <w:t>招商引资工作经费</w:t>
      </w:r>
      <w:r>
        <w:rPr>
          <w:rFonts w:hint="eastAsia" w:ascii="Times New Roman" w:hAnsi="Times New Roman" w:eastAsia="仿宋" w:cs="Times New Roman"/>
          <w:sz w:val="32"/>
          <w:szCs w:val="32"/>
          <w:lang w:val="en-US" w:eastAsia="zh-CN"/>
        </w:rPr>
        <w:t>20万元。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2600.87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年减少</w:t>
      </w:r>
      <w:r>
        <w:rPr>
          <w:rFonts w:hint="eastAsia" w:ascii="Times New Roman" w:hAnsi="Times New Roman" w:eastAsia="仿宋" w:cs="仿宋"/>
          <w:sz w:val="32"/>
          <w:szCs w:val="32"/>
          <w:lang w:val="en-US" w:eastAsia="zh-CN"/>
        </w:rPr>
        <w:t>3261.19</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lang w:val="en-US" w:eastAsia="zh-CN"/>
        </w:rPr>
        <w:t>53.33</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人员经费减少</w:t>
      </w:r>
      <w:r>
        <w:rPr>
          <w:rFonts w:hint="eastAsia" w:ascii="Times New Roman" w:hAnsi="Times New Roman" w:eastAsia="仿宋" w:cs="仿宋"/>
          <w:sz w:val="32"/>
          <w:szCs w:val="32"/>
        </w:rPr>
        <w:t>；项目支出减少</w:t>
      </w:r>
      <w:r>
        <w:rPr>
          <w:rFonts w:hint="eastAsia" w:ascii="Times New Roman" w:hAnsi="Times New Roman" w:eastAsia="仿宋" w:cs="仿宋"/>
          <w:sz w:val="32"/>
          <w:szCs w:val="32"/>
          <w:lang w:val="en-US" w:eastAsia="zh-CN"/>
        </w:rPr>
        <w:t>3207.86</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项目变动</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19.19</w:t>
      </w:r>
      <w:r>
        <w:rPr>
          <w:rFonts w:hint="eastAsia" w:ascii="Times New Roman" w:hAnsi="Times New Roman" w:eastAsia="仿宋" w:cs="仿宋"/>
          <w:sz w:val="32"/>
          <w:szCs w:val="32"/>
        </w:rPr>
        <w:t>万元，主要用于</w:t>
      </w:r>
      <w:r>
        <w:rPr>
          <w:rFonts w:hint="eastAsia" w:asciiTheme="minorEastAsia" w:hAnsiTheme="minorEastAsia" w:eastAsiaTheme="minorEastAsia"/>
          <w:sz w:val="32"/>
          <w:szCs w:val="32"/>
        </w:rPr>
        <w:t>办公费、印刷费、邮电费、公务交通补贴</w:t>
      </w:r>
      <w:r>
        <w:rPr>
          <w:rFonts w:hint="eastAsia" w:asciiTheme="minorEastAsia" w:hAnsiTheme="minorEastAsia" w:eastAsiaTheme="minorEastAsia"/>
          <w:sz w:val="32"/>
          <w:szCs w:val="32"/>
          <w:lang w:eastAsia="zh-CN"/>
        </w:rPr>
        <w:t>、通讯补贴</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0.208</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0.208</w:t>
      </w:r>
      <w:r>
        <w:rPr>
          <w:rFonts w:hint="eastAsia" w:ascii="Times New Roman" w:hAnsi="Times New Roman" w:eastAsia="仿宋" w:cs="仿宋"/>
          <w:sz w:val="32"/>
          <w:szCs w:val="32"/>
        </w:rPr>
        <w:t>万元。“三公”经费与上年持平，无增减变化</w:t>
      </w:r>
      <w:r>
        <w:rPr>
          <w:rFonts w:hint="eastAsia" w:ascii="Times New Roman" w:hAnsi="Times New Roman" w:eastAsia="仿宋" w:cs="仿宋"/>
          <w:sz w:val="32"/>
          <w:szCs w:val="32"/>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河北馆陶经济开发区地处冀鲁豫三省交界处，交通十分便利，区位优势明显目前，开发区公共基础设施完备，基本实现九通一平。形成了装备制造、食品药品、新型化工、高性能农机、轻工轴承、新材料和卫生防护用品为主的特色产业体系。202</w:t>
      </w:r>
      <w:r>
        <w:rPr>
          <w:rFonts w:hint="eastAsia" w:ascii="仿宋" w:hAnsi="仿宋" w:eastAsia="仿宋"/>
          <w:color w:val="000000"/>
          <w:sz w:val="30"/>
          <w:lang w:val="en-US" w:eastAsia="zh-CN"/>
        </w:rPr>
        <w:t>1</w:t>
      </w:r>
      <w:r>
        <w:rPr>
          <w:rFonts w:ascii="仿宋" w:hAnsi="仿宋" w:eastAsia="仿宋"/>
          <w:color w:val="000000"/>
          <w:sz w:val="30"/>
        </w:rPr>
        <w:t>年，经济开发区将实现主营业务收入45亿元，税收1.5亿元，实际利用外资2066万美元，进出口3724万美元，固定资产投资完成27亿元。引进项目5个，投资额5亿元以上1个，亿元以上2个。</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sz w:val="30"/>
        </w:rPr>
        <w:t>1、制定</w:t>
      </w:r>
      <w:r>
        <w:rPr>
          <w:rFonts w:ascii="仿宋" w:hAnsi="仿宋" w:eastAsia="仿宋"/>
          <w:color w:val="000000"/>
          <w:sz w:val="30"/>
        </w:rPr>
        <w:t>开发区发展规划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绩效目标：开发区规划、环评、安评等手续齐全；项目用地及在建工程的规划及后期跟踪管理。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绩效指标：开发区规划、环评、安评等手续齐全，手续完整率100%；项目用地及在建工程的规划手续完成率90%以上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2、开发区建设工程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绩效目标：开发区基础设施、配套设施、智慧园区建设；开发区绿色环保及生态治理。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绩效指标：开发区基础设施及配套设施齐全率90%以上；智慧园区建设项目可全面开工建设；安全环保任务完成率90%以上。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3、开展开发区招商工作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绩效目标：开发区投资环境的对外宣传和推介；完成全年招商任务和人才引进任务。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绩效指标：引进项目5个，投资额5亿元以上1个，亿元以上2个。提供就业岗位500个。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4、开发区管理事务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绩效目标：党政各方面工作开展及经济工业等方面综合统计分析；群众来信来访、协调开发区内社会事务；帮扶创业、服务企业；应急救援及安全生产。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88"/>
        <w:rPr>
          <w:rFonts w:ascii="仿宋" w:hAnsi="仿宋" w:eastAsia="仿宋"/>
          <w:color w:val="000000"/>
          <w:sz w:val="30"/>
        </w:rPr>
      </w:pPr>
      <w:r>
        <w:rPr>
          <w:rFonts w:ascii="仿宋" w:hAnsi="仿宋" w:eastAsia="仿宋"/>
          <w:color w:val="000000"/>
          <w:sz w:val="30"/>
        </w:rPr>
        <w:t>绩效指标：党政各方面工作开展及经济工业等方面综合统计分析按时按质按量100%完成；接访及协调事务及时率95%以；帮扶任务完成率100%。应急救援及时率100%。</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left"/>
        <w:rPr>
          <w:rFonts w:ascii="仿宋" w:hAnsi="仿宋" w:eastAsia="仿宋"/>
          <w:color w:val="000000"/>
          <w:sz w:val="30"/>
        </w:rPr>
      </w:pPr>
      <w:r>
        <w:rPr>
          <w:rFonts w:ascii="仿宋" w:hAnsi="仿宋" w:eastAsia="仿宋"/>
          <w:color w:val="000000"/>
          <w:sz w:val="30"/>
          <w:shd w:val="clear" w:color="auto" w:fill="FFFFFF"/>
        </w:rPr>
        <w:t>全力推进招商引资。</w:t>
      </w:r>
      <w:r>
        <w:rPr>
          <w:rFonts w:ascii="仿宋" w:hAnsi="仿宋" w:eastAsia="仿宋"/>
          <w:color w:val="000000"/>
          <w:sz w:val="30"/>
        </w:rPr>
        <w:t>开发区重点围绕我县产业精准招商，围绕产业，谋划储备补链项目，加大产业链缺失环节精准招商力度。高性能农机产业链，重点招商拖拉机关键零部件、精密机加工、仪表仪器、电路电气、耕作机械等符合高端农机产业化发展方向的项目，力争引进发动机制造项目。食品医药产业链，引进战略合作者，充分挖掘我县特色食材，开发馆陶地域特色产品，扩大高端饮品、医药、原料药、肉食加工、液体包装等关联和配套企业集聚效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color w:val="000000"/>
          <w:sz w:val="30"/>
        </w:rPr>
      </w:pPr>
      <w:r>
        <w:rPr>
          <w:rFonts w:ascii="仿宋" w:hAnsi="仿宋" w:eastAsia="仿宋"/>
          <w:color w:val="000000"/>
          <w:sz w:val="30"/>
        </w:rPr>
        <w:t>2、高质高效推进项目建设。开发区当主力、做先锋、打头阵，确保实现项目建设的率先突破。对在建的重点项目明确专人负责，逐一把脉会诊，做到每个项目有人盯，每个事项有人管，时刻掌握项目动态。备战全年项目观摩，把巡查在建项目的扬尘治理工作和督促项目建设施工进度同部署，同落实，坚持每天盯在项目建设现场的第一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color w:val="000000"/>
          <w:sz w:val="30"/>
        </w:rPr>
      </w:pPr>
      <w:r>
        <w:rPr>
          <w:rFonts w:ascii="仿宋" w:hAnsi="仿宋" w:eastAsia="仿宋"/>
          <w:color w:val="000000"/>
          <w:sz w:val="30"/>
        </w:rPr>
        <w:t>3、不断提升园区承载力。不断增大园区基础设施建设，完善配套服务，增强园区吸引力，充分发挥招商引资阵地作用、项目建设平台效应。为承接项目落地做好一切准备。加快北科园区创业路、兴业路、新能街、文华街、振兴路两侧的环境卫生整治与便道路砖修整和整改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color w:val="000000"/>
          <w:sz w:val="30"/>
        </w:rPr>
      </w:pPr>
      <w:r>
        <w:rPr>
          <w:rFonts w:ascii="仿宋" w:hAnsi="仿宋" w:eastAsia="仿宋"/>
          <w:color w:val="000000"/>
          <w:sz w:val="30"/>
        </w:rPr>
        <w:t>4、紧抓安全生产。制定三年攻坚行动方案、建立工作推进台账和“一表三清单”，全面进行隐患排查与治理工作。定期对园区企业进行安全生产检查，与应急局和市安全管家专家对化工企业进行重点隐患排查。推动“双控机制”建设，成立工作专班，对工贸行业（规上、规下）企业双控机制建设进行督导，规上企业双控机制建设7月底前已完成，与应急局组织规下企业进行双控机制建设培训、到试点企业参观学习，双控机制建设已完成中小微企业总数百分之七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color w:val="000000"/>
          <w:sz w:val="30"/>
        </w:rPr>
      </w:pPr>
      <w:r>
        <w:rPr>
          <w:rFonts w:ascii="仿宋" w:hAnsi="仿宋" w:eastAsia="仿宋"/>
          <w:color w:val="000000"/>
          <w:sz w:val="30"/>
        </w:rPr>
        <w:t>4、精准发力，落实措施，环保治理工作再上新台阶。开发区认真贯彻落实中央、省、市、县委关于安全环保的重大决策部署，牢固树立“安全环保大于天”意识，强化“安全环保即是企业生命线也是生产底线”思维，对开发区企业实行安全环保网格化管理，将责任落实到开发区的每名干部职工身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color w:val="000000"/>
          <w:sz w:val="30"/>
        </w:rPr>
      </w:pPr>
      <w:r>
        <w:rPr>
          <w:rFonts w:ascii="仿宋" w:hAnsi="仿宋" w:eastAsia="仿宋"/>
          <w:color w:val="000000"/>
          <w:sz w:val="30"/>
        </w:rPr>
        <w:t>5、服务企业，助力企业招聘工作。为切实服务好企业，在了解了企业用工荒、招工难的情况下，为切实解决企业用工难、招工难问题，结合企业和求职者搭建双向选择平台，有效地缓解了企业的用工荒和招工难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00"/>
        <w:jc w:val="left"/>
        <w:rPr>
          <w:rFonts w:ascii="仿宋" w:hAnsi="仿宋" w:eastAsia="仿宋"/>
          <w:sz w:val="30"/>
        </w:rPr>
      </w:pPr>
      <w:r>
        <w:rPr>
          <w:rFonts w:ascii="仿宋" w:hAnsi="仿宋" w:eastAsia="仿宋"/>
          <w:color w:val="000000"/>
          <w:sz w:val="30"/>
        </w:rPr>
        <w:t>6、抓信访保稳定，确保一方平安。我们坚决按制度办事，按政策处理问题，有效推动了信访工作的落实，提高了解决信访问题的工作效率。坚持稳定压倒一切的工作方针，持续做好企业的信访稳定工作，确保了经济开发区的一方平安。</w:t>
      </w:r>
    </w:p>
    <w:p>
      <w:pPr>
        <w:rPr>
          <w:rFonts w:ascii="仿宋_GB2312" w:hAnsi="黑体" w:eastAsia="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val="en-US" w:eastAsia="zh-CN"/>
        </w:rPr>
        <w:t>1、</w:t>
      </w:r>
      <w:r>
        <w:rPr>
          <w:rFonts w:hint="eastAsia" w:ascii="方正仿宋_GBK" w:eastAsia="方正仿宋_GBK" w:cs="方正仿宋_GBK"/>
          <w:b/>
          <w:bCs/>
          <w:sz w:val="28"/>
          <w:szCs w:val="28"/>
          <w:highlight w:val="none"/>
        </w:rPr>
        <w:t>项目前期、僵尸项目盘活及项目观摩经费绩效目标表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项目前期及观摩达标</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ind w:firstLine="298" w:firstLineChars="0"/>
              <w:jc w:val="left"/>
              <w:rPr>
                <w:rFonts w:ascii="方正书宋_GBK" w:eastAsia="方正书宋_GBK"/>
              </w:rPr>
            </w:pPr>
            <w:r>
              <w:rPr>
                <w:rFonts w:hint="eastAsia" w:ascii="方正书宋_GBK" w:eastAsia="方正书宋_GBK"/>
              </w:rPr>
              <w:t>项目观摩全区排名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项目观摩全区排名</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eastAsia="zh-CN"/>
              </w:rPr>
              <w:t>≥</w:t>
            </w:r>
            <w:r>
              <w:rPr>
                <w:rFonts w:hint="eastAsia" w:ascii="方正书宋_GBK" w:eastAsia="方正书宋_GBK"/>
                <w:lang w:val="en-US" w:eastAsia="zh-CN"/>
              </w:rPr>
              <w:t>20名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市委、市政府文件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项目进场前做好前期工作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项目进场前前期工作及时率</w:t>
            </w:r>
          </w:p>
        </w:tc>
        <w:tc>
          <w:tcPr>
            <w:tcW w:w="1276" w:type="dxa"/>
            <w:vAlign w:val="center"/>
          </w:tcPr>
          <w:p>
            <w:pPr>
              <w:spacing w:line="300" w:lineRule="exact"/>
              <w:jc w:val="left"/>
              <w:rPr>
                <w:rFonts w:hint="default" w:ascii="方正书宋_GBK" w:eastAsia="方正书宋_GBK"/>
                <w:lang w:val="en-US"/>
              </w:rPr>
            </w:pPr>
            <w:r>
              <w:rPr>
                <w:rFonts w:hint="eastAsia" w:ascii="方正书宋_GBK" w:eastAsia="方正书宋_GBK"/>
                <w:lang w:eastAsia="zh-CN"/>
              </w:rPr>
              <w:t>≥</w:t>
            </w:r>
            <w:r>
              <w:rPr>
                <w:rFonts w:hint="eastAsia" w:ascii="方正书宋_GBK" w:eastAsia="方正书宋_GBK"/>
                <w:lang w:val="en-US" w:eastAsia="zh-CN"/>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项目前期各项手续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僵尸企业清理成本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僵尸企业清理成本小于产生效益，小于50万元</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做好项目观摩提高园区影响力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做好项目观摩工作，提高开发区知名度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做好项目观摩工作，提高开发区知名度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清理僵尸企业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清理僵尸企业</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开发区内入驻企业的满意度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开发区内入驻企业的满意度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w:t>
            </w: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调查问卷</w:t>
            </w:r>
          </w:p>
        </w:tc>
      </w:tr>
    </w:tbl>
    <w:p>
      <w:pPr>
        <w:spacing w:line="300" w:lineRule="exact"/>
        <w:ind w:firstLine="420" w:firstLineChars="200"/>
        <w:jc w:val="left"/>
      </w:pPr>
    </w:p>
    <w:p>
      <w:pPr>
        <w:jc w:val="left"/>
        <w:outlineLvl w:val="1"/>
        <w:rPr>
          <w:rFonts w:ascii="方正仿宋_GBK" w:eastAsia="方正仿宋_GBK"/>
          <w:b/>
          <w:bCs/>
          <w:sz w:val="28"/>
          <w:szCs w:val="28"/>
          <w:highlight w:val="yellow"/>
        </w:rPr>
      </w:pPr>
    </w:p>
    <w:p>
      <w:pPr>
        <w:numPr>
          <w:ilvl w:val="0"/>
          <w:numId w:val="2"/>
        </w:numPr>
        <w:ind w:left="0" w:leftChars="0" w:firstLine="600" w:firstLineChars="0"/>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开发区化工园区污水处理在线设备运维资金</w:t>
      </w:r>
      <w:r>
        <w:rPr>
          <w:rFonts w:hint="eastAsia" w:ascii="方正仿宋_GBK" w:eastAsia="方正仿宋_GBK" w:cs="方正仿宋_GBK"/>
          <w:b/>
          <w:bCs/>
          <w:sz w:val="28"/>
          <w:szCs w:val="28"/>
          <w:highlight w:val="none"/>
        </w:rPr>
        <w:t>绩效目标表</w:t>
      </w:r>
    </w:p>
    <w:tbl>
      <w:tblPr>
        <w:tblStyle w:val="7"/>
        <w:tblW w:w="0" w:type="auto"/>
        <w:tblInd w:w="93" w:type="dxa"/>
        <w:shd w:val="clear" w:color="auto" w:fill="auto"/>
        <w:tblLayout w:type="autofit"/>
        <w:tblCellMar>
          <w:top w:w="0" w:type="dxa"/>
          <w:left w:w="108" w:type="dxa"/>
          <w:bottom w:w="0" w:type="dxa"/>
          <w:right w:w="108" w:type="dxa"/>
        </w:tblCellMar>
      </w:tblPr>
      <w:tblGrid>
        <w:gridCol w:w="1120"/>
        <w:gridCol w:w="1798"/>
        <w:gridCol w:w="1284"/>
        <w:gridCol w:w="2674"/>
        <w:gridCol w:w="1470"/>
        <w:gridCol w:w="962"/>
      </w:tblGrid>
      <w:tr>
        <w:tblPrEx>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方正书宋_GBK" w:eastAsia="方正书宋_GBK" w:cs="方正书宋_GBK"/>
                <w:b/>
                <w:bCs/>
                <w:lang w:val="en-US" w:eastAsia="zh-CN"/>
              </w:rPr>
              <w:t>绩效目标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书宋_GBK" w:eastAsia="方正书宋_GBK" w:cs="方正书宋_GBK"/>
                <w:lang w:val="en-US" w:eastAsia="zh-CN"/>
              </w:rPr>
              <w:t>污水处理在线监测设备正常运转</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绩效指标描述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b/>
                <w:bCs/>
              </w:rPr>
            </w:pPr>
            <w:r>
              <w:rPr>
                <w:rFonts w:hint="eastAsia" w:ascii="方正书宋_GBK" w:eastAsia="方正书宋_GBK" w:cs="方正书宋_GBK"/>
                <w:b/>
                <w:bCs/>
                <w:lang w:val="en-US" w:eastAsia="zh-CN"/>
              </w:rPr>
              <w:t>指标确定依据</w:t>
            </w:r>
          </w:p>
        </w:tc>
      </w:tr>
      <w:tr>
        <w:tblPrEx>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污水及时处理率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污水按照环保部分要求下按规定及时处理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污水处理后，环保部分抽样监测合格率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default" w:ascii="方正书宋_GBK" w:eastAsia="方正书宋_GBK" w:cs="方正书宋_GBK"/>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污水处理监测水量年1万方成本控制金额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≤7万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招投标</w:t>
            </w: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在线数据传输率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数据设备传输有效率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保护开发区生态环境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按照环保部门要求，切实保护好开发区生态环境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保护开发区生态环境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开发区群众满意度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开发区群众满意度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rPr>
            </w:pPr>
            <w:r>
              <w:rPr>
                <w:rFonts w:hint="eastAsia" w:ascii="方正书宋_GBK" w:eastAsia="方正书宋_GBK" w:cs="方正书宋_GBK"/>
                <w:lang w:val="en-US" w:eastAsia="zh-CN"/>
              </w:rPr>
              <w:t>调查问卷</w:t>
            </w:r>
          </w:p>
        </w:tc>
      </w:tr>
    </w:tbl>
    <w:p>
      <w:pPr>
        <w:numPr>
          <w:ilvl w:val="0"/>
          <w:numId w:val="0"/>
        </w:numPr>
        <w:jc w:val="both"/>
        <w:outlineLvl w:val="1"/>
        <w:rPr>
          <w:rFonts w:hint="eastAsia" w:ascii="方正仿宋_GBK" w:eastAsia="方正仿宋_GBK" w:cs="方正仿宋_GBK"/>
          <w:b/>
          <w:bCs/>
          <w:sz w:val="28"/>
          <w:szCs w:val="28"/>
          <w:highlight w:val="none"/>
          <w:lang w:val="en-US" w:eastAsia="zh-CN"/>
        </w:rPr>
      </w:pPr>
    </w:p>
    <w:p>
      <w:pPr>
        <w:numPr>
          <w:ilvl w:val="0"/>
          <w:numId w:val="2"/>
        </w:numPr>
        <w:ind w:left="0" w:leftChars="0" w:firstLine="600" w:firstLineChars="0"/>
        <w:jc w:val="both"/>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督促企业安全生产建设、保护环境及应急救援、信访维稳经费</w:t>
      </w:r>
    </w:p>
    <w:p>
      <w:pPr>
        <w:numPr>
          <w:ilvl w:val="0"/>
          <w:numId w:val="0"/>
        </w:numPr>
        <w:ind w:left="600" w:leftChars="0"/>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rPr>
        <w:t>绩效目标表</w:t>
      </w:r>
    </w:p>
    <w:p>
      <w:pPr>
        <w:numPr>
          <w:ilvl w:val="0"/>
          <w:numId w:val="0"/>
        </w:numPr>
        <w:jc w:val="both"/>
        <w:outlineLvl w:val="1"/>
        <w:rPr>
          <w:rFonts w:hint="eastAsia" w:ascii="方正仿宋_GBK" w:eastAsia="方正仿宋_GBK" w:cs="方正仿宋_GBK"/>
          <w:b/>
          <w:bCs/>
          <w:sz w:val="28"/>
          <w:szCs w:val="28"/>
          <w:highlight w:val="none"/>
        </w:rPr>
      </w:pPr>
    </w:p>
    <w:tbl>
      <w:tblPr>
        <w:tblStyle w:val="7"/>
        <w:tblW w:w="4998" w:type="pct"/>
        <w:tblInd w:w="0" w:type="dxa"/>
        <w:shd w:val="clear" w:color="auto" w:fill="auto"/>
        <w:tblLayout w:type="autofit"/>
        <w:tblCellMar>
          <w:top w:w="0" w:type="dxa"/>
          <w:left w:w="108" w:type="dxa"/>
          <w:bottom w:w="0" w:type="dxa"/>
          <w:right w:w="108" w:type="dxa"/>
        </w:tblCellMar>
      </w:tblPr>
      <w:tblGrid>
        <w:gridCol w:w="1192"/>
        <w:gridCol w:w="2106"/>
        <w:gridCol w:w="1655"/>
        <w:gridCol w:w="1922"/>
        <w:gridCol w:w="863"/>
        <w:gridCol w:w="1659"/>
      </w:tblGrid>
      <w:tr>
        <w:tblPrEx>
          <w:shd w:val="clear" w:color="auto" w:fill="auto"/>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nil"/>
              <w:right w:val="nil"/>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nil"/>
              <w:bottom w:val="nil"/>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督促监管企业建设施工、安全生产、环境保护</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nil"/>
              <w:left w:val="single" w:color="000000" w:sz="4" w:space="0"/>
              <w:bottom w:val="single" w:color="000000" w:sz="4" w:space="0"/>
              <w:right w:val="nil"/>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3335" w:type="pct"/>
            <w:gridSpan w:val="4"/>
            <w:tcBorders>
              <w:top w:val="nil"/>
              <w:left w:val="nil"/>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及时开展应急救援、信访维稳工作</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0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48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合同履行率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督促监管企业按照合同要求按时按量完成进度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合同</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事故发生率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监管企业安全生产，降低事故发生率</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应急管理部门通报</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信访维稳</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信访维稳案件处理年成本限额</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≤5万</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信访部门通报</w:t>
            </w:r>
          </w:p>
        </w:tc>
      </w:tr>
      <w:tr>
        <w:tblPrEx>
          <w:tblCellMar>
            <w:top w:w="0" w:type="dxa"/>
            <w:left w:w="108" w:type="dxa"/>
            <w:bottom w:w="0" w:type="dxa"/>
            <w:right w:w="108" w:type="dxa"/>
          </w:tblCellMar>
        </w:tblPrEx>
        <w:trPr>
          <w:trHeight w:val="56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生态效益指标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保护当地生态环境</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环保部门通报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应急救援及时率</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应急救援及时率</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应急管理部门通报</w:t>
            </w:r>
          </w:p>
        </w:tc>
      </w:tr>
      <w:tr>
        <w:tblPrEx>
          <w:tblCellMar>
            <w:top w:w="0" w:type="dxa"/>
            <w:left w:w="108" w:type="dxa"/>
            <w:bottom w:w="0" w:type="dxa"/>
            <w:right w:w="108" w:type="dxa"/>
          </w:tblCellMar>
        </w:tblPrEx>
        <w:trPr>
          <w:trHeight w:val="56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开发区内进驻企业满意度</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开发区内进驻企业满意度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jc w:val="both"/>
        <w:outlineLvl w:val="1"/>
        <w:rPr>
          <w:rFonts w:ascii="Times New Roman" w:hAnsi="宋体"/>
          <w:b/>
          <w:bCs/>
          <w:sz w:val="28"/>
          <w:szCs w:val="28"/>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jc w:val="center"/>
        <w:rPr>
          <w:rFonts w:ascii="Times New Roman" w:hAnsi="宋体"/>
        </w:rPr>
      </w:pPr>
      <w:r>
        <w:rPr>
          <w:rFonts w:ascii="方正书宋_GBK" w:eastAsia="方正书宋_GBK" w:cs="方正书宋_GBK"/>
        </w:rPr>
        <w:t xml:space="preserve"> </w:t>
      </w:r>
    </w:p>
    <w:p>
      <w:pPr>
        <w:spacing w:line="300" w:lineRule="exact"/>
        <w:ind w:firstLine="420" w:firstLineChars="200"/>
        <w:jc w:val="left"/>
      </w:pPr>
    </w:p>
    <w:p>
      <w:pPr>
        <w:numPr>
          <w:ilvl w:val="0"/>
          <w:numId w:val="2"/>
        </w:numPr>
        <w:autoSpaceDE w:val="0"/>
        <w:autoSpaceDN w:val="0"/>
        <w:adjustRightInd w:val="0"/>
        <w:ind w:left="0" w:leftChars="0" w:firstLine="600" w:firstLineChars="0"/>
        <w:jc w:val="center"/>
        <w:rPr>
          <w:rFonts w:hint="eastAsia" w:ascii="黑体" w:hAnsi="黑体" w:eastAsia="黑体" w:cs="黑体"/>
          <w:sz w:val="32"/>
          <w:szCs w:val="32"/>
          <w:lang w:eastAsia="zh-CN"/>
        </w:rPr>
      </w:pPr>
      <w:r>
        <w:rPr>
          <w:rFonts w:hint="eastAsia" w:ascii="黑体" w:hAnsi="黑体" w:eastAsia="黑体" w:cs="黑体"/>
          <w:sz w:val="32"/>
          <w:szCs w:val="32"/>
        </w:rPr>
        <w:t>开发区环境整治及道路维护经费</w:t>
      </w:r>
      <w:r>
        <w:rPr>
          <w:rFonts w:hint="eastAsia" w:ascii="黑体" w:hAnsi="黑体" w:eastAsia="黑体" w:cs="黑体"/>
          <w:sz w:val="32"/>
          <w:szCs w:val="32"/>
          <w:lang w:eastAsia="zh-CN"/>
        </w:rPr>
        <w:t>绩效目标表</w:t>
      </w:r>
    </w:p>
    <w:tbl>
      <w:tblPr>
        <w:tblStyle w:val="7"/>
        <w:tblW w:w="4999" w:type="pct"/>
        <w:tblInd w:w="0" w:type="dxa"/>
        <w:shd w:val="clear" w:color="auto" w:fill="auto"/>
        <w:tblLayout w:type="autofit"/>
        <w:tblCellMar>
          <w:top w:w="0" w:type="dxa"/>
          <w:left w:w="108" w:type="dxa"/>
          <w:bottom w:w="0" w:type="dxa"/>
          <w:right w:w="108" w:type="dxa"/>
        </w:tblCellMar>
      </w:tblPr>
      <w:tblGrid>
        <w:gridCol w:w="1120"/>
        <w:gridCol w:w="2106"/>
        <w:gridCol w:w="1236"/>
        <w:gridCol w:w="1445"/>
        <w:gridCol w:w="986"/>
        <w:gridCol w:w="1265"/>
        <w:gridCol w:w="1241"/>
      </w:tblGrid>
      <w:tr>
        <w:tblPrEx>
          <w:shd w:val="clear" w:color="auto" w:fill="auto"/>
          <w:tblCellMar>
            <w:top w:w="0" w:type="dxa"/>
            <w:left w:w="108" w:type="dxa"/>
            <w:bottom w:w="0" w:type="dxa"/>
            <w:right w:w="108" w:type="dxa"/>
          </w:tblCellMar>
        </w:tblPrEx>
        <w:trPr>
          <w:trHeight w:val="375" w:hRule="atLeast"/>
        </w:trPr>
        <w:tc>
          <w:tcPr>
            <w:tcW w:w="564" w:type="pct"/>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864" w:type="pct"/>
            <w:tcBorders>
              <w:top w:val="single" w:color="000000" w:sz="4" w:space="0"/>
              <w:left w:val="single" w:color="000000" w:sz="4" w:space="0"/>
              <w:bottom w:val="nil"/>
              <w:right w:val="nil"/>
            </w:tcBorders>
            <w:shd w:val="clear" w:color="auto" w:fill="auto"/>
            <w:noWrap/>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目标1</w:t>
            </w:r>
          </w:p>
        </w:tc>
        <w:tc>
          <w:tcPr>
            <w:tcW w:w="3570" w:type="pct"/>
            <w:gridSpan w:val="5"/>
            <w:tcBorders>
              <w:top w:val="single" w:color="000000" w:sz="4" w:space="0"/>
              <w:left w:val="nil"/>
              <w:bottom w:val="nil"/>
              <w:right w:val="single" w:color="000000" w:sz="4" w:space="0"/>
            </w:tcBorders>
            <w:shd w:val="clear" w:color="auto" w:fill="auto"/>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对园区内道路进行维护</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nil"/>
              <w:left w:val="single" w:color="000000" w:sz="4" w:space="0"/>
              <w:bottom w:val="single" w:color="000000" w:sz="4" w:space="0"/>
              <w:right w:val="nil"/>
            </w:tcBorders>
            <w:shd w:val="clear" w:color="auto" w:fill="auto"/>
            <w:noWrap/>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目标2</w:t>
            </w:r>
          </w:p>
        </w:tc>
        <w:tc>
          <w:tcPr>
            <w:tcW w:w="3570" w:type="pct"/>
            <w:gridSpan w:val="5"/>
            <w:tcBorders>
              <w:top w:val="nil"/>
              <w:left w:val="nil"/>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保证园区道路整洁</w:t>
            </w:r>
          </w:p>
        </w:tc>
      </w:tr>
      <w:tr>
        <w:tblPrEx>
          <w:tblCellMar>
            <w:top w:w="0" w:type="dxa"/>
            <w:left w:w="108" w:type="dxa"/>
            <w:bottom w:w="0" w:type="dxa"/>
            <w:right w:w="108" w:type="dxa"/>
          </w:tblCellMar>
        </w:tblPrEx>
        <w:trPr>
          <w:trHeight w:val="375"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6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7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627" w:type="pct"/>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46" w:type="pc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76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数量指标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需维护道路长度</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完成19.5公里道路的环境卫生和维护</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≥19.5公里</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相关测绘数据</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道路维护成本</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道路清扫及维护成本每公里年控制金额</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≤1.5万</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按照实际发生额</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道路卫生合格率</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道路卫生合格率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本单位验收</w:t>
            </w:r>
          </w:p>
        </w:tc>
      </w:tr>
      <w:tr>
        <w:tblPrEx>
          <w:tblCellMar>
            <w:top w:w="0" w:type="dxa"/>
            <w:left w:w="108" w:type="dxa"/>
            <w:bottom w:w="0" w:type="dxa"/>
            <w:right w:w="108" w:type="dxa"/>
          </w:tblCellMar>
        </w:tblPrEx>
        <w:trPr>
          <w:trHeight w:val="375"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道路清扫及时率</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按照相关规定道路清理及时完成</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本单位验收</w:t>
            </w:r>
          </w:p>
        </w:tc>
      </w:tr>
      <w:tr>
        <w:tblPrEx>
          <w:tblCellMar>
            <w:top w:w="0" w:type="dxa"/>
            <w:left w:w="108" w:type="dxa"/>
            <w:bottom w:w="0" w:type="dxa"/>
            <w:right w:w="108" w:type="dxa"/>
          </w:tblCellMar>
        </w:tblPrEx>
        <w:trPr>
          <w:trHeight w:val="620" w:hRule="atLeast"/>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生态效益指标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提升园区形象</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540" w:hRule="atLeast"/>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保持园区整洁的良好环境,维护园区道路.为园区企业提供一个良好的生产发展环境</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保持园区整洁</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按照相关标准进行验收</w:t>
            </w:r>
          </w:p>
        </w:tc>
      </w:tr>
      <w:tr>
        <w:tblPrEx>
          <w:tblCellMar>
            <w:top w:w="0" w:type="dxa"/>
            <w:left w:w="108" w:type="dxa"/>
            <w:bottom w:w="0" w:type="dxa"/>
            <w:right w:w="108" w:type="dxa"/>
          </w:tblCellMar>
        </w:tblPrEx>
        <w:trPr>
          <w:trHeight w:val="375" w:hRule="atLeast"/>
        </w:trPr>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园区内群众满意度</w:t>
            </w:r>
          </w:p>
        </w:tc>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园区内群众满意度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autoSpaceDE w:val="0"/>
        <w:autoSpaceDN w:val="0"/>
        <w:adjustRightInd w:val="0"/>
        <w:ind w:left="600" w:leftChars="0"/>
        <w:jc w:val="both"/>
        <w:rPr>
          <w:rFonts w:hint="eastAsia" w:ascii="黑体" w:hAnsi="黑体" w:eastAsia="黑体" w:cs="黑体"/>
          <w:sz w:val="32"/>
          <w:szCs w:val="32"/>
          <w:lang w:eastAsia="zh-CN"/>
        </w:rPr>
      </w:pPr>
    </w:p>
    <w:p>
      <w:pPr>
        <w:numPr>
          <w:ilvl w:val="0"/>
          <w:numId w:val="2"/>
        </w:numPr>
        <w:ind w:left="0" w:leftChars="0" w:firstLine="600" w:firstLine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开发区招商引资工作经费绩效目标表</w:t>
      </w:r>
    </w:p>
    <w:tbl>
      <w:tblPr>
        <w:tblStyle w:val="7"/>
        <w:tblW w:w="4998" w:type="pct"/>
        <w:tblInd w:w="0" w:type="dxa"/>
        <w:shd w:val="clear" w:color="auto" w:fill="auto"/>
        <w:tblLayout w:type="autofit"/>
        <w:tblCellMar>
          <w:top w:w="0" w:type="dxa"/>
          <w:left w:w="108" w:type="dxa"/>
          <w:bottom w:w="0" w:type="dxa"/>
          <w:right w:w="108" w:type="dxa"/>
        </w:tblCellMar>
      </w:tblPr>
      <w:tblGrid>
        <w:gridCol w:w="1144"/>
        <w:gridCol w:w="2106"/>
        <w:gridCol w:w="1541"/>
        <w:gridCol w:w="1806"/>
        <w:gridCol w:w="1251"/>
        <w:gridCol w:w="1549"/>
      </w:tblGrid>
      <w:tr>
        <w:tblPrEx>
          <w:shd w:val="clear" w:color="auto" w:fill="auto"/>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招商引资投资额亿元以上5家</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企业投资额规模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企业投资额规模</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≥10000万</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54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亿元以上企业招商成本限额</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640"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新增就业岗位数量，提高区域经济发展</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≥300个</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bl>
    <w:p>
      <w:pPr>
        <w:numPr>
          <w:ilvl w:val="0"/>
          <w:numId w:val="0"/>
        </w:numPr>
        <w:ind w:left="600" w:leftChars="0"/>
        <w:jc w:val="both"/>
        <w:outlineLvl w:val="1"/>
        <w:rPr>
          <w:rFonts w:hint="default" w:ascii="方正仿宋_GBK" w:eastAsia="方正仿宋_GBK" w:cs="方正仿宋_GBK"/>
          <w:b/>
          <w:bCs/>
          <w:sz w:val="28"/>
          <w:szCs w:val="28"/>
          <w:highlight w:val="none"/>
          <w:lang w:val="en-US" w:eastAsia="zh-CN"/>
        </w:rPr>
      </w:pPr>
    </w:p>
    <w:p>
      <w:pPr>
        <w:numPr>
          <w:ilvl w:val="0"/>
          <w:numId w:val="2"/>
        </w:numPr>
        <w:ind w:left="0" w:leftChars="0" w:firstLine="600" w:firstLine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开发区投资环境宣传、项目包装、进出口贸易经费绩效目标表</w:t>
      </w:r>
    </w:p>
    <w:tbl>
      <w:tblPr>
        <w:tblStyle w:val="7"/>
        <w:tblW w:w="4998" w:type="pct"/>
        <w:tblInd w:w="0" w:type="dxa"/>
        <w:shd w:val="clear" w:color="auto" w:fill="auto"/>
        <w:tblLayout w:type="autofit"/>
        <w:tblCellMar>
          <w:top w:w="0" w:type="dxa"/>
          <w:left w:w="108" w:type="dxa"/>
          <w:bottom w:w="0" w:type="dxa"/>
          <w:right w:w="108" w:type="dxa"/>
        </w:tblCellMar>
      </w:tblPr>
      <w:tblGrid>
        <w:gridCol w:w="1266"/>
        <w:gridCol w:w="2106"/>
        <w:gridCol w:w="1418"/>
        <w:gridCol w:w="1640"/>
        <w:gridCol w:w="1547"/>
        <w:gridCol w:w="1420"/>
      </w:tblGrid>
      <w:tr>
        <w:tblPrEx>
          <w:shd w:val="clear" w:color="auto" w:fill="auto"/>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开发区投资环境宣传更好的招商引资</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6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引进企业招商成本限额</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进出口贸易金额</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进出口贸易金额</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≥2000万美元</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效益指标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新增就业岗位</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≥300个</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引资招商企业数量</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37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满意度指标</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引进企业满意度</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bl>
    <w:p>
      <w:pPr>
        <w:spacing w:line="300" w:lineRule="exact"/>
        <w:jc w:val="left"/>
        <w:rPr>
          <w:rFonts w:hint="eastAsia" w:ascii="方正书宋_GBK" w:eastAsia="方正书宋_GBK" w:cs="方正书宋_GBK"/>
          <w:lang w:val="en-US" w:eastAsia="zh-CN"/>
        </w:rPr>
      </w:pPr>
    </w:p>
    <w:p>
      <w:pPr>
        <w:numPr>
          <w:ilvl w:val="0"/>
          <w:numId w:val="2"/>
        </w:numPr>
        <w:ind w:left="0" w:leftChars="0" w:firstLine="600" w:firstLine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经开区法律、金融、纳税服务、经济运行分析及综合统计、集中受理限时办结经费绩效目标</w:t>
      </w:r>
    </w:p>
    <w:tbl>
      <w:tblPr>
        <w:tblStyle w:val="7"/>
        <w:tblW w:w="4997" w:type="pct"/>
        <w:tblInd w:w="0" w:type="dxa"/>
        <w:shd w:val="clear" w:color="auto" w:fill="auto"/>
        <w:tblLayout w:type="autofit"/>
        <w:tblCellMar>
          <w:top w:w="0" w:type="dxa"/>
          <w:left w:w="108" w:type="dxa"/>
          <w:bottom w:w="0" w:type="dxa"/>
          <w:right w:w="108" w:type="dxa"/>
        </w:tblCellMar>
      </w:tblPr>
      <w:tblGrid>
        <w:gridCol w:w="1131"/>
        <w:gridCol w:w="2106"/>
        <w:gridCol w:w="1601"/>
        <w:gridCol w:w="1843"/>
        <w:gridCol w:w="1121"/>
        <w:gridCol w:w="1593"/>
      </w:tblGrid>
      <w:tr>
        <w:tblPrEx>
          <w:shd w:val="clear" w:color="auto" w:fill="auto"/>
          <w:tblCellMar>
            <w:top w:w="0" w:type="dxa"/>
            <w:left w:w="108" w:type="dxa"/>
            <w:bottom w:w="0" w:type="dxa"/>
            <w:right w:w="108" w:type="dxa"/>
          </w:tblCellMar>
        </w:tblPrEx>
        <w:trPr>
          <w:trHeight w:val="375" w:hRule="atLeast"/>
        </w:trPr>
        <w:tc>
          <w:tcPr>
            <w:tcW w:w="63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976" w:type="pct"/>
            <w:tcBorders>
              <w:top w:val="single" w:color="000000" w:sz="4" w:space="0"/>
              <w:left w:val="single" w:color="000000" w:sz="4" w:space="0"/>
              <w:bottom w:val="nil"/>
              <w:right w:val="nil"/>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3391" w:type="pct"/>
            <w:gridSpan w:val="4"/>
            <w:tcBorders>
              <w:top w:val="single" w:color="000000" w:sz="4" w:space="0"/>
              <w:left w:val="nil"/>
              <w:bottom w:val="nil"/>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r>
      <w:tr>
        <w:tblPrEx>
          <w:tblCellMar>
            <w:top w:w="0" w:type="dxa"/>
            <w:left w:w="108" w:type="dxa"/>
            <w:bottom w:w="0" w:type="dxa"/>
            <w:right w:w="108" w:type="dxa"/>
          </w:tblCellMar>
        </w:tblPrEx>
        <w:trPr>
          <w:trHeight w:val="375" w:hRule="atLeast"/>
        </w:trPr>
        <w:tc>
          <w:tcPr>
            <w:tcW w:w="631" w:type="pct"/>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976" w:type="pct"/>
            <w:tcBorders>
              <w:top w:val="nil"/>
              <w:left w:val="single" w:color="000000" w:sz="4" w:space="0"/>
              <w:bottom w:val="single" w:color="000000" w:sz="4" w:space="0"/>
              <w:right w:val="nil"/>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3391" w:type="pct"/>
            <w:gridSpan w:val="4"/>
            <w:tcBorders>
              <w:top w:val="nil"/>
              <w:left w:val="nil"/>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提供开发区经济运行分析及集中受理办结</w:t>
            </w:r>
          </w:p>
        </w:tc>
      </w:tr>
      <w:tr>
        <w:tblPrEx>
          <w:tblCellMar>
            <w:top w:w="0" w:type="dxa"/>
            <w:left w:w="108" w:type="dxa"/>
            <w:bottom w:w="0" w:type="dxa"/>
            <w:right w:w="108" w:type="dxa"/>
          </w:tblCellMar>
        </w:tblPrEx>
        <w:trPr>
          <w:trHeight w:val="375"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8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62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7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675"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开发区事务园内按照规定时限办结率</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开发区事务园内按照规定时限办结率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8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按时完成经济运行分析及综合分析</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按统计部门要求完成经济运行分析的成本控制额</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≤5万</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统计部门通报</w:t>
            </w:r>
          </w:p>
        </w:tc>
      </w:tr>
      <w:tr>
        <w:tblPrEx>
          <w:tblCellMar>
            <w:top w:w="0" w:type="dxa"/>
            <w:left w:w="108" w:type="dxa"/>
            <w:bottom w:w="0" w:type="dxa"/>
            <w:right w:w="108" w:type="dxa"/>
          </w:tblCellMar>
        </w:tblPrEx>
        <w:trPr>
          <w:trHeight w:val="78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开发区事务园内集中受理</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开发区事务园内集中受理率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≥95%</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40"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打造园区可持续发展环境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40"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提供开发区内企业法律、金融、纳税等方面服务</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提供法律、金融、纳税服务</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省商务厅通报</w:t>
            </w:r>
          </w:p>
        </w:tc>
      </w:tr>
      <w:tr>
        <w:tblPrEx>
          <w:tblCellMar>
            <w:top w:w="0" w:type="dxa"/>
            <w:left w:w="108" w:type="dxa"/>
            <w:bottom w:w="0" w:type="dxa"/>
            <w:right w:w="108" w:type="dxa"/>
          </w:tblCellMar>
        </w:tblPrEx>
        <w:trPr>
          <w:trHeight w:val="700"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开发区内企业业主满意度</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开发区内企业业主满意度</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调查问卷</w:t>
            </w:r>
          </w:p>
        </w:tc>
      </w:tr>
    </w:tbl>
    <w:p>
      <w:pPr>
        <w:numPr>
          <w:ilvl w:val="0"/>
          <w:numId w:val="0"/>
        </w:numPr>
        <w:ind w:left="600" w:leftChars="0"/>
        <w:jc w:val="both"/>
        <w:outlineLvl w:val="1"/>
        <w:rPr>
          <w:rFonts w:hint="default" w:ascii="方正仿宋_GBK" w:eastAsia="方正仿宋_GBK" w:cs="方正仿宋_GBK"/>
          <w:b/>
          <w:bCs/>
          <w:sz w:val="28"/>
          <w:szCs w:val="28"/>
          <w:highlight w:val="none"/>
          <w:lang w:val="en-US" w:eastAsia="zh-CN"/>
        </w:rPr>
      </w:pPr>
    </w:p>
    <w:p>
      <w:pPr>
        <w:numPr>
          <w:ilvl w:val="0"/>
          <w:numId w:val="2"/>
        </w:numPr>
        <w:ind w:left="0" w:leftChars="0" w:firstLine="600" w:firstLineChars="0"/>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开发区财政体制补助资金绩效目标表</w:t>
      </w:r>
    </w:p>
    <w:p>
      <w:pPr>
        <w:widowControl w:val="0"/>
        <w:numPr>
          <w:ilvl w:val="0"/>
          <w:numId w:val="0"/>
        </w:numPr>
        <w:jc w:val="center"/>
        <w:outlineLvl w:val="1"/>
        <w:rPr>
          <w:rFonts w:hint="eastAsia" w:ascii="方正仿宋_GBK" w:eastAsia="方正仿宋_GBK" w:cs="方正仿宋_GBK"/>
          <w:b/>
          <w:bCs/>
          <w:sz w:val="28"/>
          <w:szCs w:val="28"/>
          <w:highlight w:val="none"/>
          <w:lang w:val="en-US" w:eastAsia="zh-CN"/>
        </w:rPr>
      </w:pPr>
    </w:p>
    <w:tbl>
      <w:tblPr>
        <w:tblStyle w:val="7"/>
        <w:tblW w:w="9120" w:type="dxa"/>
        <w:tblInd w:w="93" w:type="dxa"/>
        <w:shd w:val="clear" w:color="auto" w:fill="auto"/>
        <w:tblLayout w:type="autofit"/>
        <w:tblCellMar>
          <w:top w:w="0" w:type="dxa"/>
          <w:left w:w="108" w:type="dxa"/>
          <w:bottom w:w="0" w:type="dxa"/>
          <w:right w:w="108" w:type="dxa"/>
        </w:tblCellMar>
      </w:tblPr>
      <w:tblGrid>
        <w:gridCol w:w="1200"/>
        <w:gridCol w:w="2106"/>
        <w:gridCol w:w="1448"/>
        <w:gridCol w:w="1667"/>
        <w:gridCol w:w="1251"/>
        <w:gridCol w:w="1448"/>
      </w:tblGrid>
      <w:tr>
        <w:tblPrEx>
          <w:shd w:val="clear" w:color="auto" w:fill="auto"/>
          <w:tblCellMar>
            <w:top w:w="0" w:type="dxa"/>
            <w:left w:w="108" w:type="dxa"/>
            <w:bottom w:w="0" w:type="dxa"/>
            <w:right w:w="108" w:type="dxa"/>
          </w:tblCellMar>
        </w:tblPrEx>
        <w:trPr>
          <w:trHeight w:val="375" w:hRule="atLeast"/>
        </w:trPr>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绩效目标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目标1</w:t>
            </w:r>
          </w:p>
        </w:tc>
        <w:tc>
          <w:tcPr>
            <w:tcW w:w="6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增强开发区活力</w:t>
            </w:r>
          </w:p>
        </w:tc>
      </w:tr>
      <w:tr>
        <w:tblPrEx>
          <w:tblCellMar>
            <w:top w:w="0" w:type="dxa"/>
            <w:left w:w="108" w:type="dxa"/>
            <w:bottom w:w="0" w:type="dxa"/>
            <w:right w:w="108" w:type="dxa"/>
          </w:tblCellMar>
        </w:tblPrEx>
        <w:trPr>
          <w:trHeight w:val="375" w:hRule="atLeast"/>
        </w:trPr>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目标2</w:t>
            </w:r>
          </w:p>
        </w:tc>
        <w:tc>
          <w:tcPr>
            <w:tcW w:w="6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实行分税财政体制</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时效指标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成本指标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固定投资额年完成率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≤4万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实现分税财政体制</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实现分税财政体制,年纳税总额到达额度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≥15000万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经济效益指标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发挥财政体制的激励和引导作用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增强开发区活力</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增强开发区活动引进亿元以上规模企业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≥5家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服务对象满意度指标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园区内企业满意度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园区内企业满意度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hint="eastAsia" w:ascii="方正书宋_GBK" w:eastAsia="方正书宋_GBK" w:cs="方正书宋_GBK"/>
                <w:lang w:val="en-US" w:eastAsia="zh-CN"/>
              </w:rPr>
            </w:pPr>
            <w:r>
              <w:rPr>
                <w:rFonts w:hint="eastAsia" w:ascii="方正书宋_GBK" w:eastAsia="方正书宋_GBK" w:cs="方正书宋_GBK"/>
                <w:lang w:val="en-US" w:eastAsia="zh-CN"/>
              </w:rPr>
              <w:t>商务厅考核通报</w:t>
            </w:r>
          </w:p>
        </w:tc>
      </w:tr>
    </w:tbl>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spacing w:line="300" w:lineRule="exact"/>
        <w:jc w:val="left"/>
        <w:rPr>
          <w:rFonts w:ascii="Times New Roman" w:hAnsi="Times New Roman" w:eastAsia="仿宋"/>
          <w:sz w:val="32"/>
          <w:szCs w:val="32"/>
        </w:rPr>
      </w:pPr>
      <w:bookmarkStart w:id="2"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sz w:val="32"/>
          <w:szCs w:val="32"/>
        </w:rPr>
      </w:pPr>
      <w:bookmarkStart w:id="3" w:name="_Toc535404684"/>
      <w:r>
        <w:rPr>
          <w:rFonts w:hint="eastAsia" w:ascii="方正小标宋_GBK" w:eastAsia="方正小标宋_GBK" w:cs="方正小标宋_GBK"/>
          <w:sz w:val="32"/>
          <w:szCs w:val="32"/>
        </w:rPr>
        <w:t>部门政府采购预算</w:t>
      </w:r>
      <w:bookmarkEnd w:id="3"/>
    </w:p>
    <w:tbl>
      <w:tblPr>
        <w:tblStyle w:val="7"/>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lang w:eastAsia="zh-CN"/>
              </w:rPr>
              <w:t>河北馆陶经济开发区管理委员会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hint="eastAsia" w:ascii="方正书宋_GBK" w:eastAsia="方正书宋_GBK"/>
                <w:b/>
                <w:bCs/>
                <w:lang w:val="en-US" w:eastAsia="zh-CN"/>
              </w:rPr>
            </w:pPr>
            <w:r>
              <w:rPr>
                <w:rFonts w:hint="eastAsia" w:ascii="方正书宋_GBK" w:eastAsia="方正书宋_GBK"/>
                <w:b/>
                <w:bCs/>
                <w:lang w:val="en-US" w:eastAsia="zh-CN"/>
              </w:rPr>
              <w:t>0</w:t>
            </w:r>
          </w:p>
        </w:tc>
        <w:tc>
          <w:tcPr>
            <w:tcW w:w="634" w:type="dxa"/>
            <w:vAlign w:val="center"/>
          </w:tcPr>
          <w:p>
            <w:pPr>
              <w:spacing w:line="300" w:lineRule="exact"/>
              <w:ind w:right="105"/>
              <w:jc w:val="right"/>
              <w:rPr>
                <w:rFonts w:hint="eastAsia" w:ascii="方正书宋_GBK" w:eastAsia="方正书宋_GBK"/>
                <w:b/>
                <w:bCs/>
                <w:lang w:val="en-US" w:eastAsia="zh-CN"/>
              </w:rPr>
            </w:pPr>
            <w:r>
              <w:rPr>
                <w:rFonts w:hint="eastAsia" w:ascii="方正书宋_GBK" w:eastAsia="方正书宋_GBK"/>
                <w:b/>
                <w:bCs/>
                <w:lang w:val="en-US" w:eastAsia="zh-CN"/>
              </w:rPr>
              <w:t>0</w:t>
            </w: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240" w:lineRule="auto"/>
              <w:jc w:val="left"/>
              <w:rPr>
                <w:rFonts w:hint="eastAsia" w:ascii="方正书宋_GBK" w:hAnsi="Calibri" w:eastAsia="方正书宋_GBK" w:cs="Calibri"/>
                <w:b w:val="0"/>
                <w:bCs w:val="0"/>
                <w:kern w:val="2"/>
                <w:sz w:val="21"/>
                <w:szCs w:val="21"/>
                <w:lang w:val="en-US" w:eastAsia="zh-CN" w:bidi="ar-SA"/>
              </w:rPr>
            </w:pPr>
          </w:p>
        </w:tc>
        <w:tc>
          <w:tcPr>
            <w:tcW w:w="840" w:type="dxa"/>
            <w:vAlign w:val="center"/>
          </w:tcPr>
          <w:p>
            <w:pPr>
              <w:spacing w:line="300" w:lineRule="exact"/>
              <w:jc w:val="right"/>
              <w:rPr>
                <w:rFonts w:hint="eastAsia" w:ascii="方正书宋_GBK" w:hAnsi="Calibri" w:eastAsia="方正书宋_GBK" w:cs="Calibri"/>
                <w:b w:val="0"/>
                <w:bCs w:val="0"/>
                <w:kern w:val="2"/>
                <w:sz w:val="21"/>
                <w:szCs w:val="21"/>
                <w:lang w:val="en-US" w:eastAsia="zh-CN" w:bidi="ar-SA"/>
              </w:rPr>
            </w:pPr>
          </w:p>
        </w:tc>
        <w:tc>
          <w:tcPr>
            <w:tcW w:w="593" w:type="dxa"/>
            <w:vAlign w:val="center"/>
          </w:tcPr>
          <w:p>
            <w:pPr>
              <w:spacing w:line="300" w:lineRule="exact"/>
              <w:jc w:val="left"/>
              <w:rPr>
                <w:rFonts w:hint="eastAsia" w:ascii="方正书宋_GBK" w:hAnsi="Calibri" w:eastAsia="方正书宋_GBK" w:cs="Calibri"/>
                <w:b w:val="0"/>
                <w:bCs w:val="0"/>
                <w:kern w:val="2"/>
                <w:sz w:val="21"/>
                <w:szCs w:val="21"/>
                <w:lang w:val="en-US" w:eastAsia="zh-CN" w:bidi="ar-SA"/>
              </w:rPr>
            </w:pPr>
          </w:p>
        </w:tc>
        <w:tc>
          <w:tcPr>
            <w:tcW w:w="814" w:type="dxa"/>
            <w:vAlign w:val="center"/>
          </w:tcPr>
          <w:p>
            <w:pPr>
              <w:spacing w:line="300" w:lineRule="exact"/>
              <w:jc w:val="left"/>
              <w:rPr>
                <w:rFonts w:ascii="方正书宋_GBK" w:hAnsi="Calibri" w:eastAsia="方正书宋_GBK" w:cs="Calibri"/>
                <w:b w:val="0"/>
                <w:bCs w:val="0"/>
                <w:kern w:val="2"/>
                <w:sz w:val="21"/>
                <w:szCs w:val="21"/>
                <w:lang w:val="en-US" w:eastAsia="zh-CN" w:bidi="ar-SA"/>
              </w:rPr>
            </w:pPr>
          </w:p>
        </w:tc>
        <w:tc>
          <w:tcPr>
            <w:tcW w:w="481" w:type="dxa"/>
            <w:vAlign w:val="center"/>
          </w:tcPr>
          <w:p>
            <w:pPr>
              <w:spacing w:line="300" w:lineRule="exact"/>
              <w:jc w:val="left"/>
              <w:rPr>
                <w:rFonts w:hint="eastAsia" w:ascii="方正书宋_GBK" w:hAnsi="Calibri" w:eastAsia="方正书宋_GBK" w:cs="Calibri"/>
                <w:b w:val="0"/>
                <w:bCs w:val="0"/>
                <w:kern w:val="2"/>
                <w:sz w:val="21"/>
                <w:szCs w:val="21"/>
                <w:lang w:val="en-US" w:eastAsia="zh-CN" w:bidi="ar-SA"/>
              </w:rPr>
            </w:pPr>
          </w:p>
        </w:tc>
        <w:tc>
          <w:tcPr>
            <w:tcW w:w="481" w:type="dxa"/>
            <w:vAlign w:val="center"/>
          </w:tcPr>
          <w:p>
            <w:pPr>
              <w:spacing w:line="300" w:lineRule="exact"/>
              <w:ind w:right="105"/>
              <w:jc w:val="right"/>
              <w:rPr>
                <w:rFonts w:hint="eastAsia" w:ascii="方正书宋_GBK" w:hAnsi="Calibri" w:eastAsia="方正书宋_GBK" w:cs="Calibri"/>
                <w:b w:val="0"/>
                <w:bCs w:val="0"/>
                <w:kern w:val="2"/>
                <w:sz w:val="21"/>
                <w:szCs w:val="21"/>
                <w:lang w:val="en-US" w:eastAsia="zh-CN" w:bidi="ar-SA"/>
              </w:rPr>
            </w:pPr>
          </w:p>
        </w:tc>
        <w:tc>
          <w:tcPr>
            <w:tcW w:w="525" w:type="dxa"/>
            <w:vAlign w:val="center"/>
          </w:tcPr>
          <w:p>
            <w:pPr>
              <w:spacing w:line="300" w:lineRule="exact"/>
              <w:jc w:val="right"/>
              <w:rPr>
                <w:rFonts w:hint="eastAsia" w:ascii="方正书宋_GBK" w:hAnsi="Calibri" w:eastAsia="方正书宋_GBK" w:cs="Calibri"/>
                <w:b w:val="0"/>
                <w:bCs w:val="0"/>
                <w:kern w:val="2"/>
                <w:sz w:val="21"/>
                <w:szCs w:val="21"/>
                <w:lang w:val="en-US" w:eastAsia="zh-CN" w:bidi="ar-SA"/>
              </w:rPr>
            </w:pPr>
          </w:p>
        </w:tc>
        <w:tc>
          <w:tcPr>
            <w:tcW w:w="681" w:type="dxa"/>
            <w:vAlign w:val="center"/>
          </w:tcPr>
          <w:p>
            <w:pPr>
              <w:spacing w:line="300" w:lineRule="exact"/>
              <w:jc w:val="right"/>
              <w:rPr>
                <w:rFonts w:hint="eastAsia" w:ascii="方正书宋_GBK" w:hAnsi="Calibri" w:eastAsia="方正书宋_GBK" w:cs="Calibri"/>
                <w:b w:val="0"/>
                <w:bCs w:val="0"/>
                <w:kern w:val="2"/>
                <w:sz w:val="21"/>
                <w:szCs w:val="21"/>
                <w:lang w:val="en-US" w:eastAsia="zh-CN" w:bidi="ar-SA"/>
              </w:rPr>
            </w:pPr>
          </w:p>
        </w:tc>
        <w:tc>
          <w:tcPr>
            <w:tcW w:w="634" w:type="dxa"/>
            <w:vAlign w:val="center"/>
          </w:tcPr>
          <w:p>
            <w:pPr>
              <w:spacing w:line="300" w:lineRule="exact"/>
              <w:jc w:val="right"/>
              <w:rPr>
                <w:rFonts w:hint="eastAsia" w:ascii="方正书宋_GBK" w:hAnsi="Calibri" w:eastAsia="方正书宋_GBK" w:cs="Calibri"/>
                <w:b w:val="0"/>
                <w:bCs w:val="0"/>
                <w:kern w:val="2"/>
                <w:sz w:val="21"/>
                <w:szCs w:val="21"/>
                <w:lang w:val="en-US" w:eastAsia="zh-CN" w:bidi="ar-SA"/>
              </w:rPr>
            </w:pPr>
          </w:p>
        </w:tc>
        <w:tc>
          <w:tcPr>
            <w:tcW w:w="476" w:type="dxa"/>
            <w:vAlign w:val="center"/>
          </w:tcPr>
          <w:p>
            <w:pPr>
              <w:spacing w:line="300" w:lineRule="exact"/>
              <w:jc w:val="right"/>
              <w:rPr>
                <w:rFonts w:hint="eastAsia" w:ascii="方正书宋_GBK" w:hAnsi="Calibri" w:eastAsia="方正书宋_GBK" w:cs="Calibri"/>
                <w:b w:val="0"/>
                <w:bCs w:val="0"/>
                <w:kern w:val="2"/>
                <w:sz w:val="21"/>
                <w:szCs w:val="21"/>
                <w:lang w:val="en-US" w:eastAsia="zh-CN" w:bidi="ar-SA"/>
              </w:rPr>
            </w:pPr>
          </w:p>
        </w:tc>
        <w:tc>
          <w:tcPr>
            <w:tcW w:w="583" w:type="dxa"/>
            <w:vAlign w:val="center"/>
          </w:tcPr>
          <w:p>
            <w:pPr>
              <w:spacing w:line="300" w:lineRule="exact"/>
              <w:jc w:val="right"/>
              <w:rPr>
                <w:rFonts w:ascii="方正书宋_GBK" w:hAnsi="Calibri" w:eastAsia="方正书宋_GBK" w:cs="Calibri"/>
                <w:b w:val="0"/>
                <w:bCs w:val="0"/>
                <w:kern w:val="2"/>
                <w:sz w:val="21"/>
                <w:szCs w:val="21"/>
                <w:lang w:val="en-US" w:eastAsia="zh-CN" w:bidi="ar-SA"/>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val="en-US" w:eastAsia="zh-CN"/>
        </w:rPr>
        <w:t>2021</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30.24</w:t>
      </w:r>
      <w:r>
        <w:rPr>
          <w:rFonts w:hint="eastAsia" w:ascii="Times New Roman" w:hAnsi="Times New Roman" w:eastAsia="仿宋" w:cs="仿宋"/>
          <w:color w:val="000000"/>
          <w:sz w:val="32"/>
          <w:szCs w:val="32"/>
        </w:rPr>
        <w:t>万元（详见下表），本年度各单位（科室）拟购置固定资产总额为</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仿宋"/>
          <w:color w:val="000000"/>
          <w:sz w:val="32"/>
          <w:szCs w:val="32"/>
        </w:rPr>
        <w:t>万元。</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color w:val="FF0000"/>
                <w:kern w:val="0"/>
                <w:sz w:val="22"/>
                <w:lang w:val="en-US" w:eastAsia="zh-CN"/>
              </w:rPr>
              <w:t>30.24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Calibri"/>
                <w:kern w:val="0"/>
                <w:sz w:val="22"/>
                <w:szCs w:val="22"/>
                <w:lang w:val="en-US" w:eastAsia="zh-CN" w:bidi="ar-SA"/>
              </w:rPr>
            </w:pPr>
            <w:r>
              <w:rPr>
                <w:rFonts w:hint="eastAsia" w:ascii="Times New Roman" w:hAnsi="Times New Roman" w:eastAsia="仿宋"/>
                <w:kern w:val="0"/>
                <w:sz w:val="22"/>
                <w:szCs w:val="22"/>
                <w:lang w:val="en-US" w:eastAsia="zh-CN"/>
              </w:rPr>
              <w:t>451.63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Calibri"/>
                <w:kern w:val="0"/>
                <w:sz w:val="22"/>
                <w:szCs w:val="22"/>
                <w:lang w:val="en-US" w:eastAsia="zh-CN" w:bidi="ar-SA"/>
              </w:rPr>
            </w:pPr>
            <w:r>
              <w:rPr>
                <w:rFonts w:hint="eastAsia" w:ascii="Times New Roman" w:hAnsi="Times New Roman" w:eastAsia="仿宋"/>
                <w:kern w:val="0"/>
                <w:sz w:val="22"/>
                <w:szCs w:val="22"/>
                <w:lang w:val="en-US" w:eastAsia="zh-CN"/>
              </w:rPr>
              <w:t>217.63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30.24</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1、一般公共预算拨款收入：指县级财政当年拨付的资金。</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2、事业收入：指事业单位开展专业业务活动及辅助活动所取得的收入。</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3、其他收入：指除“一般公共预算拨款收入”、“事业收入”等以外的收入。主要是按规定动用的租房收入、存款利息收入等。</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4、基本支出：指为保障机构正常运转、完成日常工作任务而发生的人员支出和公用支出。</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5、项目支出：指在基本支出之外为完成特定行政任务和事业发展目标所发生的支出。</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6、“三公”经费：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7、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8、上年结转：指以前年度尚未完成、结转到本年仍按原规定用途继续使用的资金。</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9、事业单位经营支出：指事业单位在专业业务活动及其辅助活动之外开展非独立核算经营活动发生的支出。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firstLine="600"/>
      </w:pPr>
      <w:rPr>
        <w:rFonts w:hint="default" w:ascii="仿宋" w:hAnsi="仿宋" w:eastAsia="仿宋"/>
        <w:b/>
        <w:bCs/>
        <w:i w:val="0"/>
        <w:strike w:val="0"/>
        <w:color w:val="000000"/>
        <w:position w:val="0"/>
        <w:sz w:val="30"/>
        <w:u w:val="none"/>
        <w:shd w:val="clear" w:color="auto" w:fill="FFFFFF"/>
      </w:rPr>
    </w:lvl>
  </w:abstractNum>
  <w:abstractNum w:abstractNumId="1">
    <w:nsid w:val="40C193D3"/>
    <w:multiLevelType w:val="singleLevel"/>
    <w:tmpl w:val="40C193D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5764A"/>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1206BE0"/>
    <w:rsid w:val="0EE2455C"/>
    <w:rsid w:val="14EA4F80"/>
    <w:rsid w:val="18437F9A"/>
    <w:rsid w:val="1F7747F5"/>
    <w:rsid w:val="241D6BD8"/>
    <w:rsid w:val="25C00DCF"/>
    <w:rsid w:val="265A0FE8"/>
    <w:rsid w:val="2B8A41FC"/>
    <w:rsid w:val="2D1E7711"/>
    <w:rsid w:val="2DC45289"/>
    <w:rsid w:val="397976F7"/>
    <w:rsid w:val="3A4D569F"/>
    <w:rsid w:val="3D540955"/>
    <w:rsid w:val="447A18E8"/>
    <w:rsid w:val="457A6FFB"/>
    <w:rsid w:val="490C76EF"/>
    <w:rsid w:val="50637ABB"/>
    <w:rsid w:val="52E46038"/>
    <w:rsid w:val="57534CCB"/>
    <w:rsid w:val="582F0889"/>
    <w:rsid w:val="622D537A"/>
    <w:rsid w:val="68B1298A"/>
    <w:rsid w:val="68CC78CA"/>
    <w:rsid w:val="6DA45D67"/>
    <w:rsid w:val="711E5750"/>
    <w:rsid w:val="7AB363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Char"/>
    <w:link w:val="2"/>
    <w:semiHidden/>
    <w:qFormat/>
    <w:locked/>
    <w:uiPriority w:val="99"/>
    <w:rPr>
      <w:rFonts w:ascii="Times New Roman" w:hAnsi="Times New Roman" w:eastAsia="宋体" w:cs="Times New Roman"/>
      <w:sz w:val="18"/>
      <w:szCs w:val="18"/>
    </w:rPr>
  </w:style>
  <w:style w:type="character" w:customStyle="1" w:styleId="11">
    <w:name w:val="页眉 Char"/>
    <w:link w:val="3"/>
    <w:semiHidden/>
    <w:qFormat/>
    <w:locked/>
    <w:uiPriority w:val="99"/>
    <w:rPr>
      <w:rFonts w:ascii="Times New Roman" w:hAnsi="Times New Roman" w:eastAsia="宋体" w:cs="Times New Roman"/>
      <w:sz w:val="18"/>
      <w:szCs w:val="18"/>
    </w:rPr>
  </w:style>
  <w:style w:type="character" w:customStyle="1" w:styleId="12">
    <w:name w:val="脚注文本 Char"/>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character" w:customStyle="1" w:styleId="15">
    <w:name w:val="font31"/>
    <w:basedOn w:val="8"/>
    <w:qFormat/>
    <w:uiPriority w:val="0"/>
    <w:rPr>
      <w:rFonts w:hint="eastAsia" w:ascii="宋体" w:hAnsi="宋体" w:eastAsia="宋体" w:cs="宋体"/>
      <w:strike/>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6585</Words>
  <Characters>6839</Characters>
  <Lines>15</Lines>
  <Paragraphs>4</Paragraphs>
  <TotalTime>0</TotalTime>
  <ScaleCrop>false</ScaleCrop>
  <LinksUpToDate>false</LinksUpToDate>
  <CharactersWithSpaces>6850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2024-05-28T03:08:27Z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DCDA0D01F1FC46E09040F09C498AC1E9</vt:lpwstr>
  </property>
</Properties>
</file>