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83" w:firstLineChars="200"/>
        <w:jc w:val="center"/>
        <w:rPr>
          <w:rFonts w:ascii="宋体"/>
          <w:b/>
          <w:sz w:val="44"/>
          <w:szCs w:val="44"/>
        </w:rPr>
      </w:pPr>
    </w:p>
    <w:p>
      <w:pPr>
        <w:ind w:firstLine="883" w:firstLineChars="200"/>
        <w:jc w:val="center"/>
        <w:rPr>
          <w:rFonts w:ascii="宋体"/>
          <w:b/>
          <w:sz w:val="44"/>
          <w:szCs w:val="44"/>
        </w:rPr>
      </w:pPr>
      <w:r>
        <w:rPr>
          <w:rFonts w:hint="eastAsia" w:ascii="宋体" w:hAnsi="宋体"/>
          <w:b/>
          <w:sz w:val="44"/>
          <w:szCs w:val="44"/>
        </w:rPr>
        <w:t>馆陶县</w:t>
      </w:r>
      <w:r>
        <w:rPr>
          <w:rFonts w:hint="eastAsia" w:ascii="宋体" w:hAnsi="宋体"/>
          <w:b/>
          <w:sz w:val="44"/>
          <w:szCs w:val="44"/>
          <w:lang w:eastAsia="zh-CN"/>
        </w:rPr>
        <w:t>总工会</w:t>
      </w:r>
      <w:r>
        <w:rPr>
          <w:rFonts w:ascii="宋体" w:hAnsi="宋体"/>
          <w:b/>
          <w:sz w:val="44"/>
          <w:szCs w:val="44"/>
        </w:rPr>
        <w:t>201</w:t>
      </w:r>
      <w:r>
        <w:rPr>
          <w:rFonts w:hint="eastAsia" w:ascii="宋体" w:hAnsi="宋体"/>
          <w:b/>
          <w:sz w:val="44"/>
          <w:szCs w:val="44"/>
          <w:lang w:val="en-US" w:eastAsia="zh-CN"/>
        </w:rPr>
        <w:t>9</w:t>
      </w:r>
      <w:r>
        <w:rPr>
          <w:rFonts w:hint="eastAsia" w:ascii="宋体" w:hAnsi="宋体"/>
          <w:b/>
          <w:sz w:val="44"/>
          <w:szCs w:val="44"/>
        </w:rPr>
        <w:t>年部门预算信息公开</w:t>
      </w:r>
    </w:p>
    <w:p>
      <w:pPr>
        <w:ind w:firstLine="640" w:firstLineChars="200"/>
        <w:rPr>
          <w:rFonts w:ascii="仿宋_GB2312" w:hAnsi="Times New Roman" w:eastAsia="仿宋_GB2312"/>
          <w:sz w:val="32"/>
          <w:szCs w:val="32"/>
        </w:rPr>
      </w:pPr>
    </w:p>
    <w:p>
      <w:pPr>
        <w:ind w:firstLine="640" w:firstLineChars="200"/>
        <w:rPr>
          <w:rFonts w:ascii="仿宋_GB2312" w:hAnsi="Times New Roman" w:eastAsia="仿宋_GB2312"/>
          <w:sz w:val="32"/>
          <w:szCs w:val="32"/>
        </w:rPr>
      </w:pPr>
      <w:r>
        <w:rPr>
          <w:rFonts w:hint="eastAsia" w:ascii="仿宋_GB2312" w:hAnsi="Times New Roman" w:eastAsia="仿宋_GB2312"/>
          <w:sz w:val="32"/>
          <w:szCs w:val="32"/>
        </w:rPr>
        <w:t>按照《</w:t>
      </w:r>
      <w:r>
        <w:rPr>
          <w:rFonts w:hint="eastAsia" w:ascii="仿宋_GB2312" w:hAnsi="Times New Roman" w:eastAsia="仿宋_GB2312"/>
          <w:sz w:val="32"/>
          <w:szCs w:val="32"/>
          <w:lang w:eastAsia="zh-CN"/>
        </w:rPr>
        <w:t>中华人民共和国</w:t>
      </w:r>
      <w:bookmarkStart w:id="3" w:name="_GoBack"/>
      <w:bookmarkEnd w:id="3"/>
      <w:r>
        <w:rPr>
          <w:rFonts w:hint="eastAsia" w:ascii="仿宋_GB2312" w:hAnsi="Times New Roman" w:eastAsia="仿宋_GB2312"/>
          <w:sz w:val="32"/>
          <w:szCs w:val="32"/>
        </w:rPr>
        <w:t>预算法》、《地方预决算公开操作规程》和《河北省省级预算公开办法》规定，现将我单位</w:t>
      </w:r>
      <w:r>
        <w:rPr>
          <w:rFonts w:ascii="仿宋_GB2312" w:hAnsi="Times New Roman" w:eastAsia="仿宋_GB2312"/>
          <w:sz w:val="32"/>
          <w:szCs w:val="32"/>
        </w:rPr>
        <w:t>201</w:t>
      </w:r>
      <w:r>
        <w:rPr>
          <w:rFonts w:hint="eastAsia" w:ascii="仿宋_GB2312" w:hAnsi="Times New Roman" w:eastAsia="仿宋_GB2312"/>
          <w:sz w:val="32"/>
          <w:szCs w:val="32"/>
          <w:lang w:val="en-US" w:eastAsia="zh-CN"/>
        </w:rPr>
        <w:t>9</w:t>
      </w:r>
      <w:r>
        <w:rPr>
          <w:rFonts w:hint="eastAsia" w:ascii="仿宋_GB2312" w:hAnsi="Times New Roman" w:eastAsia="仿宋_GB2312"/>
          <w:sz w:val="32"/>
          <w:szCs w:val="32"/>
        </w:rPr>
        <w:t>年部门预算公开如下：</w:t>
      </w:r>
    </w:p>
    <w:p>
      <w:pPr>
        <w:ind w:firstLine="640"/>
        <w:rPr>
          <w:rFonts w:ascii="黑体" w:hAnsi="黑体" w:eastAsia="黑体"/>
          <w:b/>
          <w:sz w:val="32"/>
          <w:szCs w:val="32"/>
        </w:rPr>
      </w:pPr>
      <w:r>
        <w:rPr>
          <w:rFonts w:hint="eastAsia" w:ascii="黑体" w:hAnsi="黑体" w:eastAsia="黑体"/>
          <w:b/>
          <w:sz w:val="32"/>
          <w:szCs w:val="32"/>
        </w:rPr>
        <w:t>一、部门职责及机构设置情况</w:t>
      </w:r>
    </w:p>
    <w:p>
      <w:pPr>
        <w:ind w:firstLine="643" w:firstLineChars="200"/>
        <w:rPr>
          <w:rFonts w:ascii="黑体" w:hAnsi="Times New Roman" w:eastAsia="黑体"/>
          <w:b/>
          <w:sz w:val="32"/>
          <w:szCs w:val="32"/>
        </w:rPr>
      </w:pPr>
      <w:r>
        <w:rPr>
          <w:rFonts w:hint="eastAsia" w:ascii="黑体" w:hAnsi="Times New Roman" w:eastAsia="黑体"/>
          <w:b/>
          <w:sz w:val="32"/>
          <w:szCs w:val="32"/>
        </w:rPr>
        <w:t>部门职责：</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主要职能是：</w:t>
      </w:r>
    </w:p>
    <w:p>
      <w:pPr>
        <w:spacing w:line="240" w:lineRule="atLeast"/>
        <w:ind w:left="640"/>
        <w:rPr>
          <w:rFonts w:ascii="仿宋" w:hAnsi="仿宋" w:eastAsia="仿宋" w:cs="仿宋"/>
          <w:b/>
          <w:sz w:val="32"/>
          <w:szCs w:val="32"/>
        </w:rPr>
      </w:pPr>
      <w:r>
        <w:rPr>
          <w:rFonts w:hint="eastAsia" w:ascii="仿宋" w:hAnsi="仿宋" w:eastAsia="仿宋" w:cs="仿宋"/>
          <w:b/>
          <w:sz w:val="32"/>
          <w:szCs w:val="32"/>
        </w:rPr>
        <w:t>（一）主要职责</w:t>
      </w:r>
    </w:p>
    <w:p>
      <w:pPr>
        <w:spacing w:line="111" w:lineRule="exact"/>
        <w:rPr>
          <w:rFonts w:ascii="仿宋" w:hAnsi="仿宋" w:eastAsia="仿宋" w:cs="仿宋"/>
          <w:sz w:val="32"/>
          <w:szCs w:val="32"/>
        </w:rPr>
      </w:pPr>
    </w:p>
    <w:p>
      <w:pPr>
        <w:ind w:firstLine="640" w:firstLineChars="200"/>
        <w:rPr>
          <w:rFonts w:hint="eastAsia" w:ascii="仿宋_GB2312" w:hAnsi="Times New Roman" w:eastAsia="仿宋_GB2312"/>
          <w:sz w:val="32"/>
          <w:szCs w:val="32"/>
        </w:rPr>
      </w:pPr>
      <w:r>
        <w:rPr>
          <w:rFonts w:hint="eastAsia" w:ascii="仿宋_GB2312" w:hAnsi="Times New Roman" w:eastAsia="仿宋_GB2312"/>
          <w:sz w:val="32"/>
          <w:szCs w:val="32"/>
        </w:rPr>
        <w:t>一、主要职责</w:t>
      </w:r>
    </w:p>
    <w:p>
      <w:pPr>
        <w:ind w:firstLine="640" w:firstLineChars="200"/>
        <w:rPr>
          <w:rFonts w:hint="eastAsia" w:ascii="仿宋_GB2312" w:hAnsi="Times New Roman" w:eastAsia="仿宋_GB2312"/>
          <w:sz w:val="32"/>
          <w:szCs w:val="32"/>
        </w:rPr>
      </w:pPr>
      <w:r>
        <w:rPr>
          <w:rFonts w:hint="eastAsia" w:ascii="仿宋_GB2312" w:hAnsi="Times New Roman" w:eastAsia="仿宋_GB2312"/>
          <w:sz w:val="32"/>
          <w:szCs w:val="32"/>
        </w:rPr>
        <w:t>根据《馆陶县人民政府办公室关于县总工会职能配置、内设机构和人员编制方案》规定，总工会的主要职责是：</w:t>
      </w:r>
    </w:p>
    <w:p>
      <w:pPr>
        <w:ind w:firstLine="640" w:firstLineChars="200"/>
        <w:rPr>
          <w:rFonts w:hint="eastAsia" w:ascii="仿宋_GB2312" w:hAnsi="Times New Roman" w:eastAsia="仿宋_GB2312"/>
          <w:sz w:val="32"/>
          <w:szCs w:val="32"/>
        </w:rPr>
      </w:pPr>
      <w:r>
        <w:rPr>
          <w:rFonts w:hint="eastAsia" w:ascii="仿宋_GB2312" w:hAnsi="Times New Roman" w:eastAsia="仿宋_GB2312"/>
          <w:sz w:val="32"/>
          <w:szCs w:val="32"/>
        </w:rPr>
        <w:t xml:space="preserve">   （一）根据党的基本理论、基本路线、基本纲领和工运方针，贯彻执行中国工会全国代表大会、省市工会代表大会和县工会代表大会确定的方针任务和做出的决议。</w:t>
      </w:r>
    </w:p>
    <w:p>
      <w:pPr>
        <w:ind w:firstLine="640" w:firstLineChars="200"/>
        <w:rPr>
          <w:rFonts w:hint="eastAsia" w:ascii="仿宋_GB2312" w:hAnsi="Times New Roman" w:eastAsia="仿宋_GB2312"/>
          <w:sz w:val="32"/>
          <w:szCs w:val="32"/>
        </w:rPr>
      </w:pPr>
      <w:r>
        <w:rPr>
          <w:rFonts w:hint="eastAsia" w:ascii="仿宋_GB2312" w:hAnsi="Times New Roman" w:eastAsia="仿宋_GB2312"/>
          <w:sz w:val="32"/>
          <w:szCs w:val="32"/>
        </w:rPr>
        <w:t xml:space="preserve">   （二）依照法律和《中国工会章程》，组织和指导全县各级工会坚定不移地落实党的全心全意依靠工人阶级的根本指导方针，进一步突出和履行维护职能。</w:t>
      </w:r>
    </w:p>
    <w:p>
      <w:pPr>
        <w:ind w:firstLine="640" w:firstLineChars="200"/>
        <w:rPr>
          <w:rFonts w:hint="eastAsia" w:ascii="仿宋_GB2312" w:hAnsi="Times New Roman" w:eastAsia="仿宋_GB2312"/>
          <w:sz w:val="32"/>
          <w:szCs w:val="32"/>
        </w:rPr>
      </w:pPr>
      <w:r>
        <w:rPr>
          <w:rFonts w:hint="eastAsia" w:ascii="仿宋_GB2312" w:hAnsi="Times New Roman" w:eastAsia="仿宋_GB2312"/>
          <w:sz w:val="32"/>
          <w:szCs w:val="32"/>
        </w:rPr>
        <w:t xml:space="preserve">   （三）围绕职工合法权益的重大问题进行调查研究，向县委、县政府和市总工会反应职工群众的思想、愿望和要求，提出意见和建议。</w:t>
      </w:r>
    </w:p>
    <w:p>
      <w:pPr>
        <w:ind w:firstLine="640" w:firstLineChars="200"/>
        <w:rPr>
          <w:rFonts w:hint="eastAsia" w:ascii="仿宋_GB2312" w:hAnsi="Times New Roman" w:eastAsia="仿宋_GB2312"/>
          <w:sz w:val="32"/>
          <w:szCs w:val="32"/>
        </w:rPr>
      </w:pPr>
      <w:r>
        <w:rPr>
          <w:rFonts w:hint="eastAsia" w:ascii="仿宋_GB2312" w:hAnsi="Times New Roman" w:eastAsia="仿宋_GB2312"/>
          <w:sz w:val="32"/>
          <w:szCs w:val="32"/>
        </w:rPr>
        <w:t xml:space="preserve">   （四）负责工会理论政策研究，指导基层工会开展群众性经济技术创新活动。</w:t>
      </w:r>
    </w:p>
    <w:p>
      <w:pPr>
        <w:ind w:firstLine="640" w:firstLineChars="200"/>
        <w:rPr>
          <w:rFonts w:hint="eastAsia" w:ascii="仿宋_GB2312" w:hAnsi="Times New Roman" w:eastAsia="仿宋_GB2312"/>
          <w:sz w:val="32"/>
          <w:szCs w:val="32"/>
        </w:rPr>
      </w:pPr>
      <w:r>
        <w:rPr>
          <w:rFonts w:hint="eastAsia" w:ascii="仿宋_GB2312" w:hAnsi="Times New Roman" w:eastAsia="仿宋_GB2312"/>
          <w:sz w:val="32"/>
          <w:szCs w:val="32"/>
        </w:rPr>
        <w:t xml:space="preserve">   （五）协助基层党组织管理基层工会领导干部，负责县工会和基层单位工会领导干部的培训工作。</w:t>
      </w:r>
    </w:p>
    <w:p>
      <w:pPr>
        <w:ind w:firstLine="640" w:firstLineChars="200"/>
        <w:rPr>
          <w:rFonts w:hint="eastAsia" w:ascii="仿宋_GB2312" w:hAnsi="Times New Roman" w:eastAsia="仿宋_GB2312"/>
          <w:sz w:val="32"/>
          <w:szCs w:val="32"/>
        </w:rPr>
      </w:pPr>
      <w:r>
        <w:rPr>
          <w:rFonts w:hint="eastAsia" w:ascii="仿宋_GB2312" w:hAnsi="Times New Roman" w:eastAsia="仿宋_GB2312"/>
          <w:sz w:val="32"/>
          <w:szCs w:val="32"/>
        </w:rPr>
        <w:t xml:space="preserve">   （六）协助县政府做好市、省及全国劳模的推荐、评选管理工作；负责工会经费和工会资产的管理、审查、审计作；承办县委、县政府交办的其它工作。 </w:t>
      </w:r>
    </w:p>
    <w:p>
      <w:pPr>
        <w:ind w:firstLine="640" w:firstLineChars="200"/>
        <w:rPr>
          <w:rFonts w:hint="eastAsia" w:ascii="仿宋_GB2312" w:hAnsi="Times New Roman" w:eastAsia="仿宋_GB2312"/>
          <w:sz w:val="32"/>
          <w:szCs w:val="32"/>
        </w:rPr>
      </w:pPr>
      <w:r>
        <w:rPr>
          <w:rFonts w:hint="eastAsia" w:ascii="仿宋_GB2312" w:hAnsi="Times New Roman" w:eastAsia="仿宋_GB2312"/>
          <w:sz w:val="32"/>
          <w:szCs w:val="32"/>
        </w:rPr>
        <w:t>二、机构设置</w:t>
      </w:r>
    </w:p>
    <w:p>
      <w:pPr>
        <w:ind w:firstLine="640" w:firstLineChars="200"/>
        <w:rPr>
          <w:rFonts w:hint="eastAsia" w:ascii="仿宋_GB2312" w:hAnsi="Times New Roman" w:eastAsia="仿宋_GB2312"/>
          <w:sz w:val="32"/>
          <w:szCs w:val="32"/>
        </w:rPr>
      </w:pPr>
      <w:r>
        <w:rPr>
          <w:rFonts w:hint="eastAsia" w:ascii="仿宋_GB2312" w:hAnsi="Times New Roman" w:eastAsia="仿宋_GB2312"/>
          <w:sz w:val="32"/>
          <w:szCs w:val="32"/>
        </w:rPr>
        <w:t xml:space="preserve">  馆陶县总工会内设2个机构，分别是办公室和综合部。</w:t>
      </w:r>
    </w:p>
    <w:p>
      <w:pPr>
        <w:ind w:firstLine="640" w:firstLineChars="200"/>
        <w:rPr>
          <w:rFonts w:hint="eastAsia" w:ascii="仿宋_GB2312" w:hAnsi="Times New Roman" w:eastAsia="仿宋_GB2312"/>
          <w:sz w:val="32"/>
          <w:szCs w:val="32"/>
        </w:rPr>
      </w:pPr>
      <w:r>
        <w:rPr>
          <w:rFonts w:hint="eastAsia" w:ascii="仿宋_GB2312" w:hAnsi="Times New Roman" w:eastAsia="仿宋_GB2312"/>
          <w:sz w:val="32"/>
          <w:szCs w:val="32"/>
        </w:rPr>
        <w:t>三、部门及其所属单位</w:t>
      </w:r>
    </w:p>
    <w:tbl>
      <w:tblPr>
        <w:tblStyle w:val="9"/>
        <w:tblW w:w="8364" w:type="dxa"/>
        <w:tblInd w:w="-45"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30" w:type="dxa"/>
          <w:left w:w="30" w:type="dxa"/>
          <w:bottom w:w="30" w:type="dxa"/>
          <w:right w:w="30" w:type="dxa"/>
        </w:tblCellMar>
      </w:tblPr>
      <w:tblGrid>
        <w:gridCol w:w="1327"/>
        <w:gridCol w:w="4033"/>
        <w:gridCol w:w="1221"/>
        <w:gridCol w:w="1783"/>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30" w:type="dxa"/>
            <w:left w:w="30" w:type="dxa"/>
            <w:bottom w:w="30" w:type="dxa"/>
            <w:right w:w="30" w:type="dxa"/>
          </w:tblCellMar>
        </w:tblPrEx>
        <w:tc>
          <w:tcPr>
            <w:tcW w:w="1327" w:type="dxa"/>
            <w:vAlign w:val="center"/>
          </w:tcPr>
          <w:p>
            <w:pPr>
              <w:ind w:firstLine="640" w:firstLineChars="200"/>
              <w:rPr>
                <w:rFonts w:hint="eastAsia" w:ascii="仿宋_GB2312" w:hAnsi="Times New Roman" w:eastAsia="仿宋_GB2312"/>
                <w:sz w:val="32"/>
                <w:szCs w:val="32"/>
              </w:rPr>
            </w:pPr>
            <w:r>
              <w:rPr>
                <w:rFonts w:hint="eastAsia" w:ascii="仿宋_GB2312" w:hAnsi="Times New Roman" w:eastAsia="仿宋_GB2312"/>
                <w:sz w:val="32"/>
                <w:szCs w:val="32"/>
              </w:rPr>
              <w:t xml:space="preserve">单位编码 </w:t>
            </w:r>
          </w:p>
        </w:tc>
        <w:tc>
          <w:tcPr>
            <w:tcW w:w="4033" w:type="dxa"/>
            <w:vAlign w:val="center"/>
          </w:tcPr>
          <w:p>
            <w:pPr>
              <w:ind w:firstLine="640" w:firstLineChars="200"/>
              <w:rPr>
                <w:rFonts w:hint="eastAsia" w:ascii="仿宋_GB2312" w:hAnsi="Times New Roman" w:eastAsia="仿宋_GB2312"/>
                <w:sz w:val="32"/>
                <w:szCs w:val="32"/>
              </w:rPr>
            </w:pPr>
            <w:r>
              <w:rPr>
                <w:rFonts w:hint="eastAsia" w:ascii="仿宋_GB2312" w:hAnsi="Times New Roman" w:eastAsia="仿宋_GB2312"/>
                <w:sz w:val="32"/>
                <w:szCs w:val="32"/>
              </w:rPr>
              <w:t xml:space="preserve">单位名称 </w:t>
            </w:r>
          </w:p>
        </w:tc>
        <w:tc>
          <w:tcPr>
            <w:tcW w:w="1221" w:type="dxa"/>
            <w:vAlign w:val="center"/>
          </w:tcPr>
          <w:p>
            <w:pPr>
              <w:ind w:firstLine="640" w:firstLineChars="200"/>
              <w:rPr>
                <w:rFonts w:hint="eastAsia" w:ascii="仿宋_GB2312" w:hAnsi="Times New Roman" w:eastAsia="仿宋_GB2312"/>
                <w:sz w:val="32"/>
                <w:szCs w:val="32"/>
              </w:rPr>
            </w:pPr>
            <w:r>
              <w:rPr>
                <w:rFonts w:hint="eastAsia" w:ascii="仿宋_GB2312" w:hAnsi="Times New Roman" w:eastAsia="仿宋_GB2312"/>
                <w:sz w:val="32"/>
                <w:szCs w:val="32"/>
              </w:rPr>
              <w:t xml:space="preserve">单位性质 </w:t>
            </w:r>
          </w:p>
        </w:tc>
        <w:tc>
          <w:tcPr>
            <w:tcW w:w="1783" w:type="dxa"/>
            <w:vAlign w:val="center"/>
          </w:tcPr>
          <w:p>
            <w:pPr>
              <w:ind w:firstLine="640" w:firstLineChars="200"/>
              <w:rPr>
                <w:rFonts w:hint="eastAsia" w:ascii="仿宋_GB2312" w:hAnsi="Times New Roman" w:eastAsia="仿宋_GB2312"/>
                <w:sz w:val="32"/>
                <w:szCs w:val="32"/>
              </w:rPr>
            </w:pPr>
            <w:r>
              <w:rPr>
                <w:rFonts w:hint="eastAsia" w:ascii="仿宋_GB2312" w:hAnsi="Times New Roman" w:eastAsia="仿宋_GB2312"/>
                <w:sz w:val="32"/>
                <w:szCs w:val="32"/>
              </w:rPr>
              <w:t xml:space="preserve">财政供给政策 </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30" w:type="dxa"/>
            <w:left w:w="30" w:type="dxa"/>
            <w:bottom w:w="30" w:type="dxa"/>
            <w:right w:w="30" w:type="dxa"/>
          </w:tblCellMar>
        </w:tblPrEx>
        <w:tc>
          <w:tcPr>
            <w:tcW w:w="1327" w:type="dxa"/>
          </w:tcPr>
          <w:p>
            <w:pPr>
              <w:ind w:firstLine="640" w:firstLineChars="200"/>
              <w:rPr>
                <w:rFonts w:hint="eastAsia" w:ascii="仿宋_GB2312" w:hAnsi="Times New Roman" w:eastAsia="仿宋_GB2312"/>
                <w:sz w:val="32"/>
                <w:szCs w:val="32"/>
              </w:rPr>
            </w:pPr>
            <w:r>
              <w:rPr>
                <w:rFonts w:hint="eastAsia" w:ascii="仿宋_GB2312" w:hAnsi="Times New Roman" w:eastAsia="仿宋_GB2312"/>
                <w:sz w:val="32"/>
                <w:szCs w:val="32"/>
              </w:rPr>
              <w:t xml:space="preserve">711002 </w:t>
            </w:r>
          </w:p>
        </w:tc>
        <w:tc>
          <w:tcPr>
            <w:tcW w:w="4033" w:type="dxa"/>
          </w:tcPr>
          <w:p>
            <w:pPr>
              <w:ind w:firstLine="640" w:firstLineChars="200"/>
              <w:rPr>
                <w:rFonts w:hint="eastAsia" w:ascii="仿宋_GB2312" w:hAnsi="Times New Roman" w:eastAsia="仿宋_GB2312"/>
                <w:sz w:val="32"/>
                <w:szCs w:val="32"/>
              </w:rPr>
            </w:pPr>
            <w:r>
              <w:rPr>
                <w:rFonts w:hint="eastAsia" w:ascii="仿宋_GB2312" w:hAnsi="Times New Roman" w:eastAsia="仿宋_GB2312"/>
                <w:sz w:val="32"/>
                <w:szCs w:val="32"/>
              </w:rPr>
              <w:t xml:space="preserve">馆陶县总工会 </w:t>
            </w:r>
          </w:p>
        </w:tc>
        <w:tc>
          <w:tcPr>
            <w:tcW w:w="1221" w:type="dxa"/>
          </w:tcPr>
          <w:p>
            <w:pPr>
              <w:ind w:firstLine="640" w:firstLineChars="200"/>
              <w:rPr>
                <w:rFonts w:hint="eastAsia" w:ascii="仿宋_GB2312" w:hAnsi="Times New Roman" w:eastAsia="仿宋_GB2312"/>
                <w:sz w:val="32"/>
                <w:szCs w:val="32"/>
              </w:rPr>
            </w:pPr>
            <w:r>
              <w:rPr>
                <w:rFonts w:hint="eastAsia" w:ascii="仿宋_GB2312" w:hAnsi="Times New Roman" w:eastAsia="仿宋_GB2312"/>
                <w:sz w:val="32"/>
                <w:szCs w:val="32"/>
              </w:rPr>
              <w:t xml:space="preserve">团体 </w:t>
            </w:r>
          </w:p>
        </w:tc>
        <w:tc>
          <w:tcPr>
            <w:tcW w:w="1783" w:type="dxa"/>
          </w:tcPr>
          <w:p>
            <w:pPr>
              <w:ind w:firstLine="640" w:firstLineChars="200"/>
              <w:rPr>
                <w:rFonts w:hint="eastAsia" w:ascii="仿宋_GB2312" w:hAnsi="Times New Roman" w:eastAsia="仿宋_GB2312"/>
                <w:sz w:val="32"/>
                <w:szCs w:val="32"/>
              </w:rPr>
            </w:pPr>
            <w:r>
              <w:rPr>
                <w:rFonts w:hint="eastAsia" w:ascii="仿宋_GB2312" w:hAnsi="Times New Roman" w:eastAsia="仿宋_GB2312"/>
                <w:sz w:val="32"/>
                <w:szCs w:val="32"/>
              </w:rPr>
              <w:t xml:space="preserve">财政拨款 </w:t>
            </w:r>
          </w:p>
        </w:tc>
      </w:tr>
    </w:tbl>
    <w:p>
      <w:pPr>
        <w:ind w:firstLine="640"/>
        <w:rPr>
          <w:rFonts w:ascii="黑体" w:hAnsi="黑体" w:eastAsia="黑体"/>
          <w:b/>
          <w:sz w:val="32"/>
          <w:szCs w:val="32"/>
        </w:rPr>
      </w:pPr>
      <w:r>
        <w:rPr>
          <w:rFonts w:hint="eastAsia" w:ascii="黑体" w:hAnsi="黑体" w:eastAsia="黑体"/>
          <w:b/>
          <w:sz w:val="32"/>
          <w:szCs w:val="32"/>
        </w:rPr>
        <w:t>二、部门预算安排的总体情况</w:t>
      </w:r>
    </w:p>
    <w:p>
      <w:pPr>
        <w:ind w:firstLine="640"/>
        <w:rPr>
          <w:rFonts w:ascii="仿宋_GB2312" w:hAnsi="Times New Roman" w:eastAsia="仿宋_GB2312"/>
          <w:sz w:val="32"/>
          <w:szCs w:val="32"/>
        </w:rPr>
      </w:pPr>
      <w:r>
        <w:rPr>
          <w:rFonts w:hint="eastAsia" w:ascii="仿宋_GB2312" w:hAnsi="Times New Roman" w:eastAsia="仿宋_GB2312"/>
          <w:sz w:val="32"/>
          <w:szCs w:val="32"/>
        </w:rPr>
        <w:t>按照预算管理有关规定，目前我县部门预算的编制实行综合预算制度，即全部收入和支出都反映在预算中。馆陶县</w:t>
      </w:r>
      <w:r>
        <w:rPr>
          <w:rFonts w:hint="eastAsia" w:ascii="仿宋_GB2312" w:hAnsi="Times New Roman" w:eastAsia="仿宋_GB2312"/>
          <w:sz w:val="32"/>
          <w:szCs w:val="32"/>
          <w:lang w:eastAsia="zh-CN"/>
        </w:rPr>
        <w:t>总工会</w:t>
      </w:r>
      <w:r>
        <w:rPr>
          <w:rFonts w:hint="eastAsia" w:ascii="仿宋_GB2312" w:hAnsi="Times New Roman" w:eastAsia="仿宋_GB2312"/>
          <w:sz w:val="32"/>
          <w:szCs w:val="32"/>
        </w:rPr>
        <w:t>及所属事业单位的收支包含在部门预算中。</w:t>
      </w:r>
    </w:p>
    <w:p>
      <w:pPr>
        <w:ind w:firstLine="640"/>
        <w:rPr>
          <w:rFonts w:ascii="仿宋_GB2312" w:hAnsi="Times New Roman" w:eastAsia="仿宋_GB2312"/>
          <w:sz w:val="32"/>
          <w:szCs w:val="32"/>
        </w:rPr>
      </w:pPr>
      <w:r>
        <w:rPr>
          <w:rFonts w:ascii="仿宋_GB2312" w:hAnsi="Times New Roman" w:eastAsia="仿宋_GB2312"/>
          <w:sz w:val="32"/>
          <w:szCs w:val="32"/>
        </w:rPr>
        <w:t>1</w:t>
      </w:r>
      <w:r>
        <w:rPr>
          <w:rFonts w:hint="eastAsia" w:ascii="仿宋_GB2312" w:hAnsi="Times New Roman" w:eastAsia="仿宋_GB2312"/>
          <w:sz w:val="32"/>
          <w:szCs w:val="32"/>
        </w:rPr>
        <w:t>、收入说明</w:t>
      </w:r>
    </w:p>
    <w:p>
      <w:pPr>
        <w:ind w:firstLine="640"/>
        <w:rPr>
          <w:rFonts w:ascii="仿宋_GB2312" w:hAnsi="Times New Roman" w:eastAsia="仿宋_GB2312"/>
          <w:sz w:val="32"/>
          <w:szCs w:val="32"/>
        </w:rPr>
      </w:pPr>
      <w:r>
        <w:rPr>
          <w:rFonts w:hint="eastAsia" w:ascii="仿宋_GB2312" w:hAnsi="Times New Roman" w:eastAsia="仿宋_GB2312"/>
          <w:sz w:val="32"/>
          <w:szCs w:val="32"/>
        </w:rPr>
        <w:t>反映本部门当年全部收入。</w:t>
      </w:r>
      <w:r>
        <w:rPr>
          <w:rFonts w:ascii="仿宋_GB2312" w:hAnsi="Times New Roman" w:eastAsia="仿宋_GB2312"/>
          <w:sz w:val="32"/>
          <w:szCs w:val="32"/>
        </w:rPr>
        <w:t>201</w:t>
      </w:r>
      <w:r>
        <w:rPr>
          <w:rFonts w:hint="eastAsia" w:ascii="仿宋_GB2312" w:hAnsi="Times New Roman" w:eastAsia="仿宋_GB2312"/>
          <w:sz w:val="32"/>
          <w:szCs w:val="32"/>
          <w:lang w:val="en-US" w:eastAsia="zh-CN"/>
        </w:rPr>
        <w:t>9</w:t>
      </w:r>
      <w:r>
        <w:rPr>
          <w:rFonts w:hint="eastAsia" w:ascii="仿宋_GB2312" w:hAnsi="Times New Roman" w:eastAsia="仿宋_GB2312"/>
          <w:sz w:val="32"/>
          <w:szCs w:val="32"/>
        </w:rPr>
        <w:t>年预算收入</w:t>
      </w:r>
      <w:r>
        <w:rPr>
          <w:rFonts w:hint="eastAsia" w:ascii="仿宋_GB2312" w:hAnsi="Times New Roman" w:eastAsia="仿宋_GB2312"/>
          <w:sz w:val="32"/>
          <w:szCs w:val="32"/>
          <w:lang w:val="en-US" w:eastAsia="zh-CN"/>
        </w:rPr>
        <w:t>287.45</w:t>
      </w:r>
      <w:r>
        <w:rPr>
          <w:rFonts w:hint="eastAsia" w:ascii="仿宋_GB2312" w:hAnsi="Times New Roman" w:eastAsia="仿宋_GB2312"/>
          <w:sz w:val="32"/>
          <w:szCs w:val="32"/>
        </w:rPr>
        <w:t>万元，其中：一般公共预算收入</w:t>
      </w:r>
      <w:r>
        <w:rPr>
          <w:rFonts w:hint="eastAsia" w:ascii="仿宋_GB2312" w:hAnsi="Times New Roman" w:eastAsia="仿宋_GB2312"/>
          <w:sz w:val="32"/>
          <w:szCs w:val="32"/>
          <w:lang w:val="en-US" w:eastAsia="zh-CN"/>
        </w:rPr>
        <w:t>287.45</w:t>
      </w:r>
      <w:r>
        <w:rPr>
          <w:rFonts w:hint="eastAsia" w:ascii="仿宋_GB2312" w:hAnsi="Times New Roman" w:eastAsia="仿宋_GB2312"/>
          <w:sz w:val="32"/>
          <w:szCs w:val="32"/>
        </w:rPr>
        <w:t>万元，</w:t>
      </w:r>
      <w:r>
        <w:rPr>
          <w:rFonts w:hint="eastAsia" w:ascii="仿宋_GB2312" w:hAnsi="Times New Roman" w:eastAsia="仿宋_GB2312"/>
          <w:sz w:val="32"/>
          <w:szCs w:val="32"/>
          <w:lang w:eastAsia="zh-CN"/>
        </w:rPr>
        <w:t>其中人员经费</w:t>
      </w:r>
      <w:r>
        <w:rPr>
          <w:rFonts w:hint="eastAsia" w:ascii="仿宋_GB2312" w:hAnsi="Times New Roman" w:eastAsia="仿宋_GB2312"/>
          <w:sz w:val="32"/>
          <w:szCs w:val="32"/>
          <w:lang w:val="en-US" w:eastAsia="zh-CN"/>
        </w:rPr>
        <w:t>9.8万元，公用经费9.15万元，按政策应提工会经费216万元，上级提前下达2019年困难职工及劳模帮扶救助资金52.5万元</w:t>
      </w:r>
      <w:r>
        <w:rPr>
          <w:rFonts w:hint="eastAsia" w:ascii="仿宋_GB2312" w:hAnsi="Times New Roman" w:eastAsia="仿宋_GB2312"/>
          <w:sz w:val="32"/>
          <w:szCs w:val="32"/>
        </w:rPr>
        <w:t>。</w:t>
      </w:r>
    </w:p>
    <w:p>
      <w:pPr>
        <w:ind w:firstLine="640"/>
        <w:rPr>
          <w:rFonts w:ascii="仿宋_GB2312" w:hAnsi="Times New Roman" w:eastAsia="仿宋_GB2312"/>
          <w:sz w:val="32"/>
          <w:szCs w:val="32"/>
        </w:rPr>
      </w:pPr>
      <w:r>
        <w:rPr>
          <w:rFonts w:ascii="仿宋_GB2312" w:hAnsi="Times New Roman" w:eastAsia="仿宋_GB2312"/>
          <w:sz w:val="32"/>
          <w:szCs w:val="32"/>
        </w:rPr>
        <w:t>2</w:t>
      </w:r>
      <w:r>
        <w:rPr>
          <w:rFonts w:hint="eastAsia" w:ascii="仿宋_GB2312" w:hAnsi="Times New Roman" w:eastAsia="仿宋_GB2312"/>
          <w:sz w:val="32"/>
          <w:szCs w:val="32"/>
        </w:rPr>
        <w:t>、支出说明</w:t>
      </w:r>
    </w:p>
    <w:p>
      <w:pPr>
        <w:ind w:firstLine="640"/>
        <w:rPr>
          <w:rFonts w:ascii="仿宋_GB2312" w:hAnsi="Times New Roman" w:eastAsia="仿宋_GB2312"/>
          <w:sz w:val="32"/>
          <w:szCs w:val="32"/>
        </w:rPr>
      </w:pPr>
      <w:r>
        <w:rPr>
          <w:rFonts w:hint="eastAsia" w:ascii="仿宋_GB2312" w:hAnsi="Times New Roman" w:eastAsia="仿宋_GB2312"/>
          <w:sz w:val="32"/>
          <w:szCs w:val="32"/>
        </w:rPr>
        <w:t>收支预算总表支出栏、基本支出表、项目支出表按经济分类和支出功能分类科目编制，反映省财馆陶县</w:t>
      </w:r>
      <w:r>
        <w:rPr>
          <w:rFonts w:hint="eastAsia" w:ascii="仿宋_GB2312" w:hAnsi="Times New Roman" w:eastAsia="仿宋_GB2312"/>
          <w:sz w:val="32"/>
          <w:szCs w:val="32"/>
          <w:lang w:eastAsia="zh-CN"/>
        </w:rPr>
        <w:t>工会</w:t>
      </w:r>
      <w:r>
        <w:rPr>
          <w:rFonts w:hint="eastAsia" w:ascii="仿宋_GB2312" w:hAnsi="Times New Roman" w:eastAsia="仿宋_GB2312"/>
          <w:sz w:val="32"/>
          <w:szCs w:val="32"/>
        </w:rPr>
        <w:t>部门预算中支出预算的总体情况。</w:t>
      </w:r>
      <w:r>
        <w:rPr>
          <w:rFonts w:ascii="仿宋_GB2312" w:hAnsi="Times New Roman" w:eastAsia="仿宋_GB2312"/>
          <w:sz w:val="32"/>
          <w:szCs w:val="32"/>
        </w:rPr>
        <w:t>201</w:t>
      </w:r>
      <w:r>
        <w:rPr>
          <w:rFonts w:hint="eastAsia" w:ascii="仿宋_GB2312" w:hAnsi="Times New Roman" w:eastAsia="仿宋_GB2312"/>
          <w:sz w:val="32"/>
          <w:szCs w:val="32"/>
          <w:lang w:val="en-US" w:eastAsia="zh-CN"/>
        </w:rPr>
        <w:t>9</w:t>
      </w:r>
      <w:r>
        <w:rPr>
          <w:rFonts w:hint="eastAsia" w:ascii="仿宋_GB2312" w:hAnsi="Times New Roman" w:eastAsia="仿宋_GB2312"/>
          <w:sz w:val="32"/>
          <w:szCs w:val="32"/>
        </w:rPr>
        <w:t>年支出预算</w:t>
      </w:r>
      <w:r>
        <w:rPr>
          <w:rFonts w:hint="eastAsia" w:ascii="仿宋_GB2312" w:hAnsi="Times New Roman" w:eastAsia="仿宋_GB2312"/>
          <w:sz w:val="32"/>
          <w:szCs w:val="32"/>
          <w:lang w:val="en-US" w:eastAsia="zh-CN"/>
        </w:rPr>
        <w:t>287.45</w:t>
      </w:r>
      <w:r>
        <w:rPr>
          <w:rFonts w:hint="eastAsia" w:ascii="仿宋_GB2312" w:hAnsi="Times New Roman" w:eastAsia="仿宋_GB2312"/>
          <w:sz w:val="32"/>
          <w:szCs w:val="32"/>
        </w:rPr>
        <w:t>万元，</w:t>
      </w:r>
      <w:r>
        <w:rPr>
          <w:rFonts w:hint="eastAsia" w:ascii="仿宋_GB2312" w:hAnsi="Times New Roman" w:eastAsia="仿宋_GB2312"/>
          <w:sz w:val="32"/>
          <w:szCs w:val="32"/>
          <w:lang w:eastAsia="zh-CN"/>
        </w:rPr>
        <w:t>其中人员经费</w:t>
      </w:r>
      <w:r>
        <w:rPr>
          <w:rFonts w:hint="eastAsia" w:ascii="仿宋_GB2312" w:hAnsi="Times New Roman" w:eastAsia="仿宋_GB2312"/>
          <w:sz w:val="32"/>
          <w:szCs w:val="32"/>
          <w:lang w:val="en-US" w:eastAsia="zh-CN"/>
        </w:rPr>
        <w:t>9.8万元，公用经费9.15万元，按政策应提工会经费216万元，上级提前下达2019年困难职工及劳模帮扶救助资金52.5万元</w:t>
      </w:r>
      <w:r>
        <w:rPr>
          <w:rFonts w:hint="eastAsia" w:ascii="仿宋_GB2312" w:hAnsi="Times New Roman" w:eastAsia="仿宋_GB2312"/>
          <w:sz w:val="32"/>
          <w:szCs w:val="32"/>
        </w:rPr>
        <w:t>。</w:t>
      </w:r>
    </w:p>
    <w:p>
      <w:pPr>
        <w:ind w:firstLine="640"/>
        <w:rPr>
          <w:rFonts w:ascii="仿宋_GB2312" w:hAnsi="黑体" w:eastAsia="仿宋_GB2312"/>
          <w:sz w:val="32"/>
          <w:szCs w:val="32"/>
        </w:rPr>
      </w:pPr>
      <w:r>
        <w:rPr>
          <w:rFonts w:ascii="仿宋_GB2312" w:hAnsi="Times New Roman" w:eastAsia="仿宋_GB2312"/>
          <w:sz w:val="32"/>
          <w:szCs w:val="32"/>
        </w:rPr>
        <w:t>201</w:t>
      </w:r>
      <w:r>
        <w:rPr>
          <w:rFonts w:hint="eastAsia" w:ascii="仿宋_GB2312" w:hAnsi="Times New Roman" w:eastAsia="仿宋_GB2312"/>
          <w:sz w:val="32"/>
          <w:szCs w:val="32"/>
          <w:lang w:val="en-US" w:eastAsia="zh-CN"/>
        </w:rPr>
        <w:t>9</w:t>
      </w:r>
      <w:r>
        <w:rPr>
          <w:rFonts w:hint="eastAsia" w:ascii="仿宋_GB2312" w:hAnsi="Times New Roman" w:eastAsia="仿宋_GB2312"/>
          <w:sz w:val="32"/>
          <w:szCs w:val="32"/>
        </w:rPr>
        <w:t>年预算收支安排</w:t>
      </w:r>
      <w:r>
        <w:rPr>
          <w:rFonts w:hint="eastAsia" w:ascii="仿宋_GB2312" w:hAnsi="Times New Roman" w:eastAsia="仿宋_GB2312"/>
          <w:sz w:val="32"/>
          <w:szCs w:val="32"/>
          <w:lang w:val="en-US" w:eastAsia="zh-CN"/>
        </w:rPr>
        <w:t>287.45</w:t>
      </w:r>
      <w:r>
        <w:rPr>
          <w:rFonts w:hint="eastAsia" w:ascii="仿宋_GB2312" w:hAnsi="Times New Roman" w:eastAsia="仿宋_GB2312"/>
          <w:sz w:val="32"/>
          <w:szCs w:val="32"/>
        </w:rPr>
        <w:t>万元，较</w:t>
      </w:r>
      <w:r>
        <w:rPr>
          <w:rFonts w:ascii="仿宋_GB2312" w:hAnsi="Times New Roman" w:eastAsia="仿宋_GB2312"/>
          <w:sz w:val="32"/>
          <w:szCs w:val="32"/>
        </w:rPr>
        <w:t>201</w:t>
      </w:r>
      <w:r>
        <w:rPr>
          <w:rFonts w:hint="eastAsia" w:ascii="仿宋_GB2312" w:hAnsi="Times New Roman" w:eastAsia="仿宋_GB2312"/>
          <w:sz w:val="32"/>
          <w:szCs w:val="32"/>
          <w:lang w:val="en-US" w:eastAsia="zh-CN"/>
        </w:rPr>
        <w:t>8</w:t>
      </w:r>
      <w:r>
        <w:rPr>
          <w:rFonts w:hint="eastAsia" w:ascii="仿宋_GB2312" w:hAnsi="Times New Roman" w:eastAsia="仿宋_GB2312"/>
          <w:sz w:val="32"/>
          <w:szCs w:val="32"/>
        </w:rPr>
        <w:t>年预算增加</w:t>
      </w:r>
      <w:r>
        <w:rPr>
          <w:rFonts w:hint="eastAsia" w:ascii="仿宋_GB2312" w:hAnsi="Times New Roman" w:eastAsia="仿宋_GB2312"/>
          <w:sz w:val="32"/>
          <w:szCs w:val="32"/>
          <w:lang w:val="en-US" w:eastAsia="zh-CN"/>
        </w:rPr>
        <w:t>47.45</w:t>
      </w:r>
      <w:r>
        <w:rPr>
          <w:rFonts w:hint="eastAsia" w:ascii="仿宋_GB2312" w:hAnsi="Times New Roman" w:eastAsia="仿宋_GB2312"/>
          <w:sz w:val="32"/>
          <w:szCs w:val="32"/>
        </w:rPr>
        <w:t>万元，</w:t>
      </w:r>
      <w:r>
        <w:rPr>
          <w:rFonts w:hint="eastAsia" w:ascii="仿宋_GB2312" w:hAnsi="Times New Roman" w:eastAsia="仿宋_GB2312"/>
          <w:sz w:val="32"/>
          <w:szCs w:val="32"/>
          <w:lang w:eastAsia="zh-CN"/>
        </w:rPr>
        <w:t>增加原因主要是上级提前下达资金</w:t>
      </w:r>
      <w:r>
        <w:rPr>
          <w:rFonts w:hint="eastAsia" w:ascii="仿宋_GB2312" w:hAnsi="Times New Roman" w:eastAsia="仿宋_GB2312"/>
          <w:sz w:val="32"/>
          <w:szCs w:val="32"/>
        </w:rPr>
        <w:t>。</w:t>
      </w:r>
    </w:p>
    <w:p>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三、机关运行经费安排情况</w:t>
      </w:r>
    </w:p>
    <w:p>
      <w:pPr>
        <w:autoSpaceDE w:val="0"/>
        <w:autoSpaceDN w:val="0"/>
        <w:adjustRightInd w:val="0"/>
        <w:ind w:left="198" w:firstLine="640" w:firstLineChars="200"/>
        <w:jc w:val="left"/>
        <w:rPr>
          <w:rFonts w:ascii="仿宋_GB2312" w:hAnsi="Times New Roman" w:eastAsia="仿宋_GB2312"/>
          <w:sz w:val="32"/>
          <w:szCs w:val="32"/>
        </w:rPr>
      </w:pPr>
      <w:r>
        <w:rPr>
          <w:rFonts w:ascii="仿宋_GB2312" w:hAnsi="Times New Roman" w:eastAsia="仿宋_GB2312"/>
          <w:sz w:val="32"/>
          <w:szCs w:val="32"/>
        </w:rPr>
        <w:t>201</w:t>
      </w:r>
      <w:r>
        <w:rPr>
          <w:rFonts w:hint="eastAsia" w:ascii="仿宋_GB2312" w:hAnsi="Times New Roman" w:eastAsia="仿宋_GB2312"/>
          <w:sz w:val="32"/>
          <w:szCs w:val="32"/>
          <w:lang w:val="en-US" w:eastAsia="zh-CN"/>
        </w:rPr>
        <w:t>9</w:t>
      </w:r>
      <w:r>
        <w:rPr>
          <w:rFonts w:hint="eastAsia" w:ascii="仿宋_GB2312" w:hAnsi="Times New Roman" w:eastAsia="仿宋_GB2312"/>
          <w:sz w:val="32"/>
          <w:szCs w:val="32"/>
        </w:rPr>
        <w:t>年，馆陶县</w:t>
      </w:r>
      <w:r>
        <w:rPr>
          <w:rFonts w:hint="eastAsia" w:ascii="仿宋_GB2312" w:hAnsi="Times New Roman" w:eastAsia="仿宋_GB2312"/>
          <w:sz w:val="32"/>
          <w:szCs w:val="32"/>
          <w:lang w:eastAsia="zh-CN"/>
        </w:rPr>
        <w:t>总工会</w:t>
      </w:r>
      <w:r>
        <w:rPr>
          <w:rFonts w:hint="eastAsia" w:ascii="仿宋_GB2312" w:hAnsi="Times New Roman" w:eastAsia="仿宋_GB2312"/>
          <w:sz w:val="32"/>
          <w:szCs w:val="32"/>
        </w:rPr>
        <w:t>机关运行经费共计安排</w:t>
      </w:r>
      <w:r>
        <w:rPr>
          <w:rFonts w:hint="eastAsia" w:ascii="仿宋_GB2312" w:hAnsi="Times New Roman" w:eastAsia="仿宋_GB2312"/>
          <w:sz w:val="32"/>
          <w:szCs w:val="32"/>
          <w:lang w:val="en-US" w:eastAsia="zh-CN"/>
        </w:rPr>
        <w:t>9.15</w:t>
      </w:r>
      <w:r>
        <w:rPr>
          <w:rFonts w:hint="eastAsia" w:ascii="仿宋_GB2312" w:hAnsi="Times New Roman" w:eastAsia="仿宋_GB2312"/>
          <w:sz w:val="32"/>
          <w:szCs w:val="32"/>
        </w:rPr>
        <w:t>万元，主要用于办公费、印刷费、邮电费、公务交通补贴等日常运行支出。</w:t>
      </w:r>
    </w:p>
    <w:p>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四、财政拨款“三公”经费预算情况及增减变化原因</w:t>
      </w:r>
    </w:p>
    <w:p>
      <w:pPr>
        <w:autoSpaceDE w:val="0"/>
        <w:autoSpaceDN w:val="0"/>
        <w:adjustRightInd w:val="0"/>
        <w:ind w:left="198" w:firstLine="640" w:firstLineChars="200"/>
        <w:jc w:val="left"/>
        <w:rPr>
          <w:rFonts w:ascii="仿宋_GB2312" w:hAnsi="Times New Roman" w:eastAsia="仿宋_GB2312"/>
          <w:sz w:val="32"/>
          <w:szCs w:val="32"/>
        </w:rPr>
      </w:pPr>
      <w:r>
        <w:rPr>
          <w:rFonts w:ascii="仿宋_GB2312" w:hAnsi="Times New Roman" w:eastAsia="仿宋_GB2312"/>
          <w:sz w:val="32"/>
          <w:szCs w:val="32"/>
        </w:rPr>
        <w:t>20</w:t>
      </w:r>
      <w:r>
        <w:rPr>
          <w:rFonts w:hint="eastAsia" w:ascii="仿宋_GB2312" w:hAnsi="Times New Roman" w:eastAsia="仿宋_GB2312"/>
          <w:sz w:val="32"/>
          <w:szCs w:val="32"/>
          <w:lang w:val="en-US" w:eastAsia="zh-CN"/>
        </w:rPr>
        <w:t>19</w:t>
      </w:r>
      <w:r>
        <w:rPr>
          <w:rFonts w:hint="eastAsia" w:ascii="仿宋_GB2312" w:hAnsi="Times New Roman" w:eastAsia="仿宋_GB2312"/>
          <w:sz w:val="32"/>
          <w:szCs w:val="32"/>
        </w:rPr>
        <w:t>年，馆陶县</w:t>
      </w:r>
      <w:r>
        <w:rPr>
          <w:rFonts w:hint="eastAsia" w:ascii="仿宋_GB2312" w:hAnsi="Times New Roman" w:eastAsia="仿宋_GB2312"/>
          <w:sz w:val="32"/>
          <w:szCs w:val="32"/>
          <w:lang w:eastAsia="zh-CN"/>
        </w:rPr>
        <w:t>工会</w:t>
      </w:r>
      <w:r>
        <w:rPr>
          <w:rFonts w:hint="eastAsia" w:ascii="仿宋_GB2312" w:hAnsi="Times New Roman" w:eastAsia="仿宋_GB2312"/>
          <w:sz w:val="32"/>
          <w:szCs w:val="32"/>
        </w:rPr>
        <w:t>财政拨款“三公”经费预算安排</w:t>
      </w:r>
      <w:r>
        <w:rPr>
          <w:rFonts w:ascii="仿宋_GB2312" w:hAnsi="Times New Roman" w:eastAsia="仿宋_GB2312"/>
          <w:sz w:val="32"/>
          <w:szCs w:val="32"/>
        </w:rPr>
        <w:t>0</w:t>
      </w:r>
      <w:r>
        <w:rPr>
          <w:rFonts w:hint="eastAsia" w:ascii="仿宋_GB2312" w:hAnsi="Times New Roman" w:eastAsia="仿宋_GB2312"/>
          <w:sz w:val="32"/>
          <w:szCs w:val="32"/>
        </w:rPr>
        <w:t>万元，其中因公出国（境）费</w:t>
      </w:r>
      <w:r>
        <w:rPr>
          <w:rFonts w:ascii="仿宋_GB2312" w:hAnsi="Times New Roman" w:eastAsia="仿宋_GB2312"/>
          <w:sz w:val="32"/>
          <w:szCs w:val="32"/>
        </w:rPr>
        <w:t>0</w:t>
      </w:r>
      <w:r>
        <w:rPr>
          <w:rFonts w:hint="eastAsia" w:ascii="仿宋_GB2312" w:hAnsi="Times New Roman" w:eastAsia="仿宋_GB2312"/>
          <w:sz w:val="32"/>
          <w:szCs w:val="32"/>
        </w:rPr>
        <w:t>万元，较上年持平；公务用车购置及运维费</w:t>
      </w:r>
      <w:r>
        <w:rPr>
          <w:rFonts w:ascii="仿宋_GB2312" w:hAnsi="Times New Roman" w:eastAsia="仿宋_GB2312"/>
          <w:sz w:val="32"/>
          <w:szCs w:val="32"/>
        </w:rPr>
        <w:t>0</w:t>
      </w:r>
      <w:r>
        <w:rPr>
          <w:rFonts w:hint="eastAsia" w:ascii="仿宋_GB2312" w:hAnsi="Times New Roman" w:eastAsia="仿宋_GB2312"/>
          <w:sz w:val="32"/>
          <w:szCs w:val="32"/>
        </w:rPr>
        <w:t>万元（其中：公务用车购置费为</w:t>
      </w:r>
      <w:r>
        <w:rPr>
          <w:rFonts w:ascii="仿宋_GB2312" w:hAnsi="Times New Roman" w:eastAsia="仿宋_GB2312"/>
          <w:sz w:val="32"/>
          <w:szCs w:val="32"/>
        </w:rPr>
        <w:t>0</w:t>
      </w:r>
      <w:r>
        <w:rPr>
          <w:rFonts w:hint="eastAsia" w:ascii="仿宋_GB2312" w:hAnsi="Times New Roman" w:eastAsia="仿宋_GB2312"/>
          <w:sz w:val="32"/>
          <w:szCs w:val="32"/>
        </w:rPr>
        <w:t>万元，公务用车运维费</w:t>
      </w:r>
      <w:r>
        <w:rPr>
          <w:rFonts w:ascii="仿宋_GB2312" w:hAnsi="Times New Roman" w:eastAsia="仿宋_GB2312"/>
          <w:sz w:val="32"/>
          <w:szCs w:val="32"/>
        </w:rPr>
        <w:t>0</w:t>
      </w:r>
      <w:r>
        <w:rPr>
          <w:rFonts w:hint="eastAsia" w:ascii="仿宋_GB2312" w:hAnsi="Times New Roman" w:eastAsia="仿宋_GB2312"/>
          <w:sz w:val="32"/>
          <w:szCs w:val="32"/>
        </w:rPr>
        <w:t>万元</w:t>
      </w:r>
      <w:r>
        <w:rPr>
          <w:rFonts w:ascii="仿宋_GB2312" w:hAnsi="Times New Roman" w:eastAsia="仿宋_GB2312"/>
          <w:sz w:val="32"/>
          <w:szCs w:val="32"/>
        </w:rPr>
        <w:t>)</w:t>
      </w:r>
      <w:r>
        <w:rPr>
          <w:rFonts w:hint="eastAsia" w:ascii="仿宋_GB2312" w:hAnsi="Times New Roman" w:eastAsia="仿宋_GB2312"/>
          <w:sz w:val="32"/>
          <w:szCs w:val="32"/>
        </w:rPr>
        <w:t>，较上年</w:t>
      </w:r>
      <w:r>
        <w:rPr>
          <w:rFonts w:hint="eastAsia" w:ascii="仿宋_GB2312" w:hAnsi="Times New Roman" w:eastAsia="仿宋_GB2312"/>
          <w:sz w:val="32"/>
          <w:szCs w:val="32"/>
          <w:lang w:eastAsia="zh-CN"/>
        </w:rPr>
        <w:t>持平</w:t>
      </w:r>
      <w:r>
        <w:rPr>
          <w:rFonts w:hint="eastAsia" w:ascii="仿宋_GB2312" w:hAnsi="Times New Roman" w:eastAsia="仿宋_GB2312"/>
          <w:sz w:val="32"/>
          <w:szCs w:val="32"/>
        </w:rPr>
        <w:t>；公务接待费</w:t>
      </w:r>
      <w:r>
        <w:rPr>
          <w:rFonts w:ascii="仿宋_GB2312" w:hAnsi="Times New Roman" w:eastAsia="仿宋_GB2312"/>
          <w:sz w:val="32"/>
          <w:szCs w:val="32"/>
        </w:rPr>
        <w:t>0</w:t>
      </w:r>
      <w:r>
        <w:rPr>
          <w:rFonts w:hint="eastAsia" w:ascii="仿宋_GB2312" w:hAnsi="Times New Roman" w:eastAsia="仿宋_GB2312"/>
          <w:sz w:val="32"/>
          <w:szCs w:val="32"/>
        </w:rPr>
        <w:t>万元，较上年持平。较</w:t>
      </w:r>
      <w:r>
        <w:rPr>
          <w:rFonts w:ascii="仿宋_GB2312" w:hAnsi="Times New Roman" w:eastAsia="仿宋_GB2312"/>
          <w:sz w:val="32"/>
          <w:szCs w:val="32"/>
        </w:rPr>
        <w:t>201</w:t>
      </w:r>
      <w:r>
        <w:rPr>
          <w:rFonts w:hint="eastAsia" w:ascii="仿宋_GB2312" w:hAnsi="Times New Roman" w:eastAsia="仿宋_GB2312"/>
          <w:sz w:val="32"/>
          <w:szCs w:val="32"/>
          <w:lang w:val="en-US" w:eastAsia="zh-CN"/>
        </w:rPr>
        <w:t>8</w:t>
      </w:r>
      <w:r>
        <w:rPr>
          <w:rFonts w:hint="eastAsia" w:ascii="仿宋_GB2312" w:hAnsi="Times New Roman" w:eastAsia="仿宋_GB2312"/>
          <w:sz w:val="32"/>
          <w:szCs w:val="32"/>
        </w:rPr>
        <w:t>年“三公”经费支出预算减少</w:t>
      </w:r>
      <w:r>
        <w:rPr>
          <w:rFonts w:ascii="仿宋_GB2312" w:hAnsi="Times New Roman" w:eastAsia="仿宋_GB2312"/>
          <w:sz w:val="32"/>
          <w:szCs w:val="32"/>
        </w:rPr>
        <w:t>0</w:t>
      </w:r>
      <w:r>
        <w:rPr>
          <w:rFonts w:hint="eastAsia" w:ascii="仿宋_GB2312" w:hAnsi="Times New Roman" w:eastAsia="仿宋_GB2312"/>
          <w:sz w:val="32"/>
          <w:szCs w:val="32"/>
        </w:rPr>
        <w:t>万元，主要原因是我单位</w:t>
      </w:r>
      <w:r>
        <w:rPr>
          <w:rFonts w:hint="eastAsia" w:ascii="仿宋_GB2312" w:hAnsi="Times New Roman" w:eastAsia="仿宋_GB2312"/>
          <w:sz w:val="32"/>
          <w:szCs w:val="32"/>
          <w:lang w:val="zh-CN"/>
        </w:rPr>
        <w:t>厉行节约，另所有公车已处置拍卖，无公车运行维护费用支出</w:t>
      </w:r>
      <w:r>
        <w:rPr>
          <w:rFonts w:hint="eastAsia" w:ascii="仿宋_GB2312" w:hAnsi="Times New Roman" w:eastAsia="仿宋_GB2312"/>
          <w:sz w:val="32"/>
          <w:szCs w:val="32"/>
        </w:rPr>
        <w:t>。</w:t>
      </w:r>
    </w:p>
    <w:p>
      <w:pPr>
        <w:ind w:firstLine="640"/>
        <w:rPr>
          <w:rFonts w:ascii="黑体" w:hAnsi="黑体" w:eastAsia="黑体"/>
          <w:b/>
          <w:sz w:val="32"/>
          <w:szCs w:val="32"/>
        </w:rPr>
      </w:pPr>
      <w:r>
        <w:rPr>
          <w:rFonts w:hint="eastAsia" w:ascii="黑体" w:hAnsi="黑体" w:eastAsia="黑体"/>
          <w:b/>
          <w:sz w:val="32"/>
          <w:szCs w:val="32"/>
        </w:rPr>
        <w:t>五、绩效预算信息</w:t>
      </w:r>
    </w:p>
    <w:p>
      <w:pPr>
        <w:ind w:firstLine="640"/>
        <w:outlineLvl w:val="1"/>
        <w:rPr>
          <w:rFonts w:eastAsia="Times New Roman"/>
          <w:sz w:val="32"/>
        </w:rPr>
      </w:pPr>
      <w:bookmarkStart w:id="0" w:name="_Toc471398463"/>
      <w:r>
        <w:rPr>
          <w:rFonts w:hint="eastAsia" w:ascii="黑体" w:hAnsi="Times New Roman" w:eastAsia="黑体" w:cs="Times New Roman"/>
          <w:b/>
          <w:sz w:val="32"/>
          <w:szCs w:val="32"/>
        </w:rPr>
        <w:t>总体绩效目标</w:t>
      </w:r>
      <w:r>
        <w:rPr>
          <w:rFonts w:hint="eastAsia" w:ascii="Times New Roman" w:hAnsi="Times New Roman" w:eastAsia="方正仿宋_GBK" w:cs="Times New Roman"/>
          <w:b/>
          <w:sz w:val="32"/>
          <w:szCs w:val="32"/>
        </w:rPr>
        <w:t>：</w:t>
      </w:r>
      <w:r>
        <w:rPr>
          <w:rFonts w:ascii="仿宋_GB2312" w:hAnsi="Arial" w:eastAsia="仿宋_GB2312" w:cs="Arial"/>
          <w:color w:val="000000"/>
          <w:sz w:val="32"/>
          <w:szCs w:val="32"/>
          <w:shd w:val="clear" w:color="auto" w:fill="FFFFFF"/>
        </w:rPr>
        <w:t>201</w:t>
      </w:r>
      <w:r>
        <w:rPr>
          <w:rFonts w:hint="eastAsia" w:ascii="仿宋_GB2312" w:hAnsi="Arial" w:eastAsia="仿宋_GB2312" w:cs="Arial"/>
          <w:color w:val="000000"/>
          <w:sz w:val="32"/>
          <w:szCs w:val="32"/>
          <w:shd w:val="clear" w:color="auto" w:fill="FFFFFF"/>
          <w:lang w:val="en-US" w:eastAsia="zh-CN"/>
        </w:rPr>
        <w:t>9</w:t>
      </w:r>
      <w:r>
        <w:rPr>
          <w:rFonts w:hint="eastAsia" w:ascii="仿宋_GB2312" w:hAnsi="Arial" w:eastAsia="仿宋_GB2312" w:cs="Arial"/>
          <w:color w:val="000000"/>
          <w:sz w:val="32"/>
          <w:szCs w:val="32"/>
          <w:shd w:val="clear" w:color="auto" w:fill="FFFFFF"/>
        </w:rPr>
        <w:t>年</w:t>
      </w:r>
      <w:r>
        <w:rPr>
          <w:rFonts w:hint="eastAsia" w:ascii="宋体" w:hAnsi="宋体" w:cs="宋体"/>
          <w:sz w:val="32"/>
        </w:rPr>
        <w:t>我</w:t>
      </w:r>
      <w:r>
        <w:rPr>
          <w:rFonts w:hint="eastAsia" w:ascii="宋体" w:hAnsi="宋体" w:cs="宋体"/>
          <w:sz w:val="32"/>
          <w:lang w:eastAsia="zh-CN"/>
        </w:rPr>
        <w:t>单位</w:t>
      </w:r>
      <w:r>
        <w:rPr>
          <w:rFonts w:hint="eastAsia" w:ascii="宋体" w:hAnsi="宋体" w:cs="宋体"/>
          <w:sz w:val="32"/>
        </w:rPr>
        <w:t>严格按照《馆陶县人民政府关于深化绩效预算管理改革的实施意见》和《馆陶县财政局关于深化绩效预算管理改革实施方案》的要求，建立了</w:t>
      </w:r>
      <w:r>
        <w:rPr>
          <w:rFonts w:eastAsia="Times New Roman"/>
          <w:sz w:val="32"/>
        </w:rPr>
        <w:t>“</w:t>
      </w:r>
      <w:r>
        <w:rPr>
          <w:rFonts w:hint="eastAsia" w:ascii="宋体" w:hAnsi="宋体" w:cs="宋体"/>
          <w:sz w:val="32"/>
        </w:rPr>
        <w:t>部门职责</w:t>
      </w:r>
      <w:r>
        <w:rPr>
          <w:rFonts w:eastAsia="Times New Roman"/>
          <w:sz w:val="32"/>
        </w:rPr>
        <w:t>----</w:t>
      </w:r>
      <w:r>
        <w:rPr>
          <w:rFonts w:hint="eastAsia" w:ascii="宋体" w:hAnsi="宋体" w:cs="宋体"/>
          <w:sz w:val="32"/>
        </w:rPr>
        <w:t>工作活动</w:t>
      </w:r>
      <w:r>
        <w:rPr>
          <w:rFonts w:eastAsia="Times New Roman"/>
          <w:sz w:val="32"/>
        </w:rPr>
        <w:t>----</w:t>
      </w:r>
      <w:r>
        <w:rPr>
          <w:rFonts w:hint="eastAsia" w:ascii="宋体" w:hAnsi="宋体" w:cs="宋体"/>
          <w:sz w:val="32"/>
        </w:rPr>
        <w:t>预算项目</w:t>
      </w:r>
      <w:r>
        <w:rPr>
          <w:rFonts w:eastAsia="Times New Roman"/>
          <w:sz w:val="32"/>
        </w:rPr>
        <w:t>”</w:t>
      </w:r>
      <w:r>
        <w:rPr>
          <w:rFonts w:hint="eastAsia" w:ascii="宋体" w:hAnsi="宋体" w:cs="宋体"/>
          <w:sz w:val="32"/>
        </w:rPr>
        <w:t>三个层级的绩效预算管理结构和三级绩效目标指标管理体系，提高了财政资金使用绩效。</w:t>
      </w:r>
    </w:p>
    <w:p>
      <w:pPr>
        <w:rPr>
          <w:rFonts w:ascii="仿宋" w:hAnsi="仿宋" w:eastAsia="仿宋"/>
          <w:sz w:val="32"/>
          <w:szCs w:val="32"/>
        </w:rPr>
      </w:pPr>
      <w:r>
        <w:rPr>
          <w:rFonts w:ascii="仿宋" w:hAnsi="仿宋" w:eastAsia="仿宋"/>
          <w:sz w:val="32"/>
          <w:szCs w:val="32"/>
        </w:rPr>
        <w:t xml:space="preserve">  </w:t>
      </w:r>
      <w:r>
        <w:rPr>
          <w:rFonts w:hint="eastAsia" w:ascii="仿宋" w:hAnsi="仿宋" w:eastAsia="仿宋"/>
          <w:sz w:val="32"/>
          <w:szCs w:val="32"/>
        </w:rPr>
        <w:t>（一）维护职工合法权益</w:t>
      </w:r>
    </w:p>
    <w:p>
      <w:pPr>
        <w:rPr>
          <w:rFonts w:ascii="仿宋" w:hAnsi="仿宋" w:eastAsia="仿宋"/>
          <w:sz w:val="32"/>
          <w:szCs w:val="32"/>
        </w:rPr>
      </w:pPr>
      <w:r>
        <w:rPr>
          <w:rFonts w:ascii="仿宋" w:hAnsi="仿宋" w:eastAsia="仿宋"/>
          <w:sz w:val="32"/>
          <w:szCs w:val="32"/>
        </w:rPr>
        <w:t xml:space="preserve">   </w:t>
      </w:r>
      <w:r>
        <w:rPr>
          <w:rFonts w:hint="eastAsia" w:ascii="仿宋" w:hAnsi="仿宋" w:eastAsia="仿宋"/>
          <w:sz w:val="32"/>
          <w:szCs w:val="32"/>
        </w:rPr>
        <w:t>组织职工开展民主选举、民主决策、民主管理和民主监督工作；推动基层工会建立集体合同制度、工资集体协商和监督保证机制；参与职工安全生产保护工作；为工会组织、干部、职工提供维权渠道。</w:t>
      </w:r>
    </w:p>
    <w:p>
      <w:pPr>
        <w:rPr>
          <w:rFonts w:ascii="仿宋" w:hAnsi="仿宋" w:eastAsia="仿宋"/>
          <w:sz w:val="32"/>
          <w:szCs w:val="32"/>
        </w:rPr>
      </w:pPr>
      <w:r>
        <w:rPr>
          <w:rFonts w:ascii="仿宋" w:hAnsi="仿宋" w:eastAsia="仿宋"/>
          <w:sz w:val="32"/>
          <w:szCs w:val="32"/>
        </w:rPr>
        <w:t xml:space="preserve">  </w:t>
      </w:r>
      <w:r>
        <w:rPr>
          <w:rFonts w:hint="eastAsia" w:ascii="仿宋" w:hAnsi="仿宋" w:eastAsia="仿宋"/>
          <w:sz w:val="32"/>
          <w:szCs w:val="32"/>
        </w:rPr>
        <w:t>主要包括共有</w:t>
      </w:r>
      <w:r>
        <w:rPr>
          <w:rFonts w:ascii="仿宋" w:hAnsi="仿宋" w:eastAsia="仿宋"/>
          <w:sz w:val="32"/>
          <w:szCs w:val="32"/>
        </w:rPr>
        <w:t>1</w:t>
      </w:r>
      <w:r>
        <w:rPr>
          <w:rFonts w:hint="eastAsia" w:ascii="仿宋" w:hAnsi="仿宋" w:eastAsia="仿宋"/>
          <w:sz w:val="32"/>
          <w:szCs w:val="32"/>
        </w:rPr>
        <w:t>项活动。</w:t>
      </w:r>
    </w:p>
    <w:p>
      <w:pPr>
        <w:rPr>
          <w:rFonts w:ascii="仿宋" w:hAnsi="仿宋" w:eastAsia="仿宋"/>
          <w:sz w:val="32"/>
          <w:szCs w:val="32"/>
        </w:rPr>
      </w:pPr>
      <w:r>
        <w:rPr>
          <w:rFonts w:ascii="仿宋" w:hAnsi="仿宋" w:eastAsia="仿宋"/>
          <w:sz w:val="32"/>
          <w:szCs w:val="32"/>
        </w:rPr>
        <w:t xml:space="preserve"> </w:t>
      </w:r>
      <w:r>
        <w:rPr>
          <w:rFonts w:hint="eastAsia" w:ascii="仿宋" w:hAnsi="仿宋" w:eastAsia="仿宋"/>
          <w:sz w:val="32"/>
          <w:szCs w:val="32"/>
        </w:rPr>
        <w:t>完善工会参与社会管理机制</w:t>
      </w:r>
    </w:p>
    <w:p>
      <w:pPr>
        <w:rPr>
          <w:rFonts w:ascii="仿宋" w:hAnsi="仿宋" w:eastAsia="仿宋"/>
          <w:sz w:val="32"/>
          <w:szCs w:val="32"/>
        </w:rPr>
      </w:pPr>
      <w:r>
        <w:rPr>
          <w:rFonts w:hint="eastAsia" w:ascii="仿宋" w:hAnsi="仿宋" w:eastAsia="仿宋"/>
          <w:sz w:val="32"/>
          <w:szCs w:val="32"/>
        </w:rPr>
        <w:t>（二）提升职工技能及创新水平。着眼于加快转变经济发展方式和调整优化经济结构，注重培养高素质技能型人才，加强学历教育，围绕县委、县政府提出的重点工程、重点项目和重点领域，组织全县职工开展劳动竞赛，大力推进实施职工经济技术创新工程。</w:t>
      </w:r>
    </w:p>
    <w:p>
      <w:pPr>
        <w:ind w:firstLine="640"/>
        <w:rPr>
          <w:rFonts w:ascii="仿宋" w:hAnsi="仿宋" w:eastAsia="仿宋"/>
          <w:sz w:val="32"/>
          <w:szCs w:val="32"/>
        </w:rPr>
      </w:pPr>
      <w:r>
        <w:rPr>
          <w:rFonts w:hint="eastAsia" w:ascii="仿宋" w:hAnsi="仿宋" w:eastAsia="仿宋"/>
          <w:sz w:val="32"/>
          <w:szCs w:val="32"/>
        </w:rPr>
        <w:t>主要包括</w:t>
      </w:r>
      <w:r>
        <w:rPr>
          <w:rFonts w:ascii="仿宋" w:hAnsi="仿宋" w:eastAsia="仿宋"/>
          <w:sz w:val="32"/>
          <w:szCs w:val="32"/>
        </w:rPr>
        <w:t>1</w:t>
      </w:r>
      <w:r>
        <w:rPr>
          <w:rFonts w:hint="eastAsia" w:ascii="仿宋" w:hAnsi="仿宋" w:eastAsia="仿宋"/>
          <w:sz w:val="32"/>
          <w:szCs w:val="32"/>
        </w:rPr>
        <w:t>项活动。职工事业发展，指导基层工会开展群众性经济技术创新活动以及劳动竞赛、岗位练兵和技能比赛等群众性活动。</w:t>
      </w:r>
    </w:p>
    <w:p>
      <w:pPr>
        <w:ind w:firstLine="645"/>
        <w:rPr>
          <w:rFonts w:ascii="仿宋" w:hAnsi="仿宋" w:eastAsia="仿宋"/>
          <w:sz w:val="32"/>
          <w:szCs w:val="32"/>
        </w:rPr>
      </w:pPr>
      <w:r>
        <w:rPr>
          <w:rFonts w:hint="eastAsia" w:ascii="仿宋" w:hAnsi="仿宋" w:eastAsia="仿宋"/>
          <w:sz w:val="32"/>
          <w:szCs w:val="32"/>
        </w:rPr>
        <w:t>（三）工会事务管理。研究指导全县工会自身建设；监督检查党员干部廉政建设；负责工会干部管理制度和培训规划制定以及培训工作；负责工会经费和工会资产的管理、审查、审计工作；承担县委、县政府及省市总工会交办的其他事项。</w:t>
      </w:r>
    </w:p>
    <w:p>
      <w:pPr>
        <w:ind w:firstLine="645"/>
        <w:rPr>
          <w:rFonts w:ascii="仿宋" w:hAnsi="仿宋" w:eastAsia="仿宋"/>
          <w:sz w:val="32"/>
          <w:szCs w:val="32"/>
        </w:rPr>
      </w:pPr>
      <w:r>
        <w:rPr>
          <w:rFonts w:hint="eastAsia" w:ascii="仿宋" w:hAnsi="仿宋" w:eastAsia="仿宋"/>
          <w:sz w:val="32"/>
          <w:szCs w:val="32"/>
        </w:rPr>
        <w:t>主要包括</w:t>
      </w:r>
      <w:r>
        <w:rPr>
          <w:rFonts w:ascii="仿宋" w:hAnsi="仿宋" w:eastAsia="仿宋"/>
          <w:sz w:val="32"/>
          <w:szCs w:val="32"/>
        </w:rPr>
        <w:t>1</w:t>
      </w:r>
      <w:r>
        <w:rPr>
          <w:rFonts w:hint="eastAsia" w:ascii="仿宋" w:hAnsi="仿宋" w:eastAsia="仿宋"/>
          <w:sz w:val="32"/>
          <w:szCs w:val="32"/>
        </w:rPr>
        <w:t>项活动。</w:t>
      </w:r>
    </w:p>
    <w:p>
      <w:pPr>
        <w:rPr>
          <w:rFonts w:ascii="仿宋" w:hAnsi="仿宋" w:eastAsia="仿宋"/>
          <w:sz w:val="32"/>
          <w:szCs w:val="32"/>
        </w:rPr>
      </w:pPr>
      <w:r>
        <w:rPr>
          <w:rFonts w:ascii="仿宋" w:hAnsi="仿宋" w:eastAsia="仿宋"/>
          <w:sz w:val="32"/>
          <w:szCs w:val="32"/>
        </w:rPr>
        <w:t xml:space="preserve">   </w:t>
      </w:r>
      <w:r>
        <w:rPr>
          <w:rFonts w:hint="eastAsia" w:ascii="仿宋" w:hAnsi="仿宋" w:eastAsia="仿宋"/>
          <w:sz w:val="32"/>
          <w:szCs w:val="32"/>
        </w:rPr>
        <w:t>研究指导全县工会自身改革和建设；负责工会干部管理制度和培训规划制定以及培训工作；承担县委、县政府及省市总工会交办的其他事项；监督检查工会党员干部廉政建设情况；负责工会经费和工会资产的管理、审查、审计工作。</w:t>
      </w:r>
    </w:p>
    <w:p>
      <w:pPr>
        <w:rPr>
          <w:rFonts w:ascii="仿宋" w:hAnsi="仿宋" w:eastAsia="仿宋"/>
          <w:sz w:val="32"/>
          <w:szCs w:val="32"/>
        </w:rPr>
      </w:pPr>
      <w:r>
        <w:rPr>
          <w:rFonts w:ascii="仿宋" w:hAnsi="仿宋" w:eastAsia="仿宋"/>
          <w:sz w:val="32"/>
          <w:szCs w:val="32"/>
        </w:rPr>
        <w:t xml:space="preserve">   </w:t>
      </w:r>
    </w:p>
    <w:p>
      <w:pPr>
        <w:rPr>
          <w:rFonts w:ascii="仿宋" w:hAnsi="仿宋" w:eastAsia="仿宋"/>
          <w:sz w:val="32"/>
          <w:szCs w:val="32"/>
        </w:rPr>
      </w:pPr>
    </w:p>
    <w:p>
      <w:pPr>
        <w:ind w:firstLine="640"/>
        <w:rPr>
          <w:rFonts w:ascii="仿宋" w:hAnsi="仿宋" w:eastAsia="仿宋"/>
          <w:sz w:val="32"/>
          <w:szCs w:val="32"/>
        </w:rPr>
      </w:pPr>
    </w:p>
    <w:p>
      <w:pPr>
        <w:pStyle w:val="8"/>
        <w:spacing w:before="0" w:beforeAutospacing="0" w:after="0" w:afterAutospacing="0" w:line="450" w:lineRule="atLeast"/>
        <w:ind w:firstLine="640" w:firstLineChars="200"/>
        <w:rPr>
          <w:rFonts w:ascii="仿宋_GB2312" w:eastAsia="仿宋_GB2312"/>
          <w:color w:val="333333"/>
          <w:sz w:val="32"/>
          <w:szCs w:val="32"/>
        </w:rPr>
      </w:pPr>
    </w:p>
    <w:p>
      <w:pPr>
        <w:outlineLvl w:val="0"/>
        <w:rPr>
          <w:rFonts w:ascii="黑体" w:hAnsi="黑体" w:eastAsia="黑体"/>
          <w:b/>
          <w:sz w:val="32"/>
          <w:szCs w:val="32"/>
        </w:rPr>
      </w:pPr>
      <w:r>
        <w:rPr>
          <w:rFonts w:hint="eastAsia" w:ascii="黑体" w:hAnsi="黑体" w:eastAsia="黑体"/>
          <w:b/>
          <w:sz w:val="32"/>
          <w:szCs w:val="32"/>
        </w:rPr>
        <w:t>部门职责及工作活动绩效目标指标：</w:t>
      </w:r>
      <w:bookmarkStart w:id="1" w:name="_Toc510096851"/>
    </w:p>
    <w:p>
      <w:pPr>
        <w:jc w:val="center"/>
        <w:outlineLvl w:val="0"/>
        <w:rPr>
          <w:rFonts w:ascii="方正小标宋_GBK" w:eastAsia="方正小标宋_GBK"/>
          <w:sz w:val="32"/>
        </w:rPr>
      </w:pPr>
      <w:r>
        <w:rPr>
          <w:rFonts w:hint="eastAsia" w:ascii="方正小标宋_GBK" w:eastAsia="方正小标宋_GBK"/>
          <w:sz w:val="32"/>
        </w:rPr>
        <w:t>部门职责</w:t>
      </w:r>
      <w:r>
        <w:rPr>
          <w:rFonts w:ascii="方正小标宋_GBK" w:eastAsia="方正小标宋_GBK"/>
          <w:sz w:val="32"/>
        </w:rPr>
        <w:t>-</w:t>
      </w:r>
      <w:r>
        <w:rPr>
          <w:rFonts w:hint="eastAsia" w:ascii="方正小标宋_GBK" w:eastAsia="方正小标宋_GBK"/>
          <w:sz w:val="32"/>
        </w:rPr>
        <w:t>工作活动绩效目标</w:t>
      </w:r>
      <w:bookmarkEnd w:id="1"/>
    </w:p>
    <w:tbl>
      <w:tblPr>
        <w:tblStyle w:val="9"/>
        <w:tblW w:w="1393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93"/>
        <w:gridCol w:w="1149"/>
        <w:gridCol w:w="1415"/>
        <w:gridCol w:w="2121"/>
        <w:gridCol w:w="1768"/>
        <w:gridCol w:w="1158"/>
        <w:gridCol w:w="2859"/>
        <w:gridCol w:w="423"/>
        <w:gridCol w:w="460"/>
        <w:gridCol w:w="864"/>
        <w:gridCol w:w="865"/>
        <w:gridCol w:w="75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0986" w:type="dxa"/>
            <w:gridSpan w:val="8"/>
            <w:tcBorders>
              <w:top w:val="single" w:color="FFFFFF" w:sz="6" w:space="0"/>
              <w:left w:val="single" w:color="FFFFFF" w:sz="6" w:space="0"/>
              <w:right w:val="single" w:color="FFFFFF" w:sz="6" w:space="0"/>
            </w:tcBorders>
            <w:vAlign w:val="center"/>
          </w:tcPr>
          <w:p>
            <w:pPr>
              <w:spacing w:line="300" w:lineRule="exact"/>
              <w:jc w:val="left"/>
              <w:rPr>
                <w:rFonts w:hint="eastAsia" w:ascii="方正小标宋_GBK" w:eastAsia="方正小标宋_GBK"/>
                <w:sz w:val="24"/>
                <w:lang w:val="en-US" w:eastAsia="zh-CN"/>
              </w:rPr>
            </w:pPr>
            <w:r>
              <w:rPr>
                <w:rFonts w:hint="eastAsia" w:ascii="方正小标宋_GBK" w:eastAsia="方正小标宋_GBK"/>
                <w:sz w:val="24"/>
                <w:lang w:val="en-US" w:eastAsia="zh-CN"/>
              </w:rPr>
              <w:t>711 馆陶县总工会</w:t>
            </w:r>
          </w:p>
        </w:tc>
        <w:tc>
          <w:tcPr>
            <w:tcW w:w="2948" w:type="dxa"/>
            <w:gridSpan w:val="4"/>
            <w:tcBorders>
              <w:top w:val="single" w:color="FFFFFF" w:sz="6" w:space="0"/>
              <w:left w:val="single" w:color="FFFFFF" w:sz="6" w:space="0"/>
              <w:right w:val="single" w:color="FFFFFF" w:sz="6" w:space="0"/>
            </w:tcBorders>
            <w:vAlign w:val="center"/>
          </w:tcPr>
          <w:p>
            <w:pPr>
              <w:spacing w:line="300" w:lineRule="exact"/>
              <w:jc w:val="right"/>
              <w:rPr>
                <w:rFonts w:ascii="方正书宋_GBK" w:eastAsia="方正书宋_GBK"/>
                <w:sz w:val="24"/>
              </w:rPr>
            </w:pPr>
            <w:r>
              <w:rPr>
                <w:rFonts w:hint="eastAsia" w:ascii="方正书宋_GBK" w:eastAsia="方正书宋_GBK"/>
                <w:sz w:val="24"/>
              </w:rPr>
              <w:t>单位：元</w:t>
            </w:r>
          </w:p>
        </w:tc>
      </w:tr>
      <w:bookmarkEnd w:id="0"/>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Before w:val="1"/>
          <w:wBefore w:w="93" w:type="dxa"/>
          <w:trHeight w:val="285" w:hRule="atLeast"/>
          <w:jc w:val="center"/>
        </w:trPr>
        <w:tc>
          <w:tcPr>
            <w:tcW w:w="1149" w:type="dxa"/>
            <w:shd w:val="clear" w:color="auto" w:fill="E4ECF7"/>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职责</w:t>
            </w:r>
            <w:r>
              <w:rPr>
                <w:rFonts w:hint="eastAsia" w:ascii="宋体" w:hAnsi="宋体" w:cs="宋体"/>
                <w:i w:val="0"/>
                <w:color w:val="000000"/>
                <w:kern w:val="0"/>
                <w:sz w:val="18"/>
                <w:szCs w:val="18"/>
                <w:u w:val="none"/>
                <w:lang w:val="en-US" w:eastAsia="zh-CN" w:bidi="ar"/>
              </w:rPr>
              <w:t>活动</w:t>
            </w:r>
          </w:p>
        </w:tc>
        <w:tc>
          <w:tcPr>
            <w:tcW w:w="1415" w:type="dxa"/>
            <w:shd w:val="clear" w:color="auto" w:fill="E4ECF7"/>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年度预算数</w:t>
            </w:r>
          </w:p>
        </w:tc>
        <w:tc>
          <w:tcPr>
            <w:tcW w:w="2121" w:type="dxa"/>
            <w:shd w:val="clear" w:color="auto" w:fill="E4ECF7"/>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内容</w:t>
            </w:r>
            <w:r>
              <w:rPr>
                <w:rFonts w:hint="eastAsia" w:ascii="宋体" w:hAnsi="宋体" w:eastAsia="宋体" w:cs="宋体"/>
                <w:i w:val="0"/>
                <w:color w:val="000000"/>
                <w:kern w:val="0"/>
                <w:sz w:val="18"/>
                <w:szCs w:val="18"/>
                <w:u w:val="none"/>
                <w:lang w:val="en-US" w:eastAsia="zh-CN" w:bidi="ar"/>
              </w:rPr>
              <w:t>描述</w:t>
            </w:r>
          </w:p>
        </w:tc>
        <w:tc>
          <w:tcPr>
            <w:tcW w:w="1768" w:type="dxa"/>
            <w:shd w:val="clear" w:color="auto" w:fill="E4ECF7"/>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绩效目标</w:t>
            </w:r>
          </w:p>
        </w:tc>
        <w:tc>
          <w:tcPr>
            <w:tcW w:w="1158" w:type="dxa"/>
            <w:shd w:val="clear" w:color="auto" w:fill="E4ECF7"/>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绩效指标</w:t>
            </w:r>
          </w:p>
        </w:tc>
        <w:tc>
          <w:tcPr>
            <w:tcW w:w="2859" w:type="dxa"/>
            <w:shd w:val="clear" w:color="auto" w:fill="E4ECF7"/>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指标描述</w:t>
            </w:r>
          </w:p>
        </w:tc>
        <w:tc>
          <w:tcPr>
            <w:tcW w:w="883" w:type="dxa"/>
            <w:gridSpan w:val="2"/>
            <w:shd w:val="clear" w:color="auto" w:fill="E4ECF7"/>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优</w:t>
            </w:r>
          </w:p>
        </w:tc>
        <w:tc>
          <w:tcPr>
            <w:tcW w:w="864" w:type="dxa"/>
            <w:shd w:val="clear" w:color="auto" w:fill="E4ECF7"/>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良</w:t>
            </w:r>
          </w:p>
        </w:tc>
        <w:tc>
          <w:tcPr>
            <w:tcW w:w="865" w:type="dxa"/>
            <w:shd w:val="clear" w:color="auto" w:fill="E4ECF7"/>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中</w:t>
            </w:r>
          </w:p>
        </w:tc>
        <w:tc>
          <w:tcPr>
            <w:tcW w:w="759" w:type="dxa"/>
            <w:shd w:val="clear" w:color="auto" w:fill="E4ECF7"/>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Before w:val="1"/>
          <w:wBefore w:w="93" w:type="dxa"/>
          <w:trHeight w:val="285" w:hRule="atLeast"/>
          <w:jc w:val="center"/>
        </w:trPr>
        <w:tc>
          <w:tcPr>
            <w:tcW w:w="1149" w:type="dxa"/>
            <w:shd w:val="clear" w:color="auto" w:fill="E4ECF7"/>
            <w:vAlign w:val="center"/>
          </w:tcPr>
          <w:p>
            <w:pPr>
              <w:jc w:val="center"/>
              <w:rPr>
                <w:rFonts w:hint="eastAsia" w:ascii="宋体" w:hAnsi="宋体" w:eastAsia="宋体" w:cs="宋体"/>
                <w:i w:val="0"/>
                <w:color w:val="000000"/>
                <w:sz w:val="18"/>
                <w:szCs w:val="18"/>
                <w:u w:val="none"/>
              </w:rPr>
            </w:pPr>
          </w:p>
        </w:tc>
        <w:tc>
          <w:tcPr>
            <w:tcW w:w="1415" w:type="dxa"/>
            <w:shd w:val="clear" w:color="auto" w:fill="E4ECF7"/>
            <w:vAlign w:val="center"/>
          </w:tcPr>
          <w:p>
            <w:pPr>
              <w:jc w:val="center"/>
              <w:rPr>
                <w:rFonts w:hint="eastAsia" w:ascii="宋体" w:hAnsi="宋体" w:eastAsia="宋体" w:cs="宋体"/>
                <w:i w:val="0"/>
                <w:color w:val="000000"/>
                <w:sz w:val="18"/>
                <w:szCs w:val="18"/>
                <w:u w:val="none"/>
              </w:rPr>
            </w:pPr>
          </w:p>
        </w:tc>
        <w:tc>
          <w:tcPr>
            <w:tcW w:w="2121" w:type="dxa"/>
            <w:shd w:val="clear" w:color="auto" w:fill="E4ECF7"/>
            <w:vAlign w:val="center"/>
          </w:tcPr>
          <w:p>
            <w:pPr>
              <w:jc w:val="center"/>
              <w:rPr>
                <w:rFonts w:hint="eastAsia" w:ascii="宋体" w:hAnsi="宋体" w:eastAsia="宋体" w:cs="宋体"/>
                <w:i w:val="0"/>
                <w:color w:val="000000"/>
                <w:sz w:val="18"/>
                <w:szCs w:val="18"/>
                <w:u w:val="none"/>
              </w:rPr>
            </w:pPr>
          </w:p>
        </w:tc>
        <w:tc>
          <w:tcPr>
            <w:tcW w:w="1768" w:type="dxa"/>
            <w:shd w:val="clear" w:color="auto" w:fill="E4ECF7"/>
            <w:vAlign w:val="center"/>
          </w:tcPr>
          <w:p>
            <w:pPr>
              <w:jc w:val="center"/>
              <w:rPr>
                <w:rFonts w:hint="eastAsia" w:ascii="宋体" w:hAnsi="宋体" w:eastAsia="宋体" w:cs="宋体"/>
                <w:i w:val="0"/>
                <w:color w:val="000000"/>
                <w:sz w:val="18"/>
                <w:szCs w:val="18"/>
                <w:u w:val="none"/>
              </w:rPr>
            </w:pPr>
          </w:p>
        </w:tc>
        <w:tc>
          <w:tcPr>
            <w:tcW w:w="1158" w:type="dxa"/>
            <w:shd w:val="clear" w:color="auto" w:fill="E4ECF7"/>
            <w:vAlign w:val="center"/>
          </w:tcPr>
          <w:p>
            <w:pPr>
              <w:jc w:val="center"/>
              <w:rPr>
                <w:rFonts w:hint="eastAsia" w:ascii="宋体" w:hAnsi="宋体" w:eastAsia="宋体" w:cs="宋体"/>
                <w:i w:val="0"/>
                <w:color w:val="000000"/>
                <w:sz w:val="18"/>
                <w:szCs w:val="18"/>
                <w:u w:val="none"/>
              </w:rPr>
            </w:pPr>
          </w:p>
        </w:tc>
        <w:tc>
          <w:tcPr>
            <w:tcW w:w="2859" w:type="dxa"/>
            <w:shd w:val="clear" w:color="auto" w:fill="E4ECF7"/>
            <w:vAlign w:val="center"/>
          </w:tcPr>
          <w:p>
            <w:pPr>
              <w:jc w:val="center"/>
              <w:rPr>
                <w:rFonts w:hint="eastAsia" w:ascii="宋体" w:hAnsi="宋体" w:eastAsia="宋体" w:cs="宋体"/>
                <w:i w:val="0"/>
                <w:color w:val="000000"/>
                <w:sz w:val="18"/>
                <w:szCs w:val="18"/>
                <w:u w:val="none"/>
              </w:rPr>
            </w:pPr>
          </w:p>
        </w:tc>
        <w:tc>
          <w:tcPr>
            <w:tcW w:w="883" w:type="dxa"/>
            <w:gridSpan w:val="2"/>
            <w:shd w:val="clear" w:color="auto" w:fill="E4ECF7"/>
            <w:vAlign w:val="center"/>
          </w:tcPr>
          <w:p>
            <w:pPr>
              <w:jc w:val="center"/>
              <w:rPr>
                <w:rFonts w:hint="eastAsia" w:ascii="宋体" w:hAnsi="宋体" w:eastAsia="宋体" w:cs="宋体"/>
                <w:i w:val="0"/>
                <w:color w:val="000000"/>
                <w:sz w:val="18"/>
                <w:szCs w:val="18"/>
                <w:u w:val="none"/>
              </w:rPr>
            </w:pPr>
          </w:p>
        </w:tc>
        <w:tc>
          <w:tcPr>
            <w:tcW w:w="864" w:type="dxa"/>
            <w:shd w:val="clear" w:color="auto" w:fill="E4ECF7"/>
            <w:vAlign w:val="center"/>
          </w:tcPr>
          <w:p>
            <w:pPr>
              <w:jc w:val="center"/>
              <w:rPr>
                <w:rFonts w:hint="eastAsia" w:ascii="宋体" w:hAnsi="宋体" w:eastAsia="宋体" w:cs="宋体"/>
                <w:i w:val="0"/>
                <w:color w:val="000000"/>
                <w:sz w:val="18"/>
                <w:szCs w:val="18"/>
                <w:u w:val="none"/>
              </w:rPr>
            </w:pPr>
          </w:p>
        </w:tc>
        <w:tc>
          <w:tcPr>
            <w:tcW w:w="865" w:type="dxa"/>
            <w:shd w:val="clear" w:color="auto" w:fill="E4ECF7"/>
            <w:vAlign w:val="center"/>
          </w:tcPr>
          <w:p>
            <w:pPr>
              <w:jc w:val="center"/>
              <w:rPr>
                <w:rFonts w:hint="eastAsia" w:ascii="宋体" w:hAnsi="宋体" w:eastAsia="宋体" w:cs="宋体"/>
                <w:i w:val="0"/>
                <w:color w:val="000000"/>
                <w:sz w:val="18"/>
                <w:szCs w:val="18"/>
                <w:u w:val="none"/>
              </w:rPr>
            </w:pPr>
          </w:p>
        </w:tc>
        <w:tc>
          <w:tcPr>
            <w:tcW w:w="759" w:type="dxa"/>
            <w:shd w:val="clear" w:color="auto" w:fill="E4ECF7"/>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Before w:val="1"/>
          <w:wBefore w:w="93" w:type="dxa"/>
          <w:trHeight w:val="285" w:hRule="atLeast"/>
          <w:jc w:val="center"/>
        </w:trPr>
        <w:tc>
          <w:tcPr>
            <w:tcW w:w="114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维护职工合法权益</w:t>
            </w:r>
          </w:p>
        </w:tc>
        <w:tc>
          <w:tcPr>
            <w:tcW w:w="141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p>
        </w:tc>
        <w:tc>
          <w:tcPr>
            <w:tcW w:w="2121"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组织职工开展民主选举、民主决策、民主管理和民主监督工作；推动基层工会建立集体合同制度、工资集体协商和监督保证机制；参与职工安全生产保护工作；为工会组织、干部、职工提供维权渠道。</w:t>
            </w:r>
          </w:p>
        </w:tc>
        <w:tc>
          <w:tcPr>
            <w:tcW w:w="1768"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提高职工代表大会制度和联席会议制度的规范化和有效性。</w:t>
            </w:r>
          </w:p>
        </w:tc>
        <w:tc>
          <w:tcPr>
            <w:tcW w:w="1158"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厂务公开建制率</w:t>
            </w:r>
          </w:p>
        </w:tc>
        <w:tc>
          <w:tcPr>
            <w:tcW w:w="285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建立厂务公开制度的企业占全部建会企业的比重</w:t>
            </w:r>
          </w:p>
        </w:tc>
        <w:tc>
          <w:tcPr>
            <w:tcW w:w="883" w:type="dxa"/>
            <w:gridSpan w:val="2"/>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≥70%</w:t>
            </w:r>
          </w:p>
        </w:tc>
        <w:tc>
          <w:tcPr>
            <w:tcW w:w="864"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w:t>
            </w:r>
          </w:p>
        </w:tc>
        <w:tc>
          <w:tcPr>
            <w:tcW w:w="86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w:t>
            </w:r>
          </w:p>
        </w:tc>
        <w:tc>
          <w:tcPr>
            <w:tcW w:w="75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Before w:val="1"/>
          <w:wBefore w:w="93" w:type="dxa"/>
          <w:trHeight w:val="285" w:hRule="atLeast"/>
          <w:jc w:val="center"/>
        </w:trPr>
        <w:tc>
          <w:tcPr>
            <w:tcW w:w="1149" w:type="dxa"/>
            <w:vMerge w:val="restart"/>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提升职工技能及创新水平</w:t>
            </w:r>
          </w:p>
        </w:tc>
        <w:tc>
          <w:tcPr>
            <w:tcW w:w="141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p>
        </w:tc>
        <w:tc>
          <w:tcPr>
            <w:tcW w:w="2121" w:type="dxa"/>
            <w:vMerge w:val="restart"/>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着眼于加快转变经济发展方式和调整优化经济结构，注重培养高素质技能型人才，加强学历教育，围绕县委、县政府提出的重点工程、重点项目和重点领域，组织全县职工开展劳动竞赛，大力推进实施职工经济技术创新工程。</w:t>
            </w:r>
          </w:p>
        </w:tc>
        <w:tc>
          <w:tcPr>
            <w:tcW w:w="1768" w:type="dxa"/>
            <w:vMerge w:val="restart"/>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广大职工为全县科学发展、绿色崛起大局所作的贡献进一步凸显；广大职工在创新型企业建设中的作用进一步增强；广大职工技术技能素质进一步提升。</w:t>
            </w:r>
          </w:p>
        </w:tc>
        <w:tc>
          <w:tcPr>
            <w:tcW w:w="1158"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参赛职工和参加技能培训职工比率</w:t>
            </w:r>
          </w:p>
        </w:tc>
        <w:tc>
          <w:tcPr>
            <w:tcW w:w="285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规模以上企业参赛职工和参加技能培训职工占规模以上企业全部职工总数的比重</w:t>
            </w:r>
          </w:p>
        </w:tc>
        <w:tc>
          <w:tcPr>
            <w:tcW w:w="883" w:type="dxa"/>
            <w:gridSpan w:val="2"/>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w:t>
            </w:r>
          </w:p>
        </w:tc>
        <w:tc>
          <w:tcPr>
            <w:tcW w:w="864"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≥70%</w:t>
            </w:r>
          </w:p>
        </w:tc>
        <w:tc>
          <w:tcPr>
            <w:tcW w:w="86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w:t>
            </w:r>
          </w:p>
        </w:tc>
        <w:tc>
          <w:tcPr>
            <w:tcW w:w="75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Before w:val="1"/>
          <w:wBefore w:w="93" w:type="dxa"/>
          <w:trHeight w:val="285" w:hRule="atLeast"/>
          <w:jc w:val="center"/>
        </w:trPr>
        <w:tc>
          <w:tcPr>
            <w:tcW w:w="1149" w:type="dxa"/>
            <w:vMerge w:val="continue"/>
            <w:shd w:val="clear" w:color="auto" w:fill="auto"/>
            <w:vAlign w:val="center"/>
          </w:tcPr>
          <w:p>
            <w:pPr>
              <w:rPr>
                <w:rFonts w:hint="eastAsia" w:ascii="宋体" w:hAnsi="宋体" w:eastAsia="宋体" w:cs="宋体"/>
                <w:i w:val="0"/>
                <w:color w:val="000000"/>
                <w:sz w:val="18"/>
                <w:szCs w:val="18"/>
                <w:u w:val="none"/>
              </w:rPr>
            </w:pPr>
          </w:p>
        </w:tc>
        <w:tc>
          <w:tcPr>
            <w:tcW w:w="1415" w:type="dxa"/>
            <w:shd w:val="clear" w:color="auto" w:fill="auto"/>
            <w:vAlign w:val="center"/>
          </w:tcPr>
          <w:p>
            <w:pPr>
              <w:rPr>
                <w:rFonts w:hint="eastAsia" w:ascii="宋体" w:hAnsi="宋体" w:eastAsia="宋体" w:cs="宋体"/>
                <w:i w:val="0"/>
                <w:color w:val="000000"/>
                <w:sz w:val="18"/>
                <w:szCs w:val="18"/>
                <w:u w:val="none"/>
              </w:rPr>
            </w:pPr>
          </w:p>
        </w:tc>
        <w:tc>
          <w:tcPr>
            <w:tcW w:w="2121" w:type="dxa"/>
            <w:vMerge w:val="continue"/>
            <w:shd w:val="clear" w:color="auto" w:fill="auto"/>
            <w:vAlign w:val="center"/>
          </w:tcPr>
          <w:p>
            <w:pPr>
              <w:rPr>
                <w:rFonts w:hint="eastAsia" w:ascii="宋体" w:hAnsi="宋体" w:eastAsia="宋体" w:cs="宋体"/>
                <w:i w:val="0"/>
                <w:color w:val="000000"/>
                <w:sz w:val="18"/>
                <w:szCs w:val="18"/>
                <w:u w:val="none"/>
              </w:rPr>
            </w:pPr>
          </w:p>
        </w:tc>
        <w:tc>
          <w:tcPr>
            <w:tcW w:w="1768" w:type="dxa"/>
            <w:vMerge w:val="continue"/>
            <w:shd w:val="clear" w:color="auto" w:fill="auto"/>
            <w:vAlign w:val="center"/>
          </w:tcPr>
          <w:p>
            <w:pPr>
              <w:rPr>
                <w:rFonts w:hint="eastAsia" w:ascii="宋体" w:hAnsi="宋体" w:eastAsia="宋体" w:cs="宋体"/>
                <w:i w:val="0"/>
                <w:color w:val="000000"/>
                <w:sz w:val="18"/>
                <w:szCs w:val="18"/>
                <w:u w:val="none"/>
              </w:rPr>
            </w:pPr>
          </w:p>
        </w:tc>
        <w:tc>
          <w:tcPr>
            <w:tcW w:w="1158"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开展岗位练兵、技能比赛的企业比例</w:t>
            </w:r>
          </w:p>
        </w:tc>
        <w:tc>
          <w:tcPr>
            <w:tcW w:w="285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开展岗位练兵、技能比赛的企业占全县规模以上企业的比重</w:t>
            </w:r>
          </w:p>
        </w:tc>
        <w:tc>
          <w:tcPr>
            <w:tcW w:w="883" w:type="dxa"/>
            <w:gridSpan w:val="2"/>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w:t>
            </w:r>
          </w:p>
        </w:tc>
        <w:tc>
          <w:tcPr>
            <w:tcW w:w="864"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≥70%</w:t>
            </w:r>
          </w:p>
        </w:tc>
        <w:tc>
          <w:tcPr>
            <w:tcW w:w="86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w:t>
            </w:r>
          </w:p>
        </w:tc>
        <w:tc>
          <w:tcPr>
            <w:tcW w:w="75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Before w:val="1"/>
          <w:wBefore w:w="93" w:type="dxa"/>
          <w:trHeight w:val="285" w:hRule="atLeast"/>
          <w:jc w:val="center"/>
        </w:trPr>
        <w:tc>
          <w:tcPr>
            <w:tcW w:w="1149" w:type="dxa"/>
            <w:vMerge w:val="continue"/>
            <w:shd w:val="clear" w:color="auto" w:fill="auto"/>
            <w:vAlign w:val="center"/>
          </w:tcPr>
          <w:p>
            <w:pPr>
              <w:rPr>
                <w:rFonts w:hint="eastAsia" w:ascii="宋体" w:hAnsi="宋体" w:eastAsia="宋体" w:cs="宋体"/>
                <w:i w:val="0"/>
                <w:color w:val="000000"/>
                <w:sz w:val="18"/>
                <w:szCs w:val="18"/>
                <w:u w:val="none"/>
              </w:rPr>
            </w:pPr>
          </w:p>
        </w:tc>
        <w:tc>
          <w:tcPr>
            <w:tcW w:w="1415" w:type="dxa"/>
            <w:shd w:val="clear" w:color="auto" w:fill="auto"/>
            <w:vAlign w:val="center"/>
          </w:tcPr>
          <w:p>
            <w:pPr>
              <w:rPr>
                <w:rFonts w:hint="eastAsia" w:ascii="宋体" w:hAnsi="宋体" w:eastAsia="宋体" w:cs="宋体"/>
                <w:i w:val="0"/>
                <w:color w:val="000000"/>
                <w:sz w:val="18"/>
                <w:szCs w:val="18"/>
                <w:u w:val="none"/>
              </w:rPr>
            </w:pPr>
          </w:p>
        </w:tc>
        <w:tc>
          <w:tcPr>
            <w:tcW w:w="2121" w:type="dxa"/>
            <w:vMerge w:val="continue"/>
            <w:shd w:val="clear" w:color="auto" w:fill="auto"/>
            <w:vAlign w:val="center"/>
          </w:tcPr>
          <w:p>
            <w:pPr>
              <w:rPr>
                <w:rFonts w:hint="eastAsia" w:ascii="宋体" w:hAnsi="宋体" w:eastAsia="宋体" w:cs="宋体"/>
                <w:i w:val="0"/>
                <w:color w:val="000000"/>
                <w:sz w:val="18"/>
                <w:szCs w:val="18"/>
                <w:u w:val="none"/>
              </w:rPr>
            </w:pPr>
          </w:p>
        </w:tc>
        <w:tc>
          <w:tcPr>
            <w:tcW w:w="1768" w:type="dxa"/>
            <w:vMerge w:val="continue"/>
            <w:shd w:val="clear" w:color="auto" w:fill="auto"/>
            <w:vAlign w:val="center"/>
          </w:tcPr>
          <w:p>
            <w:pPr>
              <w:rPr>
                <w:rFonts w:hint="eastAsia" w:ascii="宋体" w:hAnsi="宋体" w:eastAsia="宋体" w:cs="宋体"/>
                <w:i w:val="0"/>
                <w:color w:val="000000"/>
                <w:sz w:val="18"/>
                <w:szCs w:val="18"/>
                <w:u w:val="none"/>
              </w:rPr>
            </w:pPr>
          </w:p>
        </w:tc>
        <w:tc>
          <w:tcPr>
            <w:tcW w:w="1158"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职工年完成发明创造数量</w:t>
            </w:r>
          </w:p>
        </w:tc>
        <w:tc>
          <w:tcPr>
            <w:tcW w:w="285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职工每年完成发明创造的数量</w:t>
            </w:r>
          </w:p>
        </w:tc>
        <w:tc>
          <w:tcPr>
            <w:tcW w:w="883" w:type="dxa"/>
            <w:gridSpan w:val="2"/>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864"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6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75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Before w:val="1"/>
          <w:wBefore w:w="93" w:type="dxa"/>
          <w:trHeight w:val="285" w:hRule="atLeast"/>
          <w:jc w:val="center"/>
        </w:trPr>
        <w:tc>
          <w:tcPr>
            <w:tcW w:w="1149" w:type="dxa"/>
            <w:vMerge w:val="continue"/>
            <w:shd w:val="clear" w:color="auto" w:fill="auto"/>
            <w:vAlign w:val="center"/>
          </w:tcPr>
          <w:p>
            <w:pPr>
              <w:rPr>
                <w:rFonts w:hint="eastAsia" w:ascii="宋体" w:hAnsi="宋体" w:eastAsia="宋体" w:cs="宋体"/>
                <w:i w:val="0"/>
                <w:color w:val="000000"/>
                <w:sz w:val="18"/>
                <w:szCs w:val="18"/>
                <w:u w:val="none"/>
              </w:rPr>
            </w:pPr>
          </w:p>
        </w:tc>
        <w:tc>
          <w:tcPr>
            <w:tcW w:w="1415" w:type="dxa"/>
            <w:shd w:val="clear" w:color="auto" w:fill="auto"/>
            <w:vAlign w:val="center"/>
          </w:tcPr>
          <w:p>
            <w:pPr>
              <w:rPr>
                <w:rFonts w:hint="eastAsia" w:ascii="宋体" w:hAnsi="宋体" w:eastAsia="宋体" w:cs="宋体"/>
                <w:i w:val="0"/>
                <w:color w:val="000000"/>
                <w:sz w:val="18"/>
                <w:szCs w:val="18"/>
                <w:u w:val="none"/>
              </w:rPr>
            </w:pPr>
          </w:p>
        </w:tc>
        <w:tc>
          <w:tcPr>
            <w:tcW w:w="2121" w:type="dxa"/>
            <w:vMerge w:val="continue"/>
            <w:shd w:val="clear" w:color="auto" w:fill="auto"/>
            <w:vAlign w:val="center"/>
          </w:tcPr>
          <w:p>
            <w:pPr>
              <w:rPr>
                <w:rFonts w:hint="eastAsia" w:ascii="宋体" w:hAnsi="宋体" w:eastAsia="宋体" w:cs="宋体"/>
                <w:i w:val="0"/>
                <w:color w:val="000000"/>
                <w:sz w:val="18"/>
                <w:szCs w:val="18"/>
                <w:u w:val="none"/>
              </w:rPr>
            </w:pPr>
          </w:p>
        </w:tc>
        <w:tc>
          <w:tcPr>
            <w:tcW w:w="1768" w:type="dxa"/>
            <w:vMerge w:val="continue"/>
            <w:shd w:val="clear" w:color="auto" w:fill="auto"/>
            <w:vAlign w:val="center"/>
          </w:tcPr>
          <w:p>
            <w:pPr>
              <w:rPr>
                <w:rFonts w:hint="eastAsia" w:ascii="宋体" w:hAnsi="宋体" w:eastAsia="宋体" w:cs="宋体"/>
                <w:i w:val="0"/>
                <w:color w:val="000000"/>
                <w:sz w:val="18"/>
                <w:szCs w:val="18"/>
                <w:u w:val="none"/>
              </w:rPr>
            </w:pPr>
          </w:p>
        </w:tc>
        <w:tc>
          <w:tcPr>
            <w:tcW w:w="1158"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指导管理工作次数</w:t>
            </w:r>
          </w:p>
        </w:tc>
        <w:tc>
          <w:tcPr>
            <w:tcW w:w="285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指导基层工会开展群众性经济技术创新活动以及劳动竞赛、岗位练兵和技能比赛等群众性活动的次数</w:t>
            </w:r>
          </w:p>
        </w:tc>
        <w:tc>
          <w:tcPr>
            <w:tcW w:w="883" w:type="dxa"/>
            <w:gridSpan w:val="2"/>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864"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86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5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Before w:val="1"/>
          <w:wBefore w:w="93" w:type="dxa"/>
          <w:trHeight w:val="285" w:hRule="atLeast"/>
          <w:jc w:val="center"/>
        </w:trPr>
        <w:tc>
          <w:tcPr>
            <w:tcW w:w="1149" w:type="dxa"/>
            <w:vMerge w:val="continue"/>
            <w:shd w:val="clear" w:color="auto" w:fill="auto"/>
            <w:vAlign w:val="center"/>
          </w:tcPr>
          <w:p>
            <w:pPr>
              <w:rPr>
                <w:rFonts w:hint="eastAsia" w:ascii="宋体" w:hAnsi="宋体" w:eastAsia="宋体" w:cs="宋体"/>
                <w:i w:val="0"/>
                <w:color w:val="000000"/>
                <w:sz w:val="18"/>
                <w:szCs w:val="18"/>
                <w:u w:val="none"/>
              </w:rPr>
            </w:pPr>
          </w:p>
        </w:tc>
        <w:tc>
          <w:tcPr>
            <w:tcW w:w="1415" w:type="dxa"/>
            <w:shd w:val="clear" w:color="auto" w:fill="auto"/>
            <w:vAlign w:val="center"/>
          </w:tcPr>
          <w:p>
            <w:pPr>
              <w:rPr>
                <w:rFonts w:hint="eastAsia" w:ascii="宋体" w:hAnsi="宋体" w:eastAsia="宋体" w:cs="宋体"/>
                <w:i w:val="0"/>
                <w:color w:val="000000"/>
                <w:sz w:val="18"/>
                <w:szCs w:val="18"/>
                <w:u w:val="none"/>
              </w:rPr>
            </w:pPr>
          </w:p>
        </w:tc>
        <w:tc>
          <w:tcPr>
            <w:tcW w:w="2121" w:type="dxa"/>
            <w:vMerge w:val="continue"/>
            <w:shd w:val="clear" w:color="auto" w:fill="auto"/>
            <w:vAlign w:val="center"/>
          </w:tcPr>
          <w:p>
            <w:pPr>
              <w:rPr>
                <w:rFonts w:hint="eastAsia" w:ascii="宋体" w:hAnsi="宋体" w:eastAsia="宋体" w:cs="宋体"/>
                <w:i w:val="0"/>
                <w:color w:val="000000"/>
                <w:sz w:val="18"/>
                <w:szCs w:val="18"/>
                <w:u w:val="none"/>
              </w:rPr>
            </w:pPr>
          </w:p>
        </w:tc>
        <w:tc>
          <w:tcPr>
            <w:tcW w:w="1768" w:type="dxa"/>
            <w:vMerge w:val="continue"/>
            <w:shd w:val="clear" w:color="auto" w:fill="auto"/>
            <w:vAlign w:val="center"/>
          </w:tcPr>
          <w:p>
            <w:pPr>
              <w:rPr>
                <w:rFonts w:hint="eastAsia" w:ascii="宋体" w:hAnsi="宋体" w:eastAsia="宋体" w:cs="宋体"/>
                <w:i w:val="0"/>
                <w:color w:val="000000"/>
                <w:sz w:val="18"/>
                <w:szCs w:val="18"/>
                <w:u w:val="none"/>
              </w:rPr>
            </w:pPr>
          </w:p>
        </w:tc>
        <w:tc>
          <w:tcPr>
            <w:tcW w:w="1158"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职工年完成技术革新项目数量</w:t>
            </w:r>
          </w:p>
        </w:tc>
        <w:tc>
          <w:tcPr>
            <w:tcW w:w="285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职工每年完成技术革新项目的数量</w:t>
            </w:r>
          </w:p>
        </w:tc>
        <w:tc>
          <w:tcPr>
            <w:tcW w:w="883" w:type="dxa"/>
            <w:gridSpan w:val="2"/>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64"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86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75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Before w:val="1"/>
          <w:wBefore w:w="93" w:type="dxa"/>
          <w:trHeight w:val="285" w:hRule="atLeast"/>
          <w:jc w:val="center"/>
        </w:trPr>
        <w:tc>
          <w:tcPr>
            <w:tcW w:w="114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工会事务管理</w:t>
            </w:r>
          </w:p>
        </w:tc>
        <w:tc>
          <w:tcPr>
            <w:tcW w:w="141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2400000</w:t>
            </w:r>
          </w:p>
        </w:tc>
        <w:tc>
          <w:tcPr>
            <w:tcW w:w="2121"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研究指导全县工会自身建设；监督检查党员干部廉政建设；负责工会干部管理制度和培训规划制定以及培训工作；负责工会经费和工会资产的管理、审查、审计工作；承担县委、县政府及省市总工会交办的其他事项。</w:t>
            </w:r>
          </w:p>
        </w:tc>
        <w:tc>
          <w:tcPr>
            <w:tcW w:w="1768"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切实提高工会综合事务管理水平，保障单位的正常运转</w:t>
            </w:r>
          </w:p>
        </w:tc>
        <w:tc>
          <w:tcPr>
            <w:tcW w:w="1158"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各项综合事务工作完成率</w:t>
            </w:r>
          </w:p>
        </w:tc>
        <w:tc>
          <w:tcPr>
            <w:tcW w:w="285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综合事务工作任务完成情况</w:t>
            </w:r>
          </w:p>
        </w:tc>
        <w:tc>
          <w:tcPr>
            <w:tcW w:w="883" w:type="dxa"/>
            <w:gridSpan w:val="2"/>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864"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865"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75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r>
    </w:tbl>
    <w:p>
      <w:pPr>
        <w:autoSpaceDE w:val="0"/>
        <w:autoSpaceDN w:val="0"/>
        <w:adjustRightInd w:val="0"/>
        <w:ind w:firstLine="643" w:firstLineChars="200"/>
        <w:jc w:val="left"/>
        <w:rPr>
          <w:rFonts w:ascii="黑体" w:hAnsi="黑体" w:eastAsia="黑体"/>
          <w:b/>
          <w:sz w:val="32"/>
          <w:szCs w:val="32"/>
        </w:rPr>
      </w:pPr>
      <w:r>
        <w:rPr>
          <w:rFonts w:hint="eastAsia" w:ascii="黑体" w:hAnsi="黑体" w:eastAsia="黑体"/>
          <w:b/>
          <w:sz w:val="32"/>
          <w:szCs w:val="32"/>
        </w:rPr>
        <w:t>六、政府采购预算情况</w:t>
      </w:r>
    </w:p>
    <w:p>
      <w:pPr>
        <w:outlineLvl w:val="0"/>
        <w:rPr>
          <w:rFonts w:ascii="仿宋_GB2312" w:hAnsi="Times New Roman" w:eastAsia="仿宋_GB2312"/>
          <w:sz w:val="32"/>
          <w:szCs w:val="24"/>
        </w:rPr>
      </w:pPr>
      <w:bookmarkStart w:id="2" w:name="_Toc471398468"/>
      <w:r>
        <w:rPr>
          <w:rFonts w:ascii="方正小标宋_GBK" w:hAnsi="Times New Roman" w:eastAsia="方正小标宋_GBK"/>
          <w:sz w:val="32"/>
          <w:szCs w:val="24"/>
        </w:rPr>
        <w:t xml:space="preserve"> </w:t>
      </w:r>
      <w:r>
        <w:rPr>
          <w:rFonts w:ascii="Times New Roman" w:hAnsi="Times New Roman" w:eastAsia="方正仿宋_GBK"/>
          <w:sz w:val="32"/>
          <w:szCs w:val="24"/>
        </w:rPr>
        <w:t xml:space="preserve">   </w:t>
      </w:r>
      <w:r>
        <w:rPr>
          <w:rFonts w:ascii="仿宋_GB2312" w:hAnsi="Times New Roman" w:eastAsia="仿宋_GB2312"/>
          <w:sz w:val="32"/>
          <w:szCs w:val="24"/>
        </w:rPr>
        <w:t>201</w:t>
      </w:r>
      <w:r>
        <w:rPr>
          <w:rFonts w:hint="eastAsia" w:ascii="仿宋_GB2312" w:hAnsi="Times New Roman" w:eastAsia="仿宋_GB2312"/>
          <w:sz w:val="32"/>
          <w:szCs w:val="24"/>
          <w:lang w:val="en-US" w:eastAsia="zh-CN"/>
        </w:rPr>
        <w:t>9</w:t>
      </w:r>
      <w:r>
        <w:rPr>
          <w:rFonts w:hint="eastAsia" w:ascii="仿宋_GB2312" w:hAnsi="Times New Roman" w:eastAsia="仿宋_GB2312"/>
          <w:sz w:val="32"/>
          <w:szCs w:val="24"/>
        </w:rPr>
        <w:t>年，我单位安排政府采</w:t>
      </w:r>
      <w:r>
        <w:rPr>
          <w:rFonts w:hint="eastAsia" w:ascii="仿宋_GB2312" w:hAnsi="Times New Roman" w:eastAsia="仿宋_GB2312"/>
          <w:sz w:val="32"/>
          <w:szCs w:val="24"/>
          <w:lang w:val="en-US" w:eastAsia="zh-CN"/>
        </w:rPr>
        <w:t>0</w:t>
      </w:r>
      <w:r>
        <w:rPr>
          <w:rFonts w:hint="eastAsia" w:ascii="仿宋_GB2312" w:hAnsi="Times New Roman" w:eastAsia="仿宋_GB2312"/>
          <w:sz w:val="32"/>
          <w:szCs w:val="24"/>
        </w:rPr>
        <w:t>万元。</w:t>
      </w:r>
    </w:p>
    <w:bookmarkEnd w:id="2"/>
    <w:p>
      <w:pPr>
        <w:autoSpaceDE w:val="0"/>
        <w:autoSpaceDN w:val="0"/>
        <w:adjustRightInd w:val="0"/>
        <w:ind w:firstLine="643" w:firstLineChars="200"/>
        <w:jc w:val="left"/>
        <w:rPr>
          <w:rFonts w:ascii="黑体" w:hAnsi="黑体" w:eastAsia="黑体"/>
          <w:b/>
          <w:sz w:val="32"/>
          <w:szCs w:val="32"/>
        </w:rPr>
      </w:pPr>
      <w:r>
        <w:rPr>
          <w:rFonts w:hint="eastAsia" w:ascii="黑体" w:hAnsi="黑体" w:eastAsia="黑体"/>
          <w:b/>
          <w:sz w:val="32"/>
          <w:szCs w:val="32"/>
        </w:rPr>
        <w:t>七、国有资产信息</w:t>
      </w:r>
    </w:p>
    <w:p>
      <w:pPr>
        <w:ind w:firstLine="640"/>
        <w:rPr>
          <w:rFonts w:ascii="仿宋_GB2312" w:hAnsi="黑体" w:eastAsia="仿宋_GB2312"/>
          <w:sz w:val="32"/>
          <w:szCs w:val="32"/>
        </w:rPr>
      </w:pPr>
      <w:r>
        <w:rPr>
          <w:rFonts w:hint="eastAsia" w:ascii="仿宋_GB2312" w:hAnsi="黑体" w:eastAsia="仿宋_GB2312"/>
          <w:sz w:val="32"/>
          <w:szCs w:val="32"/>
          <w:lang w:eastAsia="zh-CN"/>
        </w:rPr>
        <w:t>我单位</w:t>
      </w:r>
      <w:r>
        <w:rPr>
          <w:rFonts w:hint="eastAsia" w:ascii="仿宋_GB2312" w:hAnsi="黑体" w:eastAsia="仿宋_GB2312"/>
          <w:sz w:val="32"/>
          <w:szCs w:val="32"/>
        </w:rPr>
        <w:t>固定资产金额为</w:t>
      </w:r>
      <w:r>
        <w:rPr>
          <w:rFonts w:hint="eastAsia" w:ascii="仿宋_GB2312" w:hAnsi="黑体" w:eastAsia="仿宋_GB2312"/>
          <w:sz w:val="32"/>
          <w:szCs w:val="32"/>
          <w:lang w:val="en-US" w:eastAsia="zh-CN"/>
        </w:rPr>
        <w:t>16</w:t>
      </w:r>
      <w:r>
        <w:rPr>
          <w:rFonts w:hint="eastAsia" w:ascii="仿宋_GB2312" w:hAnsi="黑体" w:eastAsia="仿宋_GB2312"/>
          <w:sz w:val="32"/>
          <w:szCs w:val="32"/>
        </w:rPr>
        <w:t>万元（</w:t>
      </w:r>
      <w:r>
        <w:rPr>
          <w:rFonts w:hint="eastAsia" w:ascii="仿宋_GB2312" w:hAnsi="Times New Roman" w:eastAsia="仿宋_GB2312"/>
          <w:sz w:val="32"/>
          <w:szCs w:val="32"/>
        </w:rPr>
        <w:t>详见下表），</w:t>
      </w:r>
      <w:r>
        <w:rPr>
          <w:rFonts w:hint="eastAsia" w:ascii="仿宋_GB2312" w:hAnsi="黑体" w:eastAsia="仿宋_GB2312"/>
          <w:sz w:val="32"/>
          <w:szCs w:val="32"/>
        </w:rPr>
        <w:t>本年度我单位拟购置固定资产</w:t>
      </w:r>
      <w:r>
        <w:rPr>
          <w:rFonts w:hint="eastAsia" w:ascii="仿宋_GB2312" w:hAnsi="Times New Roman" w:eastAsia="仿宋_GB2312"/>
          <w:sz w:val="32"/>
          <w:szCs w:val="32"/>
        </w:rPr>
        <w:t>总额为</w:t>
      </w:r>
      <w:r>
        <w:rPr>
          <w:rFonts w:hint="eastAsia" w:ascii="仿宋_GB2312" w:hAnsi="Times New Roman" w:eastAsia="仿宋_GB2312"/>
          <w:sz w:val="32"/>
          <w:szCs w:val="32"/>
          <w:lang w:val="en-US" w:eastAsia="zh-CN"/>
        </w:rPr>
        <w:t>0</w:t>
      </w:r>
      <w:r>
        <w:rPr>
          <w:rFonts w:hint="eastAsia" w:ascii="仿宋_GB2312" w:hAnsi="Times New Roman" w:eastAsia="仿宋_GB2312"/>
          <w:sz w:val="32"/>
          <w:szCs w:val="32"/>
        </w:rPr>
        <w:t>万元，</w:t>
      </w:r>
      <w:r>
        <w:rPr>
          <w:rFonts w:hint="eastAsia" w:ascii="仿宋_GB2312" w:hAnsi="黑体" w:eastAsia="仿宋_GB2312"/>
          <w:sz w:val="32"/>
          <w:szCs w:val="32"/>
        </w:rPr>
        <w:t>主要为计算机设备及软件</w:t>
      </w:r>
      <w:r>
        <w:rPr>
          <w:rFonts w:hint="eastAsia" w:ascii="仿宋_GB2312" w:hAnsi="黑体" w:eastAsia="仿宋_GB2312"/>
          <w:sz w:val="32"/>
          <w:szCs w:val="32"/>
          <w:lang w:eastAsia="zh-CN"/>
        </w:rPr>
        <w:t>和打印机设备</w:t>
      </w:r>
      <w:r>
        <w:rPr>
          <w:rFonts w:hint="eastAsia" w:ascii="仿宋_GB2312" w:hAnsi="黑体" w:eastAsia="仿宋_GB2312"/>
          <w:sz w:val="32"/>
          <w:szCs w:val="32"/>
        </w:rPr>
        <w:t>，已列入政府采购预算，详见政府采购预算表。</w:t>
      </w:r>
    </w:p>
    <w:tbl>
      <w:tblPr>
        <w:tblStyle w:val="9"/>
        <w:tblW w:w="11295" w:type="dxa"/>
        <w:jc w:val="center"/>
        <w:tblLayout w:type="fixed"/>
        <w:tblCellMar>
          <w:top w:w="15" w:type="dxa"/>
          <w:left w:w="15" w:type="dxa"/>
          <w:bottom w:w="15" w:type="dxa"/>
          <w:right w:w="15" w:type="dxa"/>
        </w:tblCellMar>
      </w:tblPr>
      <w:tblGrid>
        <w:gridCol w:w="4191"/>
        <w:gridCol w:w="1103"/>
        <w:gridCol w:w="1344"/>
        <w:gridCol w:w="1635"/>
        <w:gridCol w:w="3022"/>
      </w:tblGrid>
      <w:tr>
        <w:tblPrEx>
          <w:tblCellMar>
            <w:top w:w="15" w:type="dxa"/>
            <w:left w:w="15" w:type="dxa"/>
            <w:bottom w:w="15" w:type="dxa"/>
            <w:right w:w="15" w:type="dxa"/>
          </w:tblCellMar>
        </w:tblPrEx>
        <w:trPr>
          <w:trHeight w:val="540" w:hRule="atLeast"/>
          <w:jc w:val="center"/>
        </w:trPr>
        <w:tc>
          <w:tcPr>
            <w:tcW w:w="11295" w:type="dxa"/>
            <w:gridSpan w:val="5"/>
            <w:vAlign w:val="bottom"/>
          </w:tcPr>
          <w:p>
            <w:pPr>
              <w:widowControl/>
              <w:jc w:val="center"/>
              <w:textAlignment w:val="bottom"/>
              <w:rPr>
                <w:rFonts w:ascii="宋体" w:cs="宋体"/>
                <w:b/>
                <w:color w:val="000000"/>
                <w:sz w:val="32"/>
                <w:szCs w:val="32"/>
              </w:rPr>
            </w:pPr>
            <w:r>
              <w:rPr>
                <w:rFonts w:hint="eastAsia" w:ascii="宋体" w:hAnsi="宋体" w:cs="宋体"/>
                <w:b/>
                <w:color w:val="000000"/>
                <w:kern w:val="0"/>
                <w:sz w:val="32"/>
                <w:szCs w:val="32"/>
              </w:rPr>
              <w:t>部门固定资产占用情况表</w:t>
            </w:r>
          </w:p>
        </w:tc>
      </w:tr>
      <w:tr>
        <w:tblPrEx>
          <w:tblCellMar>
            <w:top w:w="15" w:type="dxa"/>
            <w:left w:w="15" w:type="dxa"/>
            <w:bottom w:w="15" w:type="dxa"/>
            <w:right w:w="15" w:type="dxa"/>
          </w:tblCellMar>
        </w:tblPrEx>
        <w:trPr>
          <w:trHeight w:val="256" w:hRule="atLeast"/>
          <w:jc w:val="center"/>
        </w:trPr>
        <w:tc>
          <w:tcPr>
            <w:tcW w:w="4191" w:type="dxa"/>
            <w:vAlign w:val="bottom"/>
          </w:tcPr>
          <w:p>
            <w:pPr>
              <w:rPr>
                <w:rFonts w:ascii="Arial" w:hAnsi="Arial" w:cs="Arial"/>
                <w:color w:val="000000"/>
                <w:sz w:val="20"/>
                <w:szCs w:val="20"/>
              </w:rPr>
            </w:pPr>
          </w:p>
        </w:tc>
        <w:tc>
          <w:tcPr>
            <w:tcW w:w="1103" w:type="dxa"/>
            <w:vAlign w:val="bottom"/>
          </w:tcPr>
          <w:p>
            <w:pPr>
              <w:rPr>
                <w:rFonts w:ascii="Arial" w:hAnsi="Arial" w:cs="Arial"/>
                <w:color w:val="000000"/>
                <w:sz w:val="20"/>
                <w:szCs w:val="20"/>
              </w:rPr>
            </w:pPr>
          </w:p>
        </w:tc>
        <w:tc>
          <w:tcPr>
            <w:tcW w:w="1344" w:type="dxa"/>
            <w:vAlign w:val="bottom"/>
          </w:tcPr>
          <w:p>
            <w:pPr>
              <w:rPr>
                <w:rFonts w:ascii="Arial" w:hAnsi="Arial" w:cs="Arial"/>
                <w:color w:val="000000"/>
                <w:sz w:val="20"/>
                <w:szCs w:val="20"/>
              </w:rPr>
            </w:pPr>
          </w:p>
        </w:tc>
        <w:tc>
          <w:tcPr>
            <w:tcW w:w="1635" w:type="dxa"/>
            <w:vAlign w:val="bottom"/>
          </w:tcPr>
          <w:p>
            <w:pPr>
              <w:rPr>
                <w:rFonts w:ascii="Arial" w:hAnsi="Arial" w:cs="Arial"/>
                <w:color w:val="000000"/>
                <w:sz w:val="20"/>
                <w:szCs w:val="20"/>
              </w:rPr>
            </w:pPr>
          </w:p>
        </w:tc>
        <w:tc>
          <w:tcPr>
            <w:tcW w:w="3022" w:type="dxa"/>
            <w:vAlign w:val="bottom"/>
          </w:tcPr>
          <w:p>
            <w:pPr>
              <w:rPr>
                <w:rFonts w:ascii="Arial" w:hAnsi="Arial" w:cs="Arial"/>
                <w:color w:val="000000"/>
                <w:sz w:val="20"/>
                <w:szCs w:val="20"/>
              </w:rPr>
            </w:pPr>
          </w:p>
        </w:tc>
      </w:tr>
      <w:tr>
        <w:tblPrEx>
          <w:tblCellMar>
            <w:top w:w="15" w:type="dxa"/>
            <w:left w:w="15" w:type="dxa"/>
            <w:bottom w:w="15" w:type="dxa"/>
            <w:right w:w="15" w:type="dxa"/>
          </w:tblCellMar>
        </w:tblPrEx>
        <w:trPr>
          <w:trHeight w:val="285" w:hRule="atLeast"/>
          <w:jc w:val="center"/>
        </w:trPr>
        <w:tc>
          <w:tcPr>
            <w:tcW w:w="4191"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宋体" w:cs="宋体"/>
                <w:color w:val="000000"/>
                <w:sz w:val="24"/>
                <w:szCs w:val="24"/>
              </w:rPr>
            </w:pPr>
            <w:r>
              <w:rPr>
                <w:rFonts w:hint="eastAsia" w:ascii="宋体" w:hAnsi="宋体" w:cs="宋体"/>
                <w:color w:val="000000"/>
                <w:kern w:val="0"/>
                <w:sz w:val="24"/>
                <w:szCs w:val="24"/>
              </w:rPr>
              <w:t>编制单位：</w:t>
            </w:r>
            <w:r>
              <w:rPr>
                <w:rFonts w:hint="eastAsia" w:ascii="宋体" w:hAnsi="宋体" w:cs="宋体"/>
                <w:color w:val="000000"/>
                <w:kern w:val="0"/>
                <w:sz w:val="24"/>
                <w:szCs w:val="24"/>
                <w:lang w:eastAsia="zh-CN"/>
              </w:rPr>
              <w:t>馆陶县工会</w:t>
            </w:r>
          </w:p>
        </w:tc>
        <w:tc>
          <w:tcPr>
            <w:tcW w:w="1103" w:type="dxa"/>
            <w:tcBorders>
              <w:top w:val="single" w:color="000000" w:sz="4" w:space="0"/>
              <w:left w:val="single" w:color="000000" w:sz="4" w:space="0"/>
              <w:bottom w:val="single" w:color="000000" w:sz="4" w:space="0"/>
              <w:right w:val="single" w:color="000000" w:sz="4" w:space="0"/>
            </w:tcBorders>
            <w:vAlign w:val="bottom"/>
          </w:tcPr>
          <w:p>
            <w:pPr>
              <w:rPr>
                <w:rFonts w:ascii="Arial" w:hAnsi="Arial" w:cs="Arial"/>
                <w:color w:val="000000"/>
                <w:sz w:val="20"/>
                <w:szCs w:val="20"/>
              </w:rPr>
            </w:pPr>
          </w:p>
        </w:tc>
        <w:tc>
          <w:tcPr>
            <w:tcW w:w="1344" w:type="dxa"/>
            <w:tcBorders>
              <w:top w:val="single" w:color="000000" w:sz="4" w:space="0"/>
              <w:left w:val="single" w:color="000000" w:sz="4" w:space="0"/>
              <w:bottom w:val="single" w:color="000000" w:sz="4" w:space="0"/>
              <w:right w:val="single" w:color="000000" w:sz="4" w:space="0"/>
            </w:tcBorders>
            <w:vAlign w:val="bottom"/>
          </w:tcPr>
          <w:p>
            <w:pPr>
              <w:rPr>
                <w:rFonts w:ascii="Arial" w:hAnsi="Arial" w:cs="Arial"/>
                <w:color w:val="000000"/>
                <w:sz w:val="20"/>
                <w:szCs w:val="20"/>
              </w:rPr>
            </w:pPr>
          </w:p>
        </w:tc>
        <w:tc>
          <w:tcPr>
            <w:tcW w:w="1635"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宋体" w:cs="宋体"/>
                <w:color w:val="000000"/>
                <w:sz w:val="24"/>
                <w:szCs w:val="24"/>
              </w:rPr>
            </w:pPr>
            <w:r>
              <w:rPr>
                <w:rFonts w:ascii="宋体" w:hAnsi="宋体" w:cs="宋体"/>
                <w:color w:val="000000"/>
                <w:kern w:val="0"/>
                <w:sz w:val="24"/>
                <w:szCs w:val="24"/>
              </w:rPr>
              <w:t>201</w:t>
            </w:r>
            <w:r>
              <w:rPr>
                <w:rFonts w:hint="eastAsia" w:ascii="宋体" w:hAnsi="宋体" w:cs="宋体"/>
                <w:color w:val="000000"/>
                <w:kern w:val="0"/>
                <w:sz w:val="24"/>
                <w:szCs w:val="24"/>
                <w:lang w:val="en-US" w:eastAsia="zh-CN"/>
              </w:rPr>
              <w:t>8</w:t>
            </w:r>
            <w:r>
              <w:rPr>
                <w:rFonts w:hint="eastAsia" w:ascii="宋体" w:hAnsi="宋体" w:cs="宋体"/>
                <w:color w:val="000000"/>
                <w:kern w:val="0"/>
                <w:sz w:val="24"/>
                <w:szCs w:val="24"/>
              </w:rPr>
              <w:t>年度</w:t>
            </w:r>
          </w:p>
        </w:tc>
        <w:tc>
          <w:tcPr>
            <w:tcW w:w="3022" w:type="dxa"/>
            <w:tcBorders>
              <w:top w:val="single" w:color="000000" w:sz="4" w:space="0"/>
              <w:left w:val="single" w:color="000000" w:sz="4" w:space="0"/>
              <w:bottom w:val="single" w:color="000000" w:sz="4" w:space="0"/>
              <w:right w:val="single" w:color="000000" w:sz="4" w:space="0"/>
            </w:tcBorders>
            <w:vAlign w:val="bottom"/>
          </w:tcPr>
          <w:p>
            <w:pPr>
              <w:widowControl/>
              <w:jc w:val="right"/>
              <w:textAlignment w:val="bottom"/>
              <w:rPr>
                <w:rFonts w:ascii="宋体" w:cs="宋体"/>
                <w:color w:val="000000"/>
                <w:sz w:val="24"/>
                <w:szCs w:val="24"/>
              </w:rPr>
            </w:pPr>
            <w:r>
              <w:rPr>
                <w:rFonts w:hint="eastAsia" w:ascii="宋体" w:hAnsi="宋体" w:cs="宋体"/>
                <w:color w:val="000000"/>
                <w:kern w:val="0"/>
                <w:sz w:val="24"/>
                <w:szCs w:val="24"/>
              </w:rPr>
              <w:t>金额单位：元</w:t>
            </w:r>
          </w:p>
        </w:tc>
      </w:tr>
      <w:tr>
        <w:tblPrEx>
          <w:tblCellMar>
            <w:top w:w="15" w:type="dxa"/>
            <w:left w:w="15" w:type="dxa"/>
            <w:bottom w:w="15" w:type="dxa"/>
            <w:right w:w="15" w:type="dxa"/>
          </w:tblCellMar>
        </w:tblPrEx>
        <w:trPr>
          <w:trHeight w:val="390" w:hRule="atLeast"/>
          <w:jc w:val="center"/>
        </w:trPr>
        <w:tc>
          <w:tcPr>
            <w:tcW w:w="419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项　　目</w:t>
            </w:r>
          </w:p>
        </w:tc>
        <w:tc>
          <w:tcPr>
            <w:tcW w:w="244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数量</w:t>
            </w:r>
          </w:p>
        </w:tc>
        <w:tc>
          <w:tcPr>
            <w:tcW w:w="465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价值</w:t>
            </w:r>
          </w:p>
        </w:tc>
      </w:tr>
      <w:tr>
        <w:tblPrEx>
          <w:tblCellMar>
            <w:top w:w="15" w:type="dxa"/>
            <w:left w:w="15" w:type="dxa"/>
            <w:bottom w:w="15" w:type="dxa"/>
            <w:right w:w="15" w:type="dxa"/>
          </w:tblCellMar>
        </w:tblPrEx>
        <w:trPr>
          <w:trHeight w:val="300" w:hRule="atLeast"/>
          <w:jc w:val="center"/>
        </w:trPr>
        <w:tc>
          <w:tcPr>
            <w:tcW w:w="419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color w:val="000000"/>
                <w:sz w:val="22"/>
              </w:rPr>
            </w:pPr>
          </w:p>
        </w:tc>
        <w:tc>
          <w:tcPr>
            <w:tcW w:w="110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年初数</w:t>
            </w:r>
          </w:p>
        </w:tc>
        <w:tc>
          <w:tcPr>
            <w:tcW w:w="134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年末数</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年初数</w:t>
            </w:r>
          </w:p>
        </w:tc>
        <w:tc>
          <w:tcPr>
            <w:tcW w:w="30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年末数</w:t>
            </w: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资产总额</w:t>
            </w:r>
          </w:p>
        </w:tc>
        <w:tc>
          <w:tcPr>
            <w:tcW w:w="110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ascii="宋体" w:hAnsi="宋体" w:cs="宋体"/>
                <w:color w:val="000000"/>
                <w:kern w:val="0"/>
                <w:sz w:val="22"/>
              </w:rPr>
              <w:t>—</w:t>
            </w:r>
          </w:p>
        </w:tc>
        <w:tc>
          <w:tcPr>
            <w:tcW w:w="134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ascii="宋体" w:hAnsi="宋体" w:cs="宋体"/>
                <w:color w:val="000000"/>
                <w:kern w:val="0"/>
                <w:sz w:val="22"/>
              </w:rPr>
              <w:t>—</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ascii="宋体" w:cs="宋体"/>
                <w:color w:val="000000"/>
                <w:sz w:val="22"/>
              </w:rPr>
            </w:pP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rPr>
            </w:pPr>
            <w:r>
              <w:rPr>
                <w:rFonts w:ascii="宋体" w:hAnsi="宋体" w:cs="宋体"/>
                <w:color w:val="000000"/>
                <w:kern w:val="0"/>
                <w:sz w:val="22"/>
              </w:rPr>
              <w:t xml:space="preserve">  1</w:t>
            </w:r>
            <w:r>
              <w:rPr>
                <w:rFonts w:hint="eastAsia" w:ascii="宋体" w:hAnsi="宋体" w:cs="宋体"/>
                <w:color w:val="000000"/>
                <w:kern w:val="0"/>
                <w:sz w:val="22"/>
              </w:rPr>
              <w:t>、房屋（平方米）</w:t>
            </w:r>
          </w:p>
        </w:tc>
        <w:tc>
          <w:tcPr>
            <w:tcW w:w="1103" w:type="dxa"/>
            <w:tcBorders>
              <w:top w:val="single" w:color="000000" w:sz="4" w:space="0"/>
              <w:left w:val="single" w:color="000000" w:sz="4" w:space="0"/>
              <w:bottom w:val="single" w:color="000000" w:sz="4" w:space="0"/>
              <w:right w:val="single" w:color="000000" w:sz="4" w:space="0"/>
            </w:tcBorders>
            <w:vAlign w:val="center"/>
          </w:tcPr>
          <w:p>
            <w:pPr>
              <w:widowControl/>
              <w:tabs>
                <w:tab w:val="left" w:pos="507"/>
              </w:tabs>
              <w:jc w:val="left"/>
              <w:textAlignment w:val="center"/>
              <w:rPr>
                <w:rFonts w:hint="eastAsia" w:ascii="宋体" w:eastAsia="宋体" w:cs="宋体"/>
                <w:color w:val="000000"/>
                <w:sz w:val="22"/>
                <w:lang w:val="en-US" w:eastAsia="zh-CN"/>
              </w:rPr>
            </w:pPr>
          </w:p>
        </w:tc>
        <w:tc>
          <w:tcPr>
            <w:tcW w:w="1344"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hint="eastAsia" w:ascii="宋体" w:eastAsia="宋体" w:cs="宋体"/>
                <w:color w:val="000000"/>
                <w:sz w:val="22"/>
                <w:lang w:eastAsia="zh-CN"/>
              </w:rPr>
            </w:pPr>
            <w:r>
              <w:rPr>
                <w:rFonts w:hint="eastAsia" w:ascii="宋体" w:cs="宋体"/>
                <w:color w:val="000000"/>
                <w:sz w:val="22"/>
                <w:lang w:val="en-US" w:eastAsia="zh-CN"/>
              </w:rPr>
              <w:t xml:space="preserve">                                                                                                                                                                                                                                                                                                                                                                                                                                                                                                                                                                                                                                                                                                                                                                                                                                                                                                                                                                                                                                                                                                                                    </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hint="eastAsia" w:ascii="宋体" w:eastAsia="宋体" w:cs="宋体"/>
                <w:color w:val="000000"/>
                <w:sz w:val="22"/>
                <w:lang w:val="en-US" w:eastAsia="zh-CN"/>
              </w:rPr>
            </w:pPr>
            <w:r>
              <w:rPr>
                <w:rFonts w:hint="eastAsia" w:ascii="宋体" w:cs="宋体"/>
                <w:color w:val="000000"/>
                <w:sz w:val="22"/>
                <w:lang w:val="en-US" w:eastAsia="zh-CN"/>
              </w:rPr>
              <w:t>160000</w:t>
            </w:r>
          </w:p>
        </w:tc>
        <w:tc>
          <w:tcPr>
            <w:tcW w:w="3022"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hint="eastAsia" w:ascii="宋体" w:eastAsia="宋体" w:cs="宋体"/>
                <w:color w:val="000000"/>
                <w:sz w:val="22"/>
                <w:lang w:val="en-US" w:eastAsia="zh-CN"/>
              </w:rPr>
            </w:pPr>
            <w:r>
              <w:rPr>
                <w:rFonts w:hint="eastAsia" w:ascii="宋体" w:cs="宋体"/>
                <w:color w:val="000000"/>
                <w:sz w:val="22"/>
                <w:lang w:val="en-US" w:eastAsia="zh-CN"/>
              </w:rPr>
              <w:t>160000</w:t>
            </w: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rPr>
            </w:pPr>
            <w:r>
              <w:rPr>
                <w:rFonts w:ascii="宋体" w:hAnsi="宋体" w:cs="宋体"/>
                <w:color w:val="000000"/>
                <w:kern w:val="0"/>
                <w:sz w:val="22"/>
              </w:rPr>
              <w:t xml:space="preserve">        1.</w:t>
            </w:r>
            <w:r>
              <w:rPr>
                <w:rFonts w:hint="eastAsia" w:ascii="宋体" w:hAnsi="宋体" w:cs="宋体"/>
                <w:color w:val="000000"/>
                <w:kern w:val="0"/>
                <w:sz w:val="22"/>
              </w:rPr>
              <w:t>办公用房</w:t>
            </w:r>
          </w:p>
        </w:tc>
        <w:tc>
          <w:tcPr>
            <w:tcW w:w="1103"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hint="eastAsia" w:ascii="宋体" w:eastAsia="宋体" w:cs="宋体"/>
                <w:color w:val="000000"/>
                <w:sz w:val="22"/>
                <w:lang w:val="en-US" w:eastAsia="zh-CN"/>
              </w:rPr>
            </w:pPr>
            <w:r>
              <w:rPr>
                <w:rFonts w:hint="eastAsia" w:ascii="宋体" w:cs="宋体"/>
                <w:color w:val="000000"/>
                <w:sz w:val="22"/>
                <w:lang w:val="en-US" w:eastAsia="zh-CN"/>
              </w:rPr>
              <w:t>400</w:t>
            </w:r>
          </w:p>
        </w:tc>
        <w:tc>
          <w:tcPr>
            <w:tcW w:w="1344"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hint="eastAsia" w:ascii="宋体" w:eastAsia="宋体" w:cs="宋体"/>
                <w:color w:val="000000"/>
                <w:sz w:val="22"/>
                <w:lang w:val="en-US" w:eastAsia="zh-CN"/>
              </w:rPr>
            </w:pPr>
            <w:r>
              <w:rPr>
                <w:rFonts w:hint="eastAsia" w:ascii="宋体" w:cs="宋体"/>
                <w:color w:val="000000"/>
                <w:sz w:val="22"/>
                <w:lang w:val="en-US" w:eastAsia="zh-CN"/>
              </w:rPr>
              <w:t>400</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hint="eastAsia" w:ascii="宋体" w:eastAsia="宋体" w:cs="宋体"/>
                <w:color w:val="000000"/>
                <w:sz w:val="22"/>
                <w:lang w:val="en-US" w:eastAsia="zh-CN"/>
              </w:rPr>
            </w:pPr>
            <w:r>
              <w:rPr>
                <w:rFonts w:hint="eastAsia" w:ascii="宋体" w:cs="宋体"/>
                <w:color w:val="000000"/>
                <w:sz w:val="22"/>
                <w:lang w:val="en-US" w:eastAsia="zh-CN"/>
              </w:rPr>
              <w:t>160000</w:t>
            </w:r>
          </w:p>
        </w:tc>
        <w:tc>
          <w:tcPr>
            <w:tcW w:w="3022"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hint="eastAsia" w:ascii="宋体" w:eastAsia="宋体" w:cs="宋体"/>
                <w:color w:val="000000"/>
                <w:sz w:val="22"/>
                <w:lang w:val="en-US" w:eastAsia="zh-CN"/>
              </w:rPr>
            </w:pPr>
            <w:r>
              <w:rPr>
                <w:rFonts w:hint="eastAsia" w:ascii="宋体" w:cs="宋体"/>
                <w:color w:val="000000"/>
                <w:sz w:val="22"/>
                <w:lang w:val="en-US" w:eastAsia="zh-CN"/>
              </w:rPr>
              <w:t>160000</w:t>
            </w: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rPr>
            </w:pPr>
            <w:r>
              <w:rPr>
                <w:rFonts w:hint="eastAsia" w:ascii="宋体" w:hAnsi="宋体" w:cs="宋体"/>
                <w:color w:val="000000"/>
                <w:kern w:val="0"/>
                <w:sz w:val="22"/>
              </w:rPr>
              <w:t>　　</w:t>
            </w:r>
            <w:r>
              <w:rPr>
                <w:rFonts w:ascii="宋体" w:hAnsi="宋体" w:cs="宋体"/>
                <w:color w:val="000000"/>
                <w:kern w:val="0"/>
                <w:sz w:val="22"/>
              </w:rPr>
              <w:t xml:space="preserve">    2.</w:t>
            </w:r>
            <w:r>
              <w:rPr>
                <w:rFonts w:hint="eastAsia" w:ascii="宋体" w:hAnsi="宋体" w:cs="宋体"/>
                <w:color w:val="000000"/>
                <w:kern w:val="0"/>
                <w:sz w:val="22"/>
              </w:rPr>
              <w:t>业务用房</w:t>
            </w:r>
          </w:p>
        </w:tc>
        <w:tc>
          <w:tcPr>
            <w:tcW w:w="1103" w:type="dxa"/>
            <w:tcBorders>
              <w:top w:val="single" w:color="000000" w:sz="4" w:space="0"/>
              <w:left w:val="single" w:color="000000" w:sz="4" w:space="0"/>
              <w:bottom w:val="single" w:color="000000" w:sz="4" w:space="0"/>
              <w:right w:val="single" w:color="000000" w:sz="4" w:space="0"/>
            </w:tcBorders>
            <w:vAlign w:val="center"/>
          </w:tcPr>
          <w:p>
            <w:pPr>
              <w:tabs>
                <w:tab w:val="left" w:pos="455"/>
              </w:tabs>
              <w:jc w:val="left"/>
              <w:rPr>
                <w:rFonts w:hint="eastAsia" w:ascii="宋体" w:eastAsia="宋体" w:cs="宋体"/>
                <w:color w:val="000000"/>
                <w:sz w:val="22"/>
                <w:lang w:eastAsia="zh-CN"/>
              </w:rPr>
            </w:pPr>
          </w:p>
        </w:tc>
        <w:tc>
          <w:tcPr>
            <w:tcW w:w="1344"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rPr>
            </w:pPr>
            <w:r>
              <w:rPr>
                <w:rFonts w:hint="eastAsia" w:ascii="宋体" w:hAnsi="宋体" w:cs="宋体"/>
                <w:color w:val="000000"/>
                <w:kern w:val="0"/>
                <w:sz w:val="22"/>
              </w:rPr>
              <w:t>　</w:t>
            </w:r>
            <w:r>
              <w:rPr>
                <w:rFonts w:ascii="宋体" w:hAnsi="宋体" w:cs="宋体"/>
                <w:color w:val="000000"/>
                <w:kern w:val="0"/>
                <w:sz w:val="22"/>
              </w:rPr>
              <w:t xml:space="preserve"> </w:t>
            </w:r>
            <w:r>
              <w:rPr>
                <w:rFonts w:hint="eastAsia" w:ascii="宋体" w:hAnsi="宋体" w:cs="宋体"/>
                <w:color w:val="000000"/>
                <w:kern w:val="0"/>
                <w:sz w:val="22"/>
              </w:rPr>
              <w:t>　</w:t>
            </w:r>
            <w:r>
              <w:rPr>
                <w:rFonts w:ascii="宋体" w:hAnsi="宋体" w:cs="宋体"/>
                <w:color w:val="000000"/>
                <w:kern w:val="0"/>
                <w:sz w:val="22"/>
              </w:rPr>
              <w:t xml:space="preserve">   3.</w:t>
            </w:r>
            <w:r>
              <w:rPr>
                <w:rFonts w:hint="eastAsia" w:ascii="宋体" w:hAnsi="宋体" w:cs="宋体"/>
                <w:color w:val="000000"/>
                <w:kern w:val="0"/>
                <w:sz w:val="22"/>
              </w:rPr>
              <w:t>其他（不含构筑物）</w:t>
            </w:r>
          </w:p>
        </w:tc>
        <w:tc>
          <w:tcPr>
            <w:tcW w:w="1103"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宋体" w:eastAsia="宋体" w:cs="宋体"/>
                <w:color w:val="000000"/>
                <w:sz w:val="22"/>
                <w:lang w:val="en-US" w:eastAsia="zh-CN"/>
              </w:rPr>
            </w:pPr>
          </w:p>
        </w:tc>
        <w:tc>
          <w:tcPr>
            <w:tcW w:w="1344"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rPr>
            </w:pPr>
            <w:r>
              <w:rPr>
                <w:rFonts w:ascii="宋体" w:hAnsi="宋体" w:cs="宋体"/>
                <w:color w:val="000000"/>
                <w:kern w:val="0"/>
                <w:sz w:val="22"/>
              </w:rPr>
              <w:t xml:space="preserve">  2</w:t>
            </w:r>
            <w:r>
              <w:rPr>
                <w:rFonts w:hint="eastAsia" w:ascii="宋体" w:hAnsi="宋体" w:cs="宋体"/>
                <w:color w:val="000000"/>
                <w:kern w:val="0"/>
                <w:sz w:val="22"/>
              </w:rPr>
              <w:t>、车辆（台、辆）</w:t>
            </w:r>
          </w:p>
        </w:tc>
        <w:tc>
          <w:tcPr>
            <w:tcW w:w="110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rPr>
            </w:pPr>
            <w:r>
              <w:rPr>
                <w:rFonts w:ascii="宋体" w:hAnsi="宋体" w:cs="宋体"/>
                <w:color w:val="000000"/>
                <w:kern w:val="0"/>
                <w:sz w:val="22"/>
              </w:rPr>
              <w:t xml:space="preserve">  3</w:t>
            </w:r>
            <w:r>
              <w:rPr>
                <w:rFonts w:hint="eastAsia" w:ascii="宋体" w:hAnsi="宋体" w:cs="宋体"/>
                <w:color w:val="000000"/>
                <w:kern w:val="0"/>
                <w:sz w:val="22"/>
              </w:rPr>
              <w:t>、单价</w:t>
            </w:r>
            <w:r>
              <w:rPr>
                <w:rFonts w:ascii="宋体" w:hAnsi="宋体" w:cs="宋体"/>
                <w:color w:val="000000"/>
                <w:kern w:val="0"/>
                <w:sz w:val="22"/>
              </w:rPr>
              <w:t>50</w:t>
            </w:r>
            <w:r>
              <w:rPr>
                <w:rFonts w:hint="eastAsia" w:ascii="宋体" w:hAnsi="宋体" w:cs="宋体"/>
                <w:color w:val="000000"/>
                <w:kern w:val="0"/>
                <w:sz w:val="22"/>
              </w:rPr>
              <w:t>万元（含）以上的通用设备（台、套…）</w:t>
            </w:r>
          </w:p>
        </w:tc>
        <w:tc>
          <w:tcPr>
            <w:tcW w:w="110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rPr>
            </w:pPr>
            <w:r>
              <w:rPr>
                <w:rFonts w:ascii="宋体" w:hAnsi="宋体" w:cs="宋体"/>
                <w:color w:val="000000"/>
                <w:kern w:val="0"/>
                <w:sz w:val="22"/>
              </w:rPr>
              <w:t xml:space="preserve">  4</w:t>
            </w:r>
            <w:r>
              <w:rPr>
                <w:rFonts w:hint="eastAsia" w:ascii="宋体" w:hAnsi="宋体" w:cs="宋体"/>
                <w:color w:val="000000"/>
                <w:kern w:val="0"/>
                <w:sz w:val="22"/>
              </w:rPr>
              <w:t>、单价</w:t>
            </w:r>
            <w:r>
              <w:rPr>
                <w:rFonts w:ascii="宋体" w:hAnsi="宋体" w:cs="宋体"/>
                <w:color w:val="000000"/>
                <w:kern w:val="0"/>
                <w:sz w:val="22"/>
              </w:rPr>
              <w:t>100</w:t>
            </w:r>
            <w:r>
              <w:rPr>
                <w:rFonts w:hint="eastAsia" w:ascii="宋体" w:hAnsi="宋体" w:cs="宋体"/>
                <w:color w:val="000000"/>
                <w:kern w:val="0"/>
                <w:sz w:val="22"/>
              </w:rPr>
              <w:t>万元（含）以上的专用设备（台、套…）</w:t>
            </w:r>
          </w:p>
        </w:tc>
        <w:tc>
          <w:tcPr>
            <w:tcW w:w="110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rPr>
            </w:pPr>
            <w:r>
              <w:rPr>
                <w:rFonts w:ascii="宋体" w:hAnsi="宋体" w:cs="宋体"/>
                <w:color w:val="000000"/>
                <w:kern w:val="0"/>
                <w:sz w:val="22"/>
              </w:rPr>
              <w:t xml:space="preserve">  5</w:t>
            </w:r>
            <w:r>
              <w:rPr>
                <w:rFonts w:hint="eastAsia" w:ascii="宋体" w:hAnsi="宋体" w:cs="宋体"/>
                <w:color w:val="000000"/>
                <w:kern w:val="0"/>
                <w:sz w:val="22"/>
              </w:rPr>
              <w:t>、其他固定资产</w:t>
            </w:r>
          </w:p>
        </w:tc>
        <w:tc>
          <w:tcPr>
            <w:tcW w:w="110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ascii="宋体" w:hAnsi="宋体" w:cs="宋体"/>
                <w:color w:val="000000"/>
                <w:kern w:val="0"/>
                <w:sz w:val="22"/>
              </w:rPr>
              <w:t>—</w:t>
            </w:r>
          </w:p>
        </w:tc>
        <w:tc>
          <w:tcPr>
            <w:tcW w:w="134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ascii="宋体" w:hAnsi="宋体" w:cs="宋体"/>
                <w:color w:val="000000"/>
                <w:kern w:val="0"/>
                <w:sz w:val="22"/>
              </w:rPr>
              <w:t>—</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hint="eastAsia" w:ascii="宋体" w:eastAsia="宋体" w:cs="宋体"/>
                <w:color w:val="000000"/>
                <w:sz w:val="22"/>
                <w:lang w:val="en-US" w:eastAsia="zh-CN"/>
              </w:rPr>
            </w:pPr>
          </w:p>
        </w:tc>
        <w:tc>
          <w:tcPr>
            <w:tcW w:w="3022"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hint="eastAsia" w:ascii="宋体" w:eastAsia="宋体" w:cs="宋体"/>
                <w:color w:val="000000"/>
                <w:sz w:val="22"/>
                <w:lang w:val="en-US" w:eastAsia="zh-CN"/>
              </w:rPr>
            </w:pPr>
          </w:p>
        </w:tc>
      </w:tr>
    </w:tbl>
    <w:p>
      <w:pPr>
        <w:autoSpaceDE w:val="0"/>
        <w:autoSpaceDN w:val="0"/>
        <w:adjustRightInd w:val="0"/>
        <w:ind w:left="198" w:firstLine="640" w:firstLineChars="200"/>
        <w:jc w:val="left"/>
        <w:rPr>
          <w:rFonts w:ascii="黑体" w:hAnsi="黑体" w:eastAsia="黑体"/>
          <w:sz w:val="32"/>
          <w:szCs w:val="32"/>
        </w:rPr>
      </w:pPr>
    </w:p>
    <w:p>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八、名词解释</w:t>
      </w:r>
    </w:p>
    <w:p>
      <w:pPr>
        <w:tabs>
          <w:tab w:val="left" w:pos="11490"/>
        </w:tabs>
        <w:ind w:firstLine="640" w:firstLineChars="200"/>
        <w:rPr>
          <w:rFonts w:ascii="Times New Roman" w:hAnsi="Times New Roman" w:eastAsia="方正仿宋_GBK"/>
          <w:sz w:val="32"/>
          <w:szCs w:val="32"/>
        </w:rPr>
      </w:pPr>
      <w:r>
        <w:rPr>
          <w:rFonts w:ascii="Times New Roman" w:hAnsi="Times New Roman" w:eastAsia="方正仿宋_GBK"/>
          <w:b/>
          <w:sz w:val="32"/>
          <w:szCs w:val="32"/>
        </w:rPr>
        <w:t>1</w:t>
      </w:r>
      <w:r>
        <w:rPr>
          <w:rFonts w:hint="eastAsia" w:ascii="Times New Roman" w:hAnsi="Times New Roman" w:eastAsia="方正仿宋_GBK"/>
          <w:b/>
          <w:sz w:val="32"/>
          <w:szCs w:val="32"/>
        </w:rPr>
        <w:t>、一般公共预算拨款收入：</w:t>
      </w:r>
      <w:r>
        <w:rPr>
          <w:rFonts w:hint="eastAsia" w:ascii="仿宋_GB2312" w:hAnsi="Times New Roman" w:eastAsia="仿宋_GB2312"/>
          <w:sz w:val="32"/>
          <w:szCs w:val="32"/>
        </w:rPr>
        <w:t>指县级财政当年拨付的资金。</w:t>
      </w:r>
    </w:p>
    <w:p>
      <w:pPr>
        <w:tabs>
          <w:tab w:val="left" w:pos="11490"/>
        </w:tabs>
        <w:ind w:firstLine="640" w:firstLineChars="200"/>
        <w:rPr>
          <w:rFonts w:ascii="仿宋_GB2312" w:hAnsi="Times New Roman" w:eastAsia="仿宋_GB2312"/>
          <w:sz w:val="32"/>
          <w:szCs w:val="32"/>
        </w:rPr>
      </w:pPr>
      <w:r>
        <w:rPr>
          <w:rFonts w:ascii="Times New Roman" w:hAnsi="Times New Roman" w:eastAsia="方正仿宋_GBK"/>
          <w:b/>
          <w:sz w:val="32"/>
          <w:szCs w:val="32"/>
        </w:rPr>
        <w:t>2</w:t>
      </w:r>
      <w:r>
        <w:rPr>
          <w:rFonts w:hint="eastAsia" w:ascii="Times New Roman" w:hAnsi="Times New Roman" w:eastAsia="方正仿宋_GBK"/>
          <w:b/>
          <w:sz w:val="32"/>
          <w:szCs w:val="32"/>
        </w:rPr>
        <w:t>、事业收入：</w:t>
      </w:r>
      <w:r>
        <w:rPr>
          <w:rFonts w:hint="eastAsia" w:ascii="仿宋_GB2312" w:hAnsi="Times New Roman" w:eastAsia="仿宋_GB2312"/>
          <w:sz w:val="32"/>
          <w:szCs w:val="32"/>
        </w:rPr>
        <w:t>指事业单位开展专业业务活动及辅助活动所取得的收入。</w:t>
      </w:r>
    </w:p>
    <w:p>
      <w:pPr>
        <w:tabs>
          <w:tab w:val="left" w:pos="11490"/>
        </w:tabs>
        <w:ind w:firstLine="640" w:firstLineChars="200"/>
        <w:rPr>
          <w:rFonts w:ascii="仿宋_GB2312" w:hAnsi="Times New Roman" w:eastAsia="仿宋_GB2312"/>
          <w:sz w:val="32"/>
          <w:szCs w:val="32"/>
        </w:rPr>
      </w:pPr>
      <w:r>
        <w:rPr>
          <w:rFonts w:ascii="Times New Roman" w:hAnsi="Times New Roman" w:eastAsia="方正仿宋_GBK"/>
          <w:b/>
          <w:sz w:val="32"/>
          <w:szCs w:val="32"/>
        </w:rPr>
        <w:t>3</w:t>
      </w:r>
      <w:r>
        <w:rPr>
          <w:rFonts w:hint="eastAsia" w:ascii="Times New Roman" w:hAnsi="Times New Roman" w:eastAsia="方正仿宋_GBK"/>
          <w:b/>
          <w:sz w:val="32"/>
          <w:szCs w:val="32"/>
        </w:rPr>
        <w:t>、其他收入：</w:t>
      </w:r>
      <w:r>
        <w:rPr>
          <w:rFonts w:hint="eastAsia" w:ascii="仿宋_GB2312" w:hAnsi="Times New Roman" w:eastAsia="仿宋_GB2312"/>
          <w:sz w:val="32"/>
          <w:szCs w:val="32"/>
        </w:rPr>
        <w:t>指除</w:t>
      </w:r>
      <w:r>
        <w:rPr>
          <w:rFonts w:ascii="仿宋_GB2312" w:hAnsi="Times New Roman" w:eastAsia="仿宋_GB2312"/>
          <w:sz w:val="32"/>
          <w:szCs w:val="32"/>
        </w:rPr>
        <w:t>“</w:t>
      </w:r>
      <w:r>
        <w:rPr>
          <w:rFonts w:hint="eastAsia" w:ascii="仿宋_GB2312" w:hAnsi="Times New Roman" w:eastAsia="仿宋_GB2312"/>
          <w:sz w:val="32"/>
          <w:szCs w:val="32"/>
        </w:rPr>
        <w:t>一般公共预算拨款收入</w:t>
      </w:r>
      <w:r>
        <w:rPr>
          <w:rFonts w:ascii="仿宋_GB2312" w:hAnsi="Times New Roman" w:eastAsia="仿宋_GB2312"/>
          <w:sz w:val="32"/>
          <w:szCs w:val="32"/>
        </w:rPr>
        <w:t>”</w:t>
      </w:r>
      <w:r>
        <w:rPr>
          <w:rFonts w:hint="eastAsia" w:ascii="仿宋_GB2312" w:hAnsi="Times New Roman" w:eastAsia="仿宋_GB2312"/>
          <w:sz w:val="32"/>
          <w:szCs w:val="32"/>
        </w:rPr>
        <w:t>、</w:t>
      </w:r>
      <w:r>
        <w:rPr>
          <w:rFonts w:ascii="仿宋_GB2312" w:hAnsi="Times New Roman" w:eastAsia="仿宋_GB2312"/>
          <w:sz w:val="32"/>
          <w:szCs w:val="32"/>
        </w:rPr>
        <w:t>“</w:t>
      </w:r>
      <w:r>
        <w:rPr>
          <w:rFonts w:hint="eastAsia" w:ascii="仿宋_GB2312" w:hAnsi="Times New Roman" w:eastAsia="仿宋_GB2312"/>
          <w:sz w:val="32"/>
          <w:szCs w:val="32"/>
        </w:rPr>
        <w:t>事业收入</w:t>
      </w:r>
      <w:r>
        <w:rPr>
          <w:rFonts w:ascii="仿宋_GB2312" w:hAnsi="Times New Roman" w:eastAsia="仿宋_GB2312"/>
          <w:sz w:val="32"/>
          <w:szCs w:val="32"/>
        </w:rPr>
        <w:t>”</w:t>
      </w:r>
      <w:r>
        <w:rPr>
          <w:rFonts w:hint="eastAsia" w:ascii="仿宋_GB2312" w:hAnsi="Times New Roman" w:eastAsia="仿宋_GB2312"/>
          <w:sz w:val="32"/>
          <w:szCs w:val="32"/>
        </w:rPr>
        <w:t>等以外的收入。主要是按规定动用的租房收入、存款利息收入等。</w:t>
      </w:r>
    </w:p>
    <w:p>
      <w:pPr>
        <w:tabs>
          <w:tab w:val="left" w:pos="11490"/>
        </w:tabs>
        <w:ind w:firstLine="640" w:firstLineChars="200"/>
        <w:rPr>
          <w:rFonts w:ascii="仿宋_GB2312" w:hAnsi="Times New Roman" w:eastAsia="仿宋_GB2312"/>
          <w:sz w:val="32"/>
          <w:szCs w:val="32"/>
        </w:rPr>
      </w:pPr>
      <w:r>
        <w:rPr>
          <w:rFonts w:ascii="Times New Roman" w:hAnsi="Times New Roman" w:eastAsia="方正仿宋_GBK"/>
          <w:b/>
          <w:sz w:val="32"/>
          <w:szCs w:val="32"/>
        </w:rPr>
        <w:t>4</w:t>
      </w:r>
      <w:r>
        <w:rPr>
          <w:rFonts w:hint="eastAsia" w:ascii="Times New Roman" w:hAnsi="Times New Roman" w:eastAsia="方正仿宋_GBK"/>
          <w:b/>
          <w:sz w:val="32"/>
          <w:szCs w:val="32"/>
        </w:rPr>
        <w:t>、基本支出：</w:t>
      </w:r>
      <w:r>
        <w:rPr>
          <w:rFonts w:hint="eastAsia" w:ascii="仿宋_GB2312" w:hAnsi="Times New Roman" w:eastAsia="仿宋_GB2312"/>
          <w:sz w:val="32"/>
          <w:szCs w:val="32"/>
        </w:rPr>
        <w:t>指为保障机构正常运转、完成日常工作任务而发生的人员支出和公用支出。</w:t>
      </w:r>
    </w:p>
    <w:p>
      <w:pPr>
        <w:tabs>
          <w:tab w:val="left" w:pos="11490"/>
        </w:tabs>
        <w:ind w:firstLine="640" w:firstLineChars="200"/>
        <w:rPr>
          <w:rFonts w:ascii="仿宋_GB2312" w:hAnsi="Times New Roman" w:eastAsia="仿宋_GB2312"/>
          <w:sz w:val="32"/>
          <w:szCs w:val="32"/>
        </w:rPr>
      </w:pPr>
      <w:r>
        <w:rPr>
          <w:rFonts w:ascii="Times New Roman" w:hAnsi="Times New Roman" w:eastAsia="方正仿宋_GBK"/>
          <w:b/>
          <w:sz w:val="32"/>
          <w:szCs w:val="32"/>
        </w:rPr>
        <w:t>5</w:t>
      </w:r>
      <w:r>
        <w:rPr>
          <w:rFonts w:hint="eastAsia" w:ascii="Times New Roman" w:hAnsi="Times New Roman" w:eastAsia="方正仿宋_GBK"/>
          <w:b/>
          <w:sz w:val="32"/>
          <w:szCs w:val="32"/>
        </w:rPr>
        <w:t>、项目支出：</w:t>
      </w:r>
      <w:r>
        <w:rPr>
          <w:rFonts w:hint="eastAsia" w:ascii="仿宋_GB2312" w:hAnsi="Times New Roman" w:eastAsia="仿宋_GB2312"/>
          <w:sz w:val="32"/>
          <w:szCs w:val="32"/>
        </w:rPr>
        <w:t>指在基本支出之外为完成特定行政任务和事业发展目标所发生的支出。</w:t>
      </w:r>
    </w:p>
    <w:p>
      <w:pPr>
        <w:tabs>
          <w:tab w:val="left" w:pos="11490"/>
        </w:tabs>
        <w:ind w:firstLine="640" w:firstLineChars="200"/>
        <w:rPr>
          <w:rFonts w:ascii="仿宋_GB2312" w:hAnsi="Times New Roman" w:eastAsia="仿宋_GB2312"/>
          <w:sz w:val="32"/>
          <w:szCs w:val="32"/>
        </w:rPr>
      </w:pPr>
      <w:r>
        <w:rPr>
          <w:rFonts w:ascii="Times New Roman" w:hAnsi="Times New Roman" w:eastAsia="方正仿宋_GBK"/>
          <w:b/>
          <w:sz w:val="32"/>
          <w:szCs w:val="32"/>
        </w:rPr>
        <w:t>6</w:t>
      </w:r>
      <w:r>
        <w:rPr>
          <w:rFonts w:hint="eastAsia" w:ascii="Times New Roman" w:hAnsi="Times New Roman" w:eastAsia="方正仿宋_GBK"/>
          <w:b/>
          <w:sz w:val="32"/>
          <w:szCs w:val="32"/>
        </w:rPr>
        <w:t>、</w:t>
      </w:r>
      <w:r>
        <w:rPr>
          <w:rFonts w:ascii="Times New Roman" w:hAnsi="Times New Roman" w:eastAsia="方正仿宋_GBK"/>
          <w:b/>
          <w:sz w:val="32"/>
          <w:szCs w:val="32"/>
        </w:rPr>
        <w:t>“</w:t>
      </w:r>
      <w:r>
        <w:rPr>
          <w:rFonts w:hint="eastAsia" w:ascii="Times New Roman" w:hAnsi="Times New Roman" w:eastAsia="方正仿宋_GBK"/>
          <w:b/>
          <w:sz w:val="32"/>
          <w:szCs w:val="32"/>
        </w:rPr>
        <w:t>三公</w:t>
      </w:r>
      <w:r>
        <w:rPr>
          <w:rFonts w:ascii="Times New Roman" w:hAnsi="Times New Roman" w:eastAsia="方正仿宋_GBK"/>
          <w:b/>
          <w:sz w:val="32"/>
          <w:szCs w:val="32"/>
        </w:rPr>
        <w:t>”</w:t>
      </w:r>
      <w:r>
        <w:rPr>
          <w:rFonts w:hint="eastAsia" w:ascii="Times New Roman" w:hAnsi="Times New Roman" w:eastAsia="方正仿宋_GBK"/>
          <w:b/>
          <w:sz w:val="32"/>
          <w:szCs w:val="32"/>
        </w:rPr>
        <w:t>经费：</w:t>
      </w:r>
      <w:r>
        <w:rPr>
          <w:rFonts w:hint="eastAsia" w:ascii="仿宋_GB2312" w:hAnsi="Times New Roman" w:eastAsia="仿宋_GB2312"/>
          <w:sz w:val="32"/>
          <w:szCs w:val="32"/>
        </w:rPr>
        <w:t>纳入县级财政预算管理的</w:t>
      </w:r>
      <w:r>
        <w:rPr>
          <w:rFonts w:ascii="仿宋_GB2312" w:hAnsi="Times New Roman" w:eastAsia="仿宋_GB2312"/>
          <w:sz w:val="32"/>
          <w:szCs w:val="32"/>
        </w:rPr>
        <w:t>“</w:t>
      </w:r>
      <w:r>
        <w:rPr>
          <w:rFonts w:hint="eastAsia" w:ascii="仿宋_GB2312" w:hAnsi="Times New Roman" w:eastAsia="仿宋_GB2312"/>
          <w:sz w:val="32"/>
          <w:szCs w:val="32"/>
        </w:rPr>
        <w:t>三公</w:t>
      </w:r>
      <w:r>
        <w:rPr>
          <w:rFonts w:ascii="仿宋_GB2312" w:hAnsi="Times New Roman" w:eastAsia="仿宋_GB2312"/>
          <w:sz w:val="32"/>
          <w:szCs w:val="32"/>
        </w:rPr>
        <w:t>”</w:t>
      </w:r>
      <w:r>
        <w:rPr>
          <w:rFonts w:hint="eastAsia" w:ascii="仿宋_GB2312" w:hAnsi="Times New Roman" w:eastAsia="仿宋_GB2312"/>
          <w:sz w:val="32"/>
          <w:szCs w:val="32"/>
        </w:rPr>
        <w:t>经费，是指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pPr>
        <w:tabs>
          <w:tab w:val="left" w:pos="11490"/>
        </w:tabs>
        <w:ind w:firstLine="640" w:firstLineChars="200"/>
        <w:rPr>
          <w:rFonts w:ascii="仿宋_GB2312" w:hAnsi="Times New Roman" w:eastAsia="仿宋_GB2312"/>
          <w:sz w:val="32"/>
          <w:szCs w:val="32"/>
        </w:rPr>
      </w:pPr>
      <w:r>
        <w:rPr>
          <w:rFonts w:ascii="Times New Roman" w:hAnsi="Times New Roman" w:eastAsia="方正仿宋_GBK"/>
          <w:b/>
          <w:sz w:val="32"/>
          <w:szCs w:val="32"/>
        </w:rPr>
        <w:t>7</w:t>
      </w:r>
      <w:r>
        <w:rPr>
          <w:rFonts w:hint="eastAsia" w:ascii="Times New Roman" w:hAnsi="Times New Roman" w:eastAsia="方正仿宋_GBK"/>
          <w:b/>
          <w:sz w:val="32"/>
          <w:szCs w:val="32"/>
        </w:rPr>
        <w:t>、机关运行费：</w:t>
      </w:r>
      <w:r>
        <w:rPr>
          <w:rFonts w:hint="eastAsia" w:ascii="仿宋_GB2312" w:hAnsi="Times New Roman" w:eastAsia="仿宋_GB2312"/>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tabs>
          <w:tab w:val="left" w:pos="11490"/>
        </w:tabs>
        <w:ind w:firstLine="640" w:firstLineChars="200"/>
        <w:rPr>
          <w:rFonts w:ascii="仿宋_GB2312" w:hAnsi="Times New Roman" w:eastAsia="仿宋_GB2312"/>
          <w:sz w:val="32"/>
          <w:szCs w:val="32"/>
        </w:rPr>
      </w:pPr>
      <w:r>
        <w:rPr>
          <w:rFonts w:ascii="Times New Roman" w:hAnsi="Times New Roman" w:eastAsia="方正仿宋_GBK"/>
          <w:b/>
          <w:sz w:val="32"/>
          <w:szCs w:val="32"/>
        </w:rPr>
        <w:t>8</w:t>
      </w:r>
      <w:r>
        <w:rPr>
          <w:rFonts w:hint="eastAsia" w:ascii="Times New Roman" w:hAnsi="Times New Roman" w:eastAsia="方正仿宋_GBK"/>
          <w:b/>
          <w:sz w:val="32"/>
          <w:szCs w:val="32"/>
        </w:rPr>
        <w:t>、上年结转：</w:t>
      </w:r>
      <w:r>
        <w:rPr>
          <w:rFonts w:hint="eastAsia" w:ascii="仿宋_GB2312" w:hAnsi="Times New Roman" w:eastAsia="仿宋_GB2312"/>
          <w:sz w:val="32"/>
          <w:szCs w:val="32"/>
        </w:rPr>
        <w:t>指以前年度尚未完成、结转到本年仍按原规定用途继续使用的资金。</w:t>
      </w:r>
    </w:p>
    <w:p>
      <w:pPr>
        <w:tabs>
          <w:tab w:val="left" w:pos="11490"/>
        </w:tabs>
        <w:ind w:firstLine="640" w:firstLineChars="200"/>
        <w:rPr>
          <w:rFonts w:ascii="仿宋_GB2312" w:hAnsi="Times New Roman" w:eastAsia="仿宋_GB2312"/>
          <w:sz w:val="32"/>
          <w:szCs w:val="32"/>
        </w:rPr>
      </w:pPr>
      <w:r>
        <w:rPr>
          <w:rFonts w:ascii="Times New Roman" w:hAnsi="Times New Roman" w:eastAsia="方正仿宋_GBK"/>
          <w:b/>
          <w:sz w:val="32"/>
          <w:szCs w:val="32"/>
        </w:rPr>
        <w:t>9</w:t>
      </w:r>
      <w:r>
        <w:rPr>
          <w:rFonts w:hint="eastAsia" w:ascii="Times New Roman" w:hAnsi="Times New Roman" w:eastAsia="方正仿宋_GBK"/>
          <w:b/>
          <w:sz w:val="32"/>
          <w:szCs w:val="32"/>
        </w:rPr>
        <w:t>、事业单位经营支出：</w:t>
      </w:r>
      <w:r>
        <w:rPr>
          <w:rFonts w:hint="eastAsia" w:ascii="仿宋_GB2312" w:hAnsi="Times New Roman" w:eastAsia="仿宋_GB2312"/>
          <w:sz w:val="32"/>
          <w:szCs w:val="32"/>
        </w:rPr>
        <w:t>指事业单位在专业业务活动及其辅助活动之外开展非独立核算经营活动发生的支出。</w:t>
      </w:r>
    </w:p>
    <w:p>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九、其他需要说明的事项</w:t>
      </w:r>
    </w:p>
    <w:p>
      <w:pPr>
        <w:ind w:firstLine="800" w:firstLineChars="250"/>
        <w:rPr>
          <w:rFonts w:ascii="仿宋_GB2312" w:hAnsi="Times New Roman" w:eastAsia="仿宋_GB2312"/>
          <w:sz w:val="32"/>
          <w:szCs w:val="32"/>
        </w:rPr>
      </w:pPr>
      <w:r>
        <w:rPr>
          <w:rFonts w:hint="eastAsia" w:ascii="仿宋_GB2312" w:hAnsi="Times New Roman" w:eastAsia="仿宋_GB2312"/>
          <w:sz w:val="32"/>
          <w:szCs w:val="32"/>
        </w:rPr>
        <w:t>我部门无其他需要说明的事项。</w:t>
      </w:r>
    </w:p>
    <w:sectPr>
      <w:headerReference r:id="rId5" w:type="first"/>
      <w:footerReference r:id="rId8" w:type="first"/>
      <w:headerReference r:id="rId3" w:type="default"/>
      <w:footerReference r:id="rId6" w:type="default"/>
      <w:headerReference r:id="rId4" w:type="even"/>
      <w:footerReference r:id="rId7" w:type="even"/>
      <w:pgSz w:w="16838" w:h="11906" w:orient="landscape"/>
      <w:pgMar w:top="1800" w:right="1440" w:bottom="1800" w:left="144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方正书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t>-</w:t>
    </w:r>
    <w:r>
      <w:fldChar w:fldCharType="begin"/>
    </w:r>
    <w:r>
      <w:instrText xml:space="preserve">PAGE   \* MERGEFORMAT</w:instrText>
    </w:r>
    <w:r>
      <w:fldChar w:fldCharType="separate"/>
    </w:r>
    <w:r>
      <w:rPr>
        <w:lang w:val="zh-CN"/>
      </w:rPr>
      <w:t>25</w:t>
    </w:r>
    <w:r>
      <w:rPr>
        <w:lang w:val="zh-CN"/>
      </w:rPr>
      <w:fldChar w:fldCharType="end"/>
    </w:r>
    <w:r>
      <w:t>-</w: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lMDQzZjY2MjFlMGE0ZDYwZDc4NjBjNTBkNGEwNTEifQ=="/>
  </w:docVars>
  <w:rsids>
    <w:rsidRoot w:val="00F66032"/>
    <w:rsid w:val="000053CC"/>
    <w:rsid w:val="00037AF6"/>
    <w:rsid w:val="0004565F"/>
    <w:rsid w:val="00072187"/>
    <w:rsid w:val="00075D5F"/>
    <w:rsid w:val="000A7850"/>
    <w:rsid w:val="000B529B"/>
    <w:rsid w:val="000C24E6"/>
    <w:rsid w:val="000C3A19"/>
    <w:rsid w:val="000D5C0F"/>
    <w:rsid w:val="001245BB"/>
    <w:rsid w:val="001251A3"/>
    <w:rsid w:val="001643E8"/>
    <w:rsid w:val="00175876"/>
    <w:rsid w:val="001919C4"/>
    <w:rsid w:val="0019723B"/>
    <w:rsid w:val="001E0757"/>
    <w:rsid w:val="001E6DDC"/>
    <w:rsid w:val="001F7873"/>
    <w:rsid w:val="00241FD4"/>
    <w:rsid w:val="00251B12"/>
    <w:rsid w:val="00265318"/>
    <w:rsid w:val="002835D7"/>
    <w:rsid w:val="00290FD6"/>
    <w:rsid w:val="00296113"/>
    <w:rsid w:val="002A673A"/>
    <w:rsid w:val="002C5E13"/>
    <w:rsid w:val="002C62BC"/>
    <w:rsid w:val="002E0EB8"/>
    <w:rsid w:val="002F3E58"/>
    <w:rsid w:val="0030542C"/>
    <w:rsid w:val="00311B7A"/>
    <w:rsid w:val="00313D9C"/>
    <w:rsid w:val="00353C2C"/>
    <w:rsid w:val="00424943"/>
    <w:rsid w:val="0042727E"/>
    <w:rsid w:val="0043175C"/>
    <w:rsid w:val="00437296"/>
    <w:rsid w:val="00451590"/>
    <w:rsid w:val="00451871"/>
    <w:rsid w:val="004706DE"/>
    <w:rsid w:val="00472923"/>
    <w:rsid w:val="00486DCD"/>
    <w:rsid w:val="004B0C3A"/>
    <w:rsid w:val="004C49A8"/>
    <w:rsid w:val="004D5788"/>
    <w:rsid w:val="004E3066"/>
    <w:rsid w:val="004E419C"/>
    <w:rsid w:val="004E74CD"/>
    <w:rsid w:val="00524EFD"/>
    <w:rsid w:val="005650A7"/>
    <w:rsid w:val="00572067"/>
    <w:rsid w:val="00573562"/>
    <w:rsid w:val="00590ECE"/>
    <w:rsid w:val="005F5714"/>
    <w:rsid w:val="00600A07"/>
    <w:rsid w:val="00611D03"/>
    <w:rsid w:val="00614A29"/>
    <w:rsid w:val="00673D76"/>
    <w:rsid w:val="006854F0"/>
    <w:rsid w:val="006920B9"/>
    <w:rsid w:val="006B1C4A"/>
    <w:rsid w:val="006B610D"/>
    <w:rsid w:val="006E49F5"/>
    <w:rsid w:val="007013C8"/>
    <w:rsid w:val="00753836"/>
    <w:rsid w:val="0075393C"/>
    <w:rsid w:val="00754592"/>
    <w:rsid w:val="00776C08"/>
    <w:rsid w:val="007C219A"/>
    <w:rsid w:val="007E1DA8"/>
    <w:rsid w:val="007F6C26"/>
    <w:rsid w:val="00813208"/>
    <w:rsid w:val="00817533"/>
    <w:rsid w:val="008334AE"/>
    <w:rsid w:val="00836FED"/>
    <w:rsid w:val="0083724E"/>
    <w:rsid w:val="00841D53"/>
    <w:rsid w:val="00845CD2"/>
    <w:rsid w:val="00852B0D"/>
    <w:rsid w:val="00864B7F"/>
    <w:rsid w:val="0088007A"/>
    <w:rsid w:val="00881692"/>
    <w:rsid w:val="008A6576"/>
    <w:rsid w:val="008B3CC5"/>
    <w:rsid w:val="008B52CD"/>
    <w:rsid w:val="008C7C4D"/>
    <w:rsid w:val="008E4261"/>
    <w:rsid w:val="008E70D4"/>
    <w:rsid w:val="008F4662"/>
    <w:rsid w:val="00905D08"/>
    <w:rsid w:val="00925753"/>
    <w:rsid w:val="00930D56"/>
    <w:rsid w:val="009425F4"/>
    <w:rsid w:val="00943BD8"/>
    <w:rsid w:val="00954B2C"/>
    <w:rsid w:val="00966C5C"/>
    <w:rsid w:val="00973104"/>
    <w:rsid w:val="00995BF0"/>
    <w:rsid w:val="009A16D5"/>
    <w:rsid w:val="009A353D"/>
    <w:rsid w:val="009B0B77"/>
    <w:rsid w:val="009B46E4"/>
    <w:rsid w:val="009B511E"/>
    <w:rsid w:val="009D37D3"/>
    <w:rsid w:val="00A16E6C"/>
    <w:rsid w:val="00A40F60"/>
    <w:rsid w:val="00A44E3D"/>
    <w:rsid w:val="00A72D2E"/>
    <w:rsid w:val="00A74447"/>
    <w:rsid w:val="00A74CE5"/>
    <w:rsid w:val="00A77500"/>
    <w:rsid w:val="00A911E7"/>
    <w:rsid w:val="00A939D9"/>
    <w:rsid w:val="00AD5259"/>
    <w:rsid w:val="00AD7473"/>
    <w:rsid w:val="00B01D36"/>
    <w:rsid w:val="00B078CD"/>
    <w:rsid w:val="00B20712"/>
    <w:rsid w:val="00B34D4E"/>
    <w:rsid w:val="00B3715A"/>
    <w:rsid w:val="00B43238"/>
    <w:rsid w:val="00B45DD3"/>
    <w:rsid w:val="00B4748F"/>
    <w:rsid w:val="00B73582"/>
    <w:rsid w:val="00B75216"/>
    <w:rsid w:val="00B755A2"/>
    <w:rsid w:val="00B9104C"/>
    <w:rsid w:val="00B91D52"/>
    <w:rsid w:val="00B9490F"/>
    <w:rsid w:val="00BA1ACD"/>
    <w:rsid w:val="00BD09F8"/>
    <w:rsid w:val="00C005B2"/>
    <w:rsid w:val="00CA7176"/>
    <w:rsid w:val="00CC75B0"/>
    <w:rsid w:val="00CD2773"/>
    <w:rsid w:val="00CE01BA"/>
    <w:rsid w:val="00CE143B"/>
    <w:rsid w:val="00D07DBA"/>
    <w:rsid w:val="00D1246B"/>
    <w:rsid w:val="00D27003"/>
    <w:rsid w:val="00D9307A"/>
    <w:rsid w:val="00E167C7"/>
    <w:rsid w:val="00E532B2"/>
    <w:rsid w:val="00E55B78"/>
    <w:rsid w:val="00E76361"/>
    <w:rsid w:val="00EB2345"/>
    <w:rsid w:val="00EC47F6"/>
    <w:rsid w:val="00EE709B"/>
    <w:rsid w:val="00EF08C9"/>
    <w:rsid w:val="00EF535E"/>
    <w:rsid w:val="00F14A62"/>
    <w:rsid w:val="00F471F7"/>
    <w:rsid w:val="00F66032"/>
    <w:rsid w:val="00F83B96"/>
    <w:rsid w:val="00F8441D"/>
    <w:rsid w:val="00F87C1E"/>
    <w:rsid w:val="00F958C2"/>
    <w:rsid w:val="00FA740E"/>
    <w:rsid w:val="00FC06C7"/>
    <w:rsid w:val="00FD5DB4"/>
    <w:rsid w:val="00FE1724"/>
    <w:rsid w:val="03AB4ED4"/>
    <w:rsid w:val="05BE763E"/>
    <w:rsid w:val="063B75EF"/>
    <w:rsid w:val="08DF3C4E"/>
    <w:rsid w:val="0A2023C6"/>
    <w:rsid w:val="0B331B7E"/>
    <w:rsid w:val="0B7A041F"/>
    <w:rsid w:val="0B9E249B"/>
    <w:rsid w:val="0C044491"/>
    <w:rsid w:val="0C7017EE"/>
    <w:rsid w:val="0CFE4FCD"/>
    <w:rsid w:val="0DB32BBD"/>
    <w:rsid w:val="0FB56335"/>
    <w:rsid w:val="11C37B1A"/>
    <w:rsid w:val="11EC7D71"/>
    <w:rsid w:val="13352EA3"/>
    <w:rsid w:val="15790869"/>
    <w:rsid w:val="178408F7"/>
    <w:rsid w:val="18D44C35"/>
    <w:rsid w:val="1B0E0982"/>
    <w:rsid w:val="1FC1447C"/>
    <w:rsid w:val="21613782"/>
    <w:rsid w:val="270E12A4"/>
    <w:rsid w:val="277278AD"/>
    <w:rsid w:val="28E17F97"/>
    <w:rsid w:val="29B93F65"/>
    <w:rsid w:val="2A495DAD"/>
    <w:rsid w:val="2B743198"/>
    <w:rsid w:val="2D322122"/>
    <w:rsid w:val="2D89271F"/>
    <w:rsid w:val="31907403"/>
    <w:rsid w:val="31E15395"/>
    <w:rsid w:val="3473676B"/>
    <w:rsid w:val="38781EB8"/>
    <w:rsid w:val="38A61057"/>
    <w:rsid w:val="3A2D653F"/>
    <w:rsid w:val="3A3C0C3C"/>
    <w:rsid w:val="3C5378E3"/>
    <w:rsid w:val="3CB762B3"/>
    <w:rsid w:val="3DA341C9"/>
    <w:rsid w:val="3F5E2B10"/>
    <w:rsid w:val="41E2206F"/>
    <w:rsid w:val="42E50EFC"/>
    <w:rsid w:val="43274E58"/>
    <w:rsid w:val="43B758DB"/>
    <w:rsid w:val="44A26A3E"/>
    <w:rsid w:val="45FE5EEA"/>
    <w:rsid w:val="48EB1A02"/>
    <w:rsid w:val="4A657D63"/>
    <w:rsid w:val="4B606186"/>
    <w:rsid w:val="4CA63082"/>
    <w:rsid w:val="4D9757CE"/>
    <w:rsid w:val="4E715AE7"/>
    <w:rsid w:val="53071741"/>
    <w:rsid w:val="56733828"/>
    <w:rsid w:val="590F304B"/>
    <w:rsid w:val="5A48504D"/>
    <w:rsid w:val="5D5A3361"/>
    <w:rsid w:val="60315DEE"/>
    <w:rsid w:val="62AC6848"/>
    <w:rsid w:val="6368262E"/>
    <w:rsid w:val="63756E47"/>
    <w:rsid w:val="64FF07E7"/>
    <w:rsid w:val="66047C9F"/>
    <w:rsid w:val="6616434D"/>
    <w:rsid w:val="67F4793A"/>
    <w:rsid w:val="69C822D4"/>
    <w:rsid w:val="6A4361B8"/>
    <w:rsid w:val="6A7E5BF1"/>
    <w:rsid w:val="6B2F0288"/>
    <w:rsid w:val="6BDA40CF"/>
    <w:rsid w:val="6D5C3543"/>
    <w:rsid w:val="6FA90EE9"/>
    <w:rsid w:val="700851DC"/>
    <w:rsid w:val="71051481"/>
    <w:rsid w:val="7AA10281"/>
    <w:rsid w:val="7CAC2221"/>
    <w:rsid w:val="7E242906"/>
    <w:rsid w:val="7FD70BB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qFormat="1" w:unhideWhenUsed="0" w:uiPriority="99" w:semiHidden="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nhideWhenUsed="0"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uiPriority w:val="99"/>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qFormat/>
    <w:uiPriority w:val="99"/>
    <w:rPr>
      <w:sz w:val="18"/>
      <w:szCs w:val="18"/>
    </w:rPr>
  </w:style>
  <w:style w:type="paragraph" w:styleId="3">
    <w:name w:val="footer"/>
    <w:basedOn w:val="1"/>
    <w:link w:val="13"/>
    <w:qFormat/>
    <w:uiPriority w:val="99"/>
    <w:pPr>
      <w:tabs>
        <w:tab w:val="center" w:pos="4153"/>
        <w:tab w:val="right" w:pos="8306"/>
      </w:tabs>
      <w:snapToGrid w:val="0"/>
      <w:jc w:val="left"/>
    </w:pPr>
    <w:rPr>
      <w:rFonts w:ascii="Times New Roman" w:hAnsi="Times New Roman"/>
      <w:sz w:val="18"/>
      <w:szCs w:val="18"/>
    </w:rPr>
  </w:style>
  <w:style w:type="paragraph" w:styleId="4">
    <w:name w:val="header"/>
    <w:basedOn w:val="1"/>
    <w:link w:val="14"/>
    <w:qFormat/>
    <w:uiPriority w:val="99"/>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5">
    <w:name w:val="toc 1"/>
    <w:basedOn w:val="1"/>
    <w:next w:val="1"/>
    <w:qFormat/>
    <w:uiPriority w:val="99"/>
    <w:rPr>
      <w:rFonts w:ascii="Times New Roman" w:hAnsi="Times New Roman"/>
      <w:szCs w:val="24"/>
    </w:rPr>
  </w:style>
  <w:style w:type="paragraph" w:styleId="6">
    <w:name w:val="footnote text"/>
    <w:basedOn w:val="1"/>
    <w:link w:val="15"/>
    <w:qFormat/>
    <w:uiPriority w:val="99"/>
    <w:pPr>
      <w:snapToGrid w:val="0"/>
      <w:jc w:val="left"/>
    </w:pPr>
    <w:rPr>
      <w:sz w:val="18"/>
      <w:szCs w:val="18"/>
    </w:rPr>
  </w:style>
  <w:style w:type="paragraph" w:styleId="7">
    <w:name w:val="toc 2"/>
    <w:basedOn w:val="1"/>
    <w:next w:val="1"/>
    <w:qFormat/>
    <w:uiPriority w:val="99"/>
    <w:pPr>
      <w:ind w:left="420" w:leftChars="200"/>
    </w:pPr>
    <w:rPr>
      <w:rFonts w:ascii="Times New Roman" w:hAnsi="Times New Roman"/>
      <w:szCs w:val="24"/>
    </w:rPr>
  </w:style>
  <w:style w:type="paragraph" w:styleId="8">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11">
    <w:name w:val="footnote reference"/>
    <w:basedOn w:val="10"/>
    <w:qFormat/>
    <w:uiPriority w:val="99"/>
    <w:rPr>
      <w:rFonts w:cs="Times New Roman"/>
      <w:vertAlign w:val="superscript"/>
    </w:rPr>
  </w:style>
  <w:style w:type="character" w:customStyle="1" w:styleId="12">
    <w:name w:val="Balloon Text Char"/>
    <w:basedOn w:val="10"/>
    <w:link w:val="2"/>
    <w:semiHidden/>
    <w:qFormat/>
    <w:locked/>
    <w:uiPriority w:val="99"/>
    <w:rPr>
      <w:rFonts w:cs="Times New Roman"/>
      <w:sz w:val="18"/>
      <w:szCs w:val="18"/>
    </w:rPr>
  </w:style>
  <w:style w:type="character" w:customStyle="1" w:styleId="13">
    <w:name w:val="Footer Char"/>
    <w:basedOn w:val="10"/>
    <w:link w:val="3"/>
    <w:qFormat/>
    <w:locked/>
    <w:uiPriority w:val="99"/>
    <w:rPr>
      <w:rFonts w:ascii="Times New Roman" w:hAnsi="Times New Roman" w:eastAsia="宋体" w:cs="Times New Roman"/>
      <w:sz w:val="18"/>
      <w:szCs w:val="18"/>
    </w:rPr>
  </w:style>
  <w:style w:type="character" w:customStyle="1" w:styleId="14">
    <w:name w:val="Header Char"/>
    <w:basedOn w:val="10"/>
    <w:link w:val="4"/>
    <w:qFormat/>
    <w:locked/>
    <w:uiPriority w:val="99"/>
    <w:rPr>
      <w:rFonts w:ascii="Times New Roman" w:hAnsi="Times New Roman" w:eastAsia="宋体" w:cs="Times New Roman"/>
      <w:sz w:val="18"/>
      <w:szCs w:val="18"/>
    </w:rPr>
  </w:style>
  <w:style w:type="character" w:customStyle="1" w:styleId="15">
    <w:name w:val="Footnote Text Char"/>
    <w:basedOn w:val="10"/>
    <w:link w:val="6"/>
    <w:semiHidden/>
    <w:qFormat/>
    <w:locked/>
    <w:uiPriority w:val="99"/>
    <w:rPr>
      <w:rFonts w:ascii="Calibri" w:hAnsi="Calibri" w:eastAsia="宋体" w:cs="Times New Roman"/>
      <w:sz w:val="18"/>
      <w:szCs w:val="18"/>
    </w:rPr>
  </w:style>
  <w:style w:type="paragraph" w:customStyle="1" w:styleId="16">
    <w:name w:val="Default"/>
    <w:qFormat/>
    <w:uiPriority w:val="99"/>
    <w:pPr>
      <w:widowControl w:val="0"/>
      <w:autoSpaceDE w:val="0"/>
      <w:autoSpaceDN w:val="0"/>
      <w:adjustRightInd w:val="0"/>
    </w:pPr>
    <w:rPr>
      <w:rFonts w:ascii="Times New Roman" w:hAnsi="Times New Roman" w:eastAsia="宋体" w:cs="Times New Roman"/>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Template>
  <Company>Microsoft</Company>
  <Pages>11</Pages>
  <Words>3506</Words>
  <Characters>3683</Characters>
  <Lines>0</Lines>
  <Paragraphs>0</Paragraphs>
  <TotalTime>25</TotalTime>
  <ScaleCrop>false</ScaleCrop>
  <LinksUpToDate>false</LinksUpToDate>
  <CharactersWithSpaces>4855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2018-01-30T08:48:00Z</dcterms:created>
  <dc:creator>guest</dc:creator>
  <cp:lastModifiedBy>Sally</cp:lastModifiedBy>
  <cp:lastPrinted>2018-01-30T06:12:00Z</cp:lastPrinted>
  <dcterms:modified xsi:type="dcterms:W3CDTF">2024-06-06T01:35:03Z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9C12DFCB395C4A749B3D9C5432AA0019_12</vt:lpwstr>
  </property>
</Properties>
</file>