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一、馆陶县财政局本级收支预算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bookmarkStart w:id="1" w:name="_GoBack"/>
      <w:bookmarkEnd w:id="1"/>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一、馆陶县财政局本级收支预算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318001馆陶县财政局本级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1422.47</w:t>
            </w:r>
          </w:p>
        </w:tc>
        <w:tc>
          <w:tcPr>
            <w:tcW w:w="4535" w:type="dxa"/>
            <w:vAlign w:val="center"/>
          </w:tcPr>
          <w:p>
            <w:pPr>
              <w:pStyle w:val="12"/>
            </w:pPr>
            <w:r>
              <w:t>一、一般公共服务支出</w:t>
            </w:r>
          </w:p>
        </w:tc>
        <w:tc>
          <w:tcPr>
            <w:tcW w:w="2126" w:type="dxa"/>
            <w:vAlign w:val="center"/>
          </w:tcPr>
          <w:p>
            <w:pPr>
              <w:pStyle w:val="11"/>
            </w:pPr>
            <w:r>
              <w:t>1340.15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36.28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17.71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1422.47</w:t>
            </w:r>
          </w:p>
        </w:tc>
        <w:tc>
          <w:tcPr>
            <w:tcW w:w="4535" w:type="dxa"/>
            <w:vAlign w:val="center"/>
          </w:tcPr>
          <w:p>
            <w:pPr>
              <w:pStyle w:val="14"/>
            </w:pPr>
            <w:r>
              <w:t>本年支出合计</w:t>
            </w:r>
          </w:p>
        </w:tc>
        <w:tc>
          <w:tcPr>
            <w:tcW w:w="2126" w:type="dxa"/>
            <w:vAlign w:val="center"/>
          </w:tcPr>
          <w:p>
            <w:pPr>
              <w:pStyle w:val="15"/>
            </w:pPr>
            <w:r>
              <w:t>1422.47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1422.47</w:t>
            </w:r>
          </w:p>
        </w:tc>
        <w:tc>
          <w:tcPr>
            <w:tcW w:w="4535" w:type="dxa"/>
            <w:vAlign w:val="center"/>
          </w:tcPr>
          <w:p>
            <w:pPr>
              <w:pStyle w:val="14"/>
            </w:pPr>
            <w:r>
              <w:t>支出总计</w:t>
            </w:r>
          </w:p>
        </w:tc>
        <w:tc>
          <w:tcPr>
            <w:tcW w:w="2126" w:type="dxa"/>
            <w:vAlign w:val="center"/>
          </w:tcPr>
          <w:p>
            <w:pPr>
              <w:pStyle w:val="15"/>
            </w:pPr>
            <w:r>
              <w:t>1422.47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318001馆陶县财政局本级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1422.47</w:t>
            </w:r>
          </w:p>
        </w:tc>
        <w:tc>
          <w:tcPr>
            <w:tcW w:w="1134" w:type="dxa"/>
            <w:vAlign w:val="center"/>
          </w:tcPr>
          <w:p>
            <w:pPr>
              <w:pStyle w:val="15"/>
            </w:pPr>
            <w:r>
              <w:t>1422.47</w:t>
            </w:r>
          </w:p>
        </w:tc>
        <w:tc>
          <w:tcPr>
            <w:tcW w:w="1134" w:type="dxa"/>
            <w:vAlign w:val="center"/>
          </w:tcPr>
          <w:p>
            <w:pPr>
              <w:pStyle w:val="15"/>
            </w:pPr>
            <w:r>
              <w:t>1422.47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1340.15</w:t>
            </w:r>
          </w:p>
        </w:tc>
        <w:tc>
          <w:tcPr>
            <w:tcW w:w="1134" w:type="dxa"/>
            <w:vAlign w:val="center"/>
          </w:tcPr>
          <w:p>
            <w:pPr>
              <w:pStyle w:val="11"/>
            </w:pPr>
            <w:r>
              <w:t>1340.15</w:t>
            </w:r>
          </w:p>
        </w:tc>
        <w:tc>
          <w:tcPr>
            <w:tcW w:w="1134" w:type="dxa"/>
            <w:vAlign w:val="center"/>
          </w:tcPr>
          <w:p>
            <w:pPr>
              <w:pStyle w:val="11"/>
            </w:pPr>
            <w:r>
              <w:t>1340.15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20106</w:t>
            </w:r>
          </w:p>
        </w:tc>
        <w:tc>
          <w:tcPr>
            <w:tcW w:w="1559" w:type="dxa"/>
            <w:vAlign w:val="center"/>
          </w:tcPr>
          <w:p>
            <w:pPr>
              <w:pStyle w:val="12"/>
            </w:pPr>
            <w:r>
              <w:t>财政事务</w:t>
            </w:r>
          </w:p>
        </w:tc>
        <w:tc>
          <w:tcPr>
            <w:tcW w:w="1134" w:type="dxa"/>
            <w:vAlign w:val="center"/>
          </w:tcPr>
          <w:p>
            <w:pPr>
              <w:pStyle w:val="11"/>
            </w:pPr>
            <w:r>
              <w:t>1340.15</w:t>
            </w:r>
          </w:p>
        </w:tc>
        <w:tc>
          <w:tcPr>
            <w:tcW w:w="1134" w:type="dxa"/>
            <w:vAlign w:val="center"/>
          </w:tcPr>
          <w:p>
            <w:pPr>
              <w:pStyle w:val="11"/>
            </w:pPr>
            <w:r>
              <w:t>1340.15</w:t>
            </w:r>
          </w:p>
        </w:tc>
        <w:tc>
          <w:tcPr>
            <w:tcW w:w="1134" w:type="dxa"/>
            <w:vAlign w:val="center"/>
          </w:tcPr>
          <w:p>
            <w:pPr>
              <w:pStyle w:val="11"/>
            </w:pPr>
            <w:r>
              <w:t>1340.15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2010601</w:t>
            </w:r>
          </w:p>
        </w:tc>
        <w:tc>
          <w:tcPr>
            <w:tcW w:w="1559" w:type="dxa"/>
            <w:vAlign w:val="center"/>
          </w:tcPr>
          <w:p>
            <w:pPr>
              <w:pStyle w:val="12"/>
            </w:pPr>
            <w:r>
              <w:t>行政运行</w:t>
            </w:r>
          </w:p>
        </w:tc>
        <w:tc>
          <w:tcPr>
            <w:tcW w:w="1134" w:type="dxa"/>
            <w:vAlign w:val="center"/>
          </w:tcPr>
          <w:p>
            <w:pPr>
              <w:pStyle w:val="11"/>
            </w:pPr>
            <w:r>
              <w:t>940.15</w:t>
            </w:r>
          </w:p>
        </w:tc>
        <w:tc>
          <w:tcPr>
            <w:tcW w:w="1134" w:type="dxa"/>
            <w:vAlign w:val="center"/>
          </w:tcPr>
          <w:p>
            <w:pPr>
              <w:pStyle w:val="11"/>
            </w:pPr>
            <w:r>
              <w:t>940.15</w:t>
            </w:r>
          </w:p>
        </w:tc>
        <w:tc>
          <w:tcPr>
            <w:tcW w:w="1134" w:type="dxa"/>
            <w:vAlign w:val="center"/>
          </w:tcPr>
          <w:p>
            <w:pPr>
              <w:pStyle w:val="11"/>
            </w:pPr>
            <w:r>
              <w:t>940.15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2010608</w:t>
            </w:r>
          </w:p>
        </w:tc>
        <w:tc>
          <w:tcPr>
            <w:tcW w:w="1559" w:type="dxa"/>
            <w:vAlign w:val="center"/>
          </w:tcPr>
          <w:p>
            <w:pPr>
              <w:pStyle w:val="12"/>
            </w:pPr>
            <w:r>
              <w:t>财政委托业务支出</w:t>
            </w:r>
          </w:p>
        </w:tc>
        <w:tc>
          <w:tcPr>
            <w:tcW w:w="1134" w:type="dxa"/>
            <w:vAlign w:val="center"/>
          </w:tcPr>
          <w:p>
            <w:pPr>
              <w:pStyle w:val="11"/>
            </w:pPr>
            <w:r>
              <w:t>400.00</w:t>
            </w:r>
          </w:p>
        </w:tc>
        <w:tc>
          <w:tcPr>
            <w:tcW w:w="1134" w:type="dxa"/>
            <w:vAlign w:val="center"/>
          </w:tcPr>
          <w:p>
            <w:pPr>
              <w:pStyle w:val="11"/>
            </w:pPr>
            <w:r>
              <w:t>400.00</w:t>
            </w:r>
          </w:p>
        </w:tc>
        <w:tc>
          <w:tcPr>
            <w:tcW w:w="1134" w:type="dxa"/>
            <w:vAlign w:val="center"/>
          </w:tcPr>
          <w:p>
            <w:pPr>
              <w:pStyle w:val="11"/>
            </w:pPr>
            <w:r>
              <w:t>400.00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36.28</w:t>
            </w:r>
          </w:p>
        </w:tc>
        <w:tc>
          <w:tcPr>
            <w:tcW w:w="1134" w:type="dxa"/>
            <w:vAlign w:val="center"/>
          </w:tcPr>
          <w:p>
            <w:pPr>
              <w:pStyle w:val="11"/>
            </w:pPr>
            <w:r>
              <w:t>36.28</w:t>
            </w:r>
          </w:p>
        </w:tc>
        <w:tc>
          <w:tcPr>
            <w:tcW w:w="1134" w:type="dxa"/>
            <w:vAlign w:val="center"/>
          </w:tcPr>
          <w:p>
            <w:pPr>
              <w:pStyle w:val="11"/>
            </w:pPr>
            <w:r>
              <w:t>36.28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36.28</w:t>
            </w:r>
          </w:p>
        </w:tc>
        <w:tc>
          <w:tcPr>
            <w:tcW w:w="1134" w:type="dxa"/>
            <w:vAlign w:val="center"/>
          </w:tcPr>
          <w:p>
            <w:pPr>
              <w:pStyle w:val="11"/>
            </w:pPr>
            <w:r>
              <w:t>36.28</w:t>
            </w:r>
          </w:p>
        </w:tc>
        <w:tc>
          <w:tcPr>
            <w:tcW w:w="1134" w:type="dxa"/>
            <w:vAlign w:val="center"/>
          </w:tcPr>
          <w:p>
            <w:pPr>
              <w:pStyle w:val="11"/>
            </w:pPr>
            <w:r>
              <w:t>36.28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36.28</w:t>
            </w:r>
          </w:p>
        </w:tc>
        <w:tc>
          <w:tcPr>
            <w:tcW w:w="1134" w:type="dxa"/>
            <w:vAlign w:val="center"/>
          </w:tcPr>
          <w:p>
            <w:pPr>
              <w:pStyle w:val="11"/>
            </w:pPr>
            <w:r>
              <w:t>36.28</w:t>
            </w:r>
          </w:p>
        </w:tc>
        <w:tc>
          <w:tcPr>
            <w:tcW w:w="1134" w:type="dxa"/>
            <w:vAlign w:val="center"/>
          </w:tcPr>
          <w:p>
            <w:pPr>
              <w:pStyle w:val="11"/>
            </w:pPr>
            <w:r>
              <w:t>36.28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17.71</w:t>
            </w:r>
          </w:p>
        </w:tc>
        <w:tc>
          <w:tcPr>
            <w:tcW w:w="1134" w:type="dxa"/>
            <w:vAlign w:val="center"/>
          </w:tcPr>
          <w:p>
            <w:pPr>
              <w:pStyle w:val="11"/>
            </w:pPr>
            <w:r>
              <w:t>17.71</w:t>
            </w:r>
          </w:p>
        </w:tc>
        <w:tc>
          <w:tcPr>
            <w:tcW w:w="1134" w:type="dxa"/>
            <w:vAlign w:val="center"/>
          </w:tcPr>
          <w:p>
            <w:pPr>
              <w:pStyle w:val="11"/>
            </w:pPr>
            <w:r>
              <w:t>17.71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17.71</w:t>
            </w:r>
          </w:p>
        </w:tc>
        <w:tc>
          <w:tcPr>
            <w:tcW w:w="1134" w:type="dxa"/>
            <w:vAlign w:val="center"/>
          </w:tcPr>
          <w:p>
            <w:pPr>
              <w:pStyle w:val="11"/>
            </w:pPr>
            <w:r>
              <w:t>17.71</w:t>
            </w:r>
          </w:p>
        </w:tc>
        <w:tc>
          <w:tcPr>
            <w:tcW w:w="1134" w:type="dxa"/>
            <w:vAlign w:val="center"/>
          </w:tcPr>
          <w:p>
            <w:pPr>
              <w:pStyle w:val="11"/>
            </w:pPr>
            <w:r>
              <w:t>17.71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17.71</w:t>
            </w:r>
          </w:p>
        </w:tc>
        <w:tc>
          <w:tcPr>
            <w:tcW w:w="1134" w:type="dxa"/>
            <w:vAlign w:val="center"/>
          </w:tcPr>
          <w:p>
            <w:pPr>
              <w:pStyle w:val="11"/>
            </w:pPr>
            <w:r>
              <w:t>17.71</w:t>
            </w:r>
          </w:p>
        </w:tc>
        <w:tc>
          <w:tcPr>
            <w:tcW w:w="1134" w:type="dxa"/>
            <w:vAlign w:val="center"/>
          </w:tcPr>
          <w:p>
            <w:pPr>
              <w:pStyle w:val="11"/>
            </w:pPr>
            <w:r>
              <w:t>17.71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28.33</w:t>
            </w:r>
          </w:p>
        </w:tc>
        <w:tc>
          <w:tcPr>
            <w:tcW w:w="1134" w:type="dxa"/>
            <w:vAlign w:val="center"/>
          </w:tcPr>
          <w:p>
            <w:pPr>
              <w:pStyle w:val="11"/>
            </w:pPr>
            <w:r>
              <w:t>28.33</w:t>
            </w:r>
          </w:p>
        </w:tc>
        <w:tc>
          <w:tcPr>
            <w:tcW w:w="1134" w:type="dxa"/>
            <w:vAlign w:val="center"/>
          </w:tcPr>
          <w:p>
            <w:pPr>
              <w:pStyle w:val="11"/>
            </w:pPr>
            <w:r>
              <w:t>28.33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28.33</w:t>
            </w:r>
          </w:p>
        </w:tc>
        <w:tc>
          <w:tcPr>
            <w:tcW w:w="1134" w:type="dxa"/>
            <w:vAlign w:val="center"/>
          </w:tcPr>
          <w:p>
            <w:pPr>
              <w:pStyle w:val="11"/>
            </w:pPr>
            <w:r>
              <w:t>28.33</w:t>
            </w:r>
          </w:p>
        </w:tc>
        <w:tc>
          <w:tcPr>
            <w:tcW w:w="1134" w:type="dxa"/>
            <w:vAlign w:val="center"/>
          </w:tcPr>
          <w:p>
            <w:pPr>
              <w:pStyle w:val="11"/>
            </w:pPr>
            <w:r>
              <w:t>28.33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28.33</w:t>
            </w:r>
          </w:p>
        </w:tc>
        <w:tc>
          <w:tcPr>
            <w:tcW w:w="1134" w:type="dxa"/>
            <w:vAlign w:val="center"/>
          </w:tcPr>
          <w:p>
            <w:pPr>
              <w:pStyle w:val="11"/>
            </w:pPr>
            <w:r>
              <w:t>28.33</w:t>
            </w:r>
          </w:p>
        </w:tc>
        <w:tc>
          <w:tcPr>
            <w:tcW w:w="1134" w:type="dxa"/>
            <w:vAlign w:val="center"/>
          </w:tcPr>
          <w:p>
            <w:pPr>
              <w:pStyle w:val="11"/>
            </w:pPr>
            <w:r>
              <w:t>28.33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318001馆陶县财政局本级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1422.47</w:t>
            </w:r>
          </w:p>
        </w:tc>
        <w:tc>
          <w:tcPr>
            <w:tcW w:w="1361" w:type="dxa"/>
            <w:vAlign w:val="center"/>
          </w:tcPr>
          <w:p>
            <w:pPr>
              <w:pStyle w:val="15"/>
            </w:pPr>
            <w:r>
              <w:t>805.14</w:t>
            </w:r>
          </w:p>
        </w:tc>
        <w:tc>
          <w:tcPr>
            <w:tcW w:w="1361" w:type="dxa"/>
            <w:vAlign w:val="center"/>
          </w:tcPr>
          <w:p>
            <w:pPr>
              <w:pStyle w:val="15"/>
            </w:pPr>
            <w:r>
              <w:t>617.33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1340.15</w:t>
            </w:r>
          </w:p>
        </w:tc>
        <w:tc>
          <w:tcPr>
            <w:tcW w:w="1361" w:type="dxa"/>
            <w:vAlign w:val="center"/>
          </w:tcPr>
          <w:p>
            <w:pPr>
              <w:pStyle w:val="11"/>
            </w:pPr>
            <w:r>
              <w:t>722.82</w:t>
            </w:r>
          </w:p>
        </w:tc>
        <w:tc>
          <w:tcPr>
            <w:tcW w:w="1361" w:type="dxa"/>
            <w:vAlign w:val="center"/>
          </w:tcPr>
          <w:p>
            <w:pPr>
              <w:pStyle w:val="11"/>
            </w:pPr>
            <w:r>
              <w:t>617.33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20106</w:t>
            </w:r>
          </w:p>
        </w:tc>
        <w:tc>
          <w:tcPr>
            <w:tcW w:w="4535" w:type="dxa"/>
            <w:vAlign w:val="center"/>
          </w:tcPr>
          <w:p>
            <w:pPr>
              <w:pStyle w:val="12"/>
            </w:pPr>
            <w:r>
              <w:t>财政事务</w:t>
            </w:r>
          </w:p>
        </w:tc>
        <w:tc>
          <w:tcPr>
            <w:tcW w:w="1361" w:type="dxa"/>
            <w:vAlign w:val="center"/>
          </w:tcPr>
          <w:p>
            <w:pPr>
              <w:pStyle w:val="11"/>
            </w:pPr>
            <w:r>
              <w:t>1340.15</w:t>
            </w:r>
          </w:p>
        </w:tc>
        <w:tc>
          <w:tcPr>
            <w:tcW w:w="1361" w:type="dxa"/>
            <w:vAlign w:val="center"/>
          </w:tcPr>
          <w:p>
            <w:pPr>
              <w:pStyle w:val="11"/>
            </w:pPr>
            <w:r>
              <w:t>722.82</w:t>
            </w:r>
          </w:p>
        </w:tc>
        <w:tc>
          <w:tcPr>
            <w:tcW w:w="1361" w:type="dxa"/>
            <w:vAlign w:val="center"/>
          </w:tcPr>
          <w:p>
            <w:pPr>
              <w:pStyle w:val="11"/>
            </w:pPr>
            <w:r>
              <w:t>617.33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2010601</w:t>
            </w:r>
          </w:p>
        </w:tc>
        <w:tc>
          <w:tcPr>
            <w:tcW w:w="4535" w:type="dxa"/>
            <w:vAlign w:val="center"/>
          </w:tcPr>
          <w:p>
            <w:pPr>
              <w:pStyle w:val="12"/>
            </w:pPr>
            <w:r>
              <w:t>行政运行</w:t>
            </w:r>
          </w:p>
        </w:tc>
        <w:tc>
          <w:tcPr>
            <w:tcW w:w="1361" w:type="dxa"/>
            <w:vAlign w:val="center"/>
          </w:tcPr>
          <w:p>
            <w:pPr>
              <w:pStyle w:val="11"/>
            </w:pPr>
            <w:r>
              <w:t>940.15</w:t>
            </w:r>
          </w:p>
        </w:tc>
        <w:tc>
          <w:tcPr>
            <w:tcW w:w="1361" w:type="dxa"/>
            <w:vAlign w:val="center"/>
          </w:tcPr>
          <w:p>
            <w:pPr>
              <w:pStyle w:val="11"/>
            </w:pPr>
            <w:r>
              <w:t>722.82</w:t>
            </w:r>
          </w:p>
        </w:tc>
        <w:tc>
          <w:tcPr>
            <w:tcW w:w="1361" w:type="dxa"/>
            <w:vAlign w:val="center"/>
          </w:tcPr>
          <w:p>
            <w:pPr>
              <w:pStyle w:val="11"/>
            </w:pPr>
            <w:r>
              <w:t>217.33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2010608</w:t>
            </w:r>
          </w:p>
        </w:tc>
        <w:tc>
          <w:tcPr>
            <w:tcW w:w="4535" w:type="dxa"/>
            <w:vAlign w:val="center"/>
          </w:tcPr>
          <w:p>
            <w:pPr>
              <w:pStyle w:val="12"/>
            </w:pPr>
            <w:r>
              <w:t>财政委托业务支出</w:t>
            </w:r>
          </w:p>
        </w:tc>
        <w:tc>
          <w:tcPr>
            <w:tcW w:w="1361" w:type="dxa"/>
            <w:vAlign w:val="center"/>
          </w:tcPr>
          <w:p>
            <w:pPr>
              <w:pStyle w:val="11"/>
            </w:pPr>
            <w:r>
              <w:t>400.00</w:t>
            </w:r>
          </w:p>
        </w:tc>
        <w:tc>
          <w:tcPr>
            <w:tcW w:w="1361" w:type="dxa"/>
            <w:vAlign w:val="center"/>
          </w:tcPr>
          <w:p>
            <w:pPr>
              <w:pStyle w:val="11"/>
            </w:pPr>
          </w:p>
        </w:tc>
        <w:tc>
          <w:tcPr>
            <w:tcW w:w="1361" w:type="dxa"/>
            <w:vAlign w:val="center"/>
          </w:tcPr>
          <w:p>
            <w:pPr>
              <w:pStyle w:val="11"/>
            </w:pPr>
            <w:r>
              <w:t>400.00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36.28</w:t>
            </w:r>
          </w:p>
        </w:tc>
        <w:tc>
          <w:tcPr>
            <w:tcW w:w="1361" w:type="dxa"/>
            <w:vAlign w:val="center"/>
          </w:tcPr>
          <w:p>
            <w:pPr>
              <w:pStyle w:val="11"/>
            </w:pPr>
            <w:r>
              <w:t>36.28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36.28</w:t>
            </w:r>
          </w:p>
        </w:tc>
        <w:tc>
          <w:tcPr>
            <w:tcW w:w="1361" w:type="dxa"/>
            <w:vAlign w:val="center"/>
          </w:tcPr>
          <w:p>
            <w:pPr>
              <w:pStyle w:val="11"/>
            </w:pPr>
            <w:r>
              <w:t>36.28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36.28</w:t>
            </w:r>
          </w:p>
        </w:tc>
        <w:tc>
          <w:tcPr>
            <w:tcW w:w="1361" w:type="dxa"/>
            <w:vAlign w:val="center"/>
          </w:tcPr>
          <w:p>
            <w:pPr>
              <w:pStyle w:val="11"/>
            </w:pPr>
            <w:r>
              <w:t>36.28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17.71</w:t>
            </w:r>
          </w:p>
        </w:tc>
        <w:tc>
          <w:tcPr>
            <w:tcW w:w="1361" w:type="dxa"/>
            <w:vAlign w:val="center"/>
          </w:tcPr>
          <w:p>
            <w:pPr>
              <w:pStyle w:val="11"/>
            </w:pPr>
            <w:r>
              <w:t>17.71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17.71</w:t>
            </w:r>
          </w:p>
        </w:tc>
        <w:tc>
          <w:tcPr>
            <w:tcW w:w="1361" w:type="dxa"/>
            <w:vAlign w:val="center"/>
          </w:tcPr>
          <w:p>
            <w:pPr>
              <w:pStyle w:val="11"/>
            </w:pPr>
            <w:r>
              <w:t>17.71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17.71</w:t>
            </w:r>
          </w:p>
        </w:tc>
        <w:tc>
          <w:tcPr>
            <w:tcW w:w="1361" w:type="dxa"/>
            <w:vAlign w:val="center"/>
          </w:tcPr>
          <w:p>
            <w:pPr>
              <w:pStyle w:val="11"/>
            </w:pPr>
            <w:r>
              <w:t>17.71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28.33</w:t>
            </w:r>
          </w:p>
        </w:tc>
        <w:tc>
          <w:tcPr>
            <w:tcW w:w="1361" w:type="dxa"/>
            <w:vAlign w:val="center"/>
          </w:tcPr>
          <w:p>
            <w:pPr>
              <w:pStyle w:val="11"/>
            </w:pPr>
            <w:r>
              <w:t>28.33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28.33</w:t>
            </w:r>
          </w:p>
        </w:tc>
        <w:tc>
          <w:tcPr>
            <w:tcW w:w="1361" w:type="dxa"/>
            <w:vAlign w:val="center"/>
          </w:tcPr>
          <w:p>
            <w:pPr>
              <w:pStyle w:val="11"/>
            </w:pPr>
            <w:r>
              <w:t>28.33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28.33</w:t>
            </w:r>
          </w:p>
        </w:tc>
        <w:tc>
          <w:tcPr>
            <w:tcW w:w="1361" w:type="dxa"/>
            <w:vAlign w:val="center"/>
          </w:tcPr>
          <w:p>
            <w:pPr>
              <w:pStyle w:val="11"/>
            </w:pPr>
            <w:r>
              <w:t>28.33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318001馆陶县财政局本级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1422.47</w:t>
            </w:r>
          </w:p>
        </w:tc>
        <w:tc>
          <w:tcPr>
            <w:tcW w:w="3402" w:type="dxa"/>
            <w:vAlign w:val="center"/>
          </w:tcPr>
          <w:p>
            <w:pPr>
              <w:pStyle w:val="12"/>
            </w:pPr>
            <w:r>
              <w:t>一、一般公共服务支出</w:t>
            </w:r>
          </w:p>
        </w:tc>
        <w:tc>
          <w:tcPr>
            <w:tcW w:w="1474" w:type="dxa"/>
            <w:vAlign w:val="center"/>
          </w:tcPr>
          <w:p>
            <w:pPr>
              <w:pStyle w:val="11"/>
            </w:pPr>
            <w:r>
              <w:t>1340.15</w:t>
            </w:r>
          </w:p>
        </w:tc>
        <w:tc>
          <w:tcPr>
            <w:tcW w:w="1474" w:type="dxa"/>
            <w:vAlign w:val="center"/>
          </w:tcPr>
          <w:p>
            <w:pPr>
              <w:pStyle w:val="11"/>
            </w:pPr>
            <w:r>
              <w:t>1340.15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36.28</w:t>
            </w:r>
          </w:p>
        </w:tc>
        <w:tc>
          <w:tcPr>
            <w:tcW w:w="1474" w:type="dxa"/>
            <w:vAlign w:val="center"/>
          </w:tcPr>
          <w:p>
            <w:pPr>
              <w:pStyle w:val="11"/>
            </w:pPr>
            <w:r>
              <w:t>36.28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17.71</w:t>
            </w:r>
          </w:p>
        </w:tc>
        <w:tc>
          <w:tcPr>
            <w:tcW w:w="1474" w:type="dxa"/>
            <w:vAlign w:val="center"/>
          </w:tcPr>
          <w:p>
            <w:pPr>
              <w:pStyle w:val="11"/>
            </w:pPr>
            <w:r>
              <w:t>17.71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28.33</w:t>
            </w:r>
          </w:p>
        </w:tc>
        <w:tc>
          <w:tcPr>
            <w:tcW w:w="1474" w:type="dxa"/>
            <w:vAlign w:val="center"/>
          </w:tcPr>
          <w:p>
            <w:pPr>
              <w:pStyle w:val="11"/>
            </w:pPr>
            <w:r>
              <w:t>28.33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1422.47</w:t>
            </w:r>
          </w:p>
        </w:tc>
        <w:tc>
          <w:tcPr>
            <w:tcW w:w="3402" w:type="dxa"/>
            <w:vAlign w:val="center"/>
          </w:tcPr>
          <w:p>
            <w:pPr>
              <w:pStyle w:val="14"/>
            </w:pPr>
            <w:r>
              <w:t>本年支出合计</w:t>
            </w:r>
          </w:p>
        </w:tc>
        <w:tc>
          <w:tcPr>
            <w:tcW w:w="1474" w:type="dxa"/>
            <w:vAlign w:val="center"/>
          </w:tcPr>
          <w:p>
            <w:pPr>
              <w:pStyle w:val="15"/>
            </w:pPr>
            <w:r>
              <w:t>1422.47</w:t>
            </w:r>
          </w:p>
        </w:tc>
        <w:tc>
          <w:tcPr>
            <w:tcW w:w="1474" w:type="dxa"/>
            <w:vAlign w:val="center"/>
          </w:tcPr>
          <w:p>
            <w:pPr>
              <w:pStyle w:val="15"/>
            </w:pPr>
            <w:r>
              <w:t>1422.47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1422.47</w:t>
            </w:r>
          </w:p>
        </w:tc>
        <w:tc>
          <w:tcPr>
            <w:tcW w:w="3402" w:type="dxa"/>
            <w:vAlign w:val="center"/>
          </w:tcPr>
          <w:p>
            <w:pPr>
              <w:pStyle w:val="14"/>
            </w:pPr>
            <w:r>
              <w:t>支出总计</w:t>
            </w:r>
          </w:p>
        </w:tc>
        <w:tc>
          <w:tcPr>
            <w:tcW w:w="1474" w:type="dxa"/>
            <w:vAlign w:val="center"/>
          </w:tcPr>
          <w:p>
            <w:pPr>
              <w:pStyle w:val="15"/>
            </w:pPr>
            <w:r>
              <w:t>1422.47</w:t>
            </w:r>
          </w:p>
        </w:tc>
        <w:tc>
          <w:tcPr>
            <w:tcW w:w="1474" w:type="dxa"/>
            <w:vAlign w:val="center"/>
          </w:tcPr>
          <w:p>
            <w:pPr>
              <w:pStyle w:val="15"/>
            </w:pPr>
            <w:r>
              <w:t>1422.47</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318001馆陶县财政局本级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1422.47</w:t>
            </w:r>
          </w:p>
        </w:tc>
        <w:tc>
          <w:tcPr>
            <w:tcW w:w="2551" w:type="dxa"/>
            <w:vAlign w:val="center"/>
          </w:tcPr>
          <w:p>
            <w:pPr>
              <w:pStyle w:val="15"/>
            </w:pPr>
            <w:r>
              <w:t>805.14</w:t>
            </w:r>
          </w:p>
        </w:tc>
        <w:tc>
          <w:tcPr>
            <w:tcW w:w="2551" w:type="dxa"/>
            <w:vAlign w:val="center"/>
          </w:tcPr>
          <w:p>
            <w:pPr>
              <w:pStyle w:val="15"/>
            </w:pPr>
            <w:r>
              <w:t>617.33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1340.15</w:t>
            </w:r>
          </w:p>
        </w:tc>
        <w:tc>
          <w:tcPr>
            <w:tcW w:w="2551" w:type="dxa"/>
            <w:vAlign w:val="center"/>
          </w:tcPr>
          <w:p>
            <w:pPr>
              <w:pStyle w:val="11"/>
            </w:pPr>
            <w:r>
              <w:t>722.82</w:t>
            </w:r>
          </w:p>
        </w:tc>
        <w:tc>
          <w:tcPr>
            <w:tcW w:w="2551" w:type="dxa"/>
            <w:vAlign w:val="center"/>
          </w:tcPr>
          <w:p>
            <w:pPr>
              <w:pStyle w:val="11"/>
            </w:pPr>
            <w:r>
              <w:t>617.33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20106</w:t>
            </w:r>
          </w:p>
        </w:tc>
        <w:tc>
          <w:tcPr>
            <w:tcW w:w="4535" w:type="dxa"/>
            <w:vAlign w:val="center"/>
          </w:tcPr>
          <w:p>
            <w:pPr>
              <w:pStyle w:val="12"/>
            </w:pPr>
            <w:r>
              <w:t>财政事务</w:t>
            </w:r>
          </w:p>
        </w:tc>
        <w:tc>
          <w:tcPr>
            <w:tcW w:w="2551" w:type="dxa"/>
            <w:vAlign w:val="center"/>
          </w:tcPr>
          <w:p>
            <w:pPr>
              <w:pStyle w:val="11"/>
            </w:pPr>
            <w:r>
              <w:t>1340.15</w:t>
            </w:r>
          </w:p>
        </w:tc>
        <w:tc>
          <w:tcPr>
            <w:tcW w:w="2551" w:type="dxa"/>
            <w:vAlign w:val="center"/>
          </w:tcPr>
          <w:p>
            <w:pPr>
              <w:pStyle w:val="11"/>
            </w:pPr>
            <w:r>
              <w:t>722.82</w:t>
            </w:r>
          </w:p>
        </w:tc>
        <w:tc>
          <w:tcPr>
            <w:tcW w:w="2551" w:type="dxa"/>
            <w:vAlign w:val="center"/>
          </w:tcPr>
          <w:p>
            <w:pPr>
              <w:pStyle w:val="11"/>
            </w:pPr>
            <w:r>
              <w:t>617.33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2010601</w:t>
            </w:r>
          </w:p>
        </w:tc>
        <w:tc>
          <w:tcPr>
            <w:tcW w:w="4535" w:type="dxa"/>
            <w:vAlign w:val="center"/>
          </w:tcPr>
          <w:p>
            <w:pPr>
              <w:pStyle w:val="12"/>
            </w:pPr>
            <w:r>
              <w:t>行政运行</w:t>
            </w:r>
          </w:p>
        </w:tc>
        <w:tc>
          <w:tcPr>
            <w:tcW w:w="2551" w:type="dxa"/>
            <w:vAlign w:val="center"/>
          </w:tcPr>
          <w:p>
            <w:pPr>
              <w:pStyle w:val="11"/>
            </w:pPr>
            <w:r>
              <w:t>940.15</w:t>
            </w:r>
          </w:p>
        </w:tc>
        <w:tc>
          <w:tcPr>
            <w:tcW w:w="2551" w:type="dxa"/>
            <w:vAlign w:val="center"/>
          </w:tcPr>
          <w:p>
            <w:pPr>
              <w:pStyle w:val="11"/>
            </w:pPr>
            <w:r>
              <w:t>722.82</w:t>
            </w:r>
          </w:p>
        </w:tc>
        <w:tc>
          <w:tcPr>
            <w:tcW w:w="2551" w:type="dxa"/>
            <w:vAlign w:val="center"/>
          </w:tcPr>
          <w:p>
            <w:pPr>
              <w:pStyle w:val="11"/>
            </w:pPr>
            <w:r>
              <w:t>217.33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2010608</w:t>
            </w:r>
          </w:p>
        </w:tc>
        <w:tc>
          <w:tcPr>
            <w:tcW w:w="4535" w:type="dxa"/>
            <w:vAlign w:val="center"/>
          </w:tcPr>
          <w:p>
            <w:pPr>
              <w:pStyle w:val="12"/>
            </w:pPr>
            <w:r>
              <w:t>财政委托业务支出</w:t>
            </w:r>
          </w:p>
        </w:tc>
        <w:tc>
          <w:tcPr>
            <w:tcW w:w="2551" w:type="dxa"/>
            <w:vAlign w:val="center"/>
          </w:tcPr>
          <w:p>
            <w:pPr>
              <w:pStyle w:val="11"/>
            </w:pPr>
            <w:r>
              <w:t>400.00</w:t>
            </w:r>
          </w:p>
        </w:tc>
        <w:tc>
          <w:tcPr>
            <w:tcW w:w="2551" w:type="dxa"/>
            <w:vAlign w:val="center"/>
          </w:tcPr>
          <w:p>
            <w:pPr>
              <w:pStyle w:val="11"/>
            </w:pPr>
          </w:p>
        </w:tc>
        <w:tc>
          <w:tcPr>
            <w:tcW w:w="2551" w:type="dxa"/>
            <w:vAlign w:val="center"/>
          </w:tcPr>
          <w:p>
            <w:pPr>
              <w:pStyle w:val="11"/>
            </w:pPr>
            <w:r>
              <w:t>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36.28</w:t>
            </w:r>
          </w:p>
        </w:tc>
        <w:tc>
          <w:tcPr>
            <w:tcW w:w="2551" w:type="dxa"/>
            <w:vAlign w:val="center"/>
          </w:tcPr>
          <w:p>
            <w:pPr>
              <w:pStyle w:val="11"/>
            </w:pPr>
            <w:r>
              <w:t>36.28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36.28</w:t>
            </w:r>
          </w:p>
        </w:tc>
        <w:tc>
          <w:tcPr>
            <w:tcW w:w="2551" w:type="dxa"/>
            <w:vAlign w:val="center"/>
          </w:tcPr>
          <w:p>
            <w:pPr>
              <w:pStyle w:val="11"/>
            </w:pPr>
            <w:r>
              <w:t>36.28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36.28</w:t>
            </w:r>
          </w:p>
        </w:tc>
        <w:tc>
          <w:tcPr>
            <w:tcW w:w="2551" w:type="dxa"/>
            <w:vAlign w:val="center"/>
          </w:tcPr>
          <w:p>
            <w:pPr>
              <w:pStyle w:val="11"/>
            </w:pPr>
            <w:r>
              <w:t>36.28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17.71</w:t>
            </w:r>
          </w:p>
        </w:tc>
        <w:tc>
          <w:tcPr>
            <w:tcW w:w="2551" w:type="dxa"/>
            <w:vAlign w:val="center"/>
          </w:tcPr>
          <w:p>
            <w:pPr>
              <w:pStyle w:val="11"/>
            </w:pPr>
            <w:r>
              <w:t>17.71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17.71</w:t>
            </w:r>
          </w:p>
        </w:tc>
        <w:tc>
          <w:tcPr>
            <w:tcW w:w="2551" w:type="dxa"/>
            <w:vAlign w:val="center"/>
          </w:tcPr>
          <w:p>
            <w:pPr>
              <w:pStyle w:val="11"/>
            </w:pPr>
            <w:r>
              <w:t>17.71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17.71</w:t>
            </w:r>
          </w:p>
        </w:tc>
        <w:tc>
          <w:tcPr>
            <w:tcW w:w="2551" w:type="dxa"/>
            <w:vAlign w:val="center"/>
          </w:tcPr>
          <w:p>
            <w:pPr>
              <w:pStyle w:val="11"/>
            </w:pPr>
            <w:r>
              <w:t>17.71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28.33</w:t>
            </w:r>
          </w:p>
        </w:tc>
        <w:tc>
          <w:tcPr>
            <w:tcW w:w="2551" w:type="dxa"/>
            <w:vAlign w:val="center"/>
          </w:tcPr>
          <w:p>
            <w:pPr>
              <w:pStyle w:val="11"/>
            </w:pPr>
            <w:r>
              <w:t>28.33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28.33</w:t>
            </w:r>
          </w:p>
        </w:tc>
        <w:tc>
          <w:tcPr>
            <w:tcW w:w="2551" w:type="dxa"/>
            <w:vAlign w:val="center"/>
          </w:tcPr>
          <w:p>
            <w:pPr>
              <w:pStyle w:val="11"/>
            </w:pPr>
            <w:r>
              <w:t>28.33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28.33</w:t>
            </w:r>
          </w:p>
        </w:tc>
        <w:tc>
          <w:tcPr>
            <w:tcW w:w="2551" w:type="dxa"/>
            <w:vAlign w:val="center"/>
          </w:tcPr>
          <w:p>
            <w:pPr>
              <w:pStyle w:val="11"/>
            </w:pPr>
            <w:r>
              <w:t>28.33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318001馆陶县财政局本级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805.14</w:t>
            </w:r>
          </w:p>
        </w:tc>
        <w:tc>
          <w:tcPr>
            <w:tcW w:w="2551" w:type="dxa"/>
            <w:vAlign w:val="center"/>
          </w:tcPr>
          <w:p>
            <w:pPr>
              <w:pStyle w:val="15"/>
            </w:pPr>
            <w:r>
              <w:t>791.14</w:t>
            </w:r>
          </w:p>
        </w:tc>
        <w:tc>
          <w:tcPr>
            <w:tcW w:w="2551" w:type="dxa"/>
            <w:vAlign w:val="center"/>
          </w:tcPr>
          <w:p>
            <w:pPr>
              <w:pStyle w:val="15"/>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790.75</w:t>
            </w:r>
          </w:p>
        </w:tc>
        <w:tc>
          <w:tcPr>
            <w:tcW w:w="2551" w:type="dxa"/>
            <w:vAlign w:val="center"/>
          </w:tcPr>
          <w:p>
            <w:pPr>
              <w:pStyle w:val="11"/>
            </w:pPr>
            <w:r>
              <w:t>790.75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610.50</w:t>
            </w:r>
          </w:p>
        </w:tc>
        <w:tc>
          <w:tcPr>
            <w:tcW w:w="2551" w:type="dxa"/>
            <w:vAlign w:val="center"/>
          </w:tcPr>
          <w:p>
            <w:pPr>
              <w:pStyle w:val="11"/>
            </w:pPr>
            <w:r>
              <w:t>610.50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29.53</w:t>
            </w:r>
          </w:p>
        </w:tc>
        <w:tc>
          <w:tcPr>
            <w:tcW w:w="2551" w:type="dxa"/>
            <w:vAlign w:val="center"/>
          </w:tcPr>
          <w:p>
            <w:pPr>
              <w:pStyle w:val="11"/>
            </w:pPr>
            <w:r>
              <w:t>29.53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16.00</w:t>
            </w:r>
          </w:p>
        </w:tc>
        <w:tc>
          <w:tcPr>
            <w:tcW w:w="2551" w:type="dxa"/>
            <w:vAlign w:val="center"/>
          </w:tcPr>
          <w:p>
            <w:pPr>
              <w:pStyle w:val="11"/>
            </w:pPr>
            <w:r>
              <w:t>16.00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51.35</w:t>
            </w:r>
          </w:p>
        </w:tc>
        <w:tc>
          <w:tcPr>
            <w:tcW w:w="2551" w:type="dxa"/>
            <w:vAlign w:val="center"/>
          </w:tcPr>
          <w:p>
            <w:pPr>
              <w:pStyle w:val="11"/>
            </w:pPr>
            <w:r>
              <w:t>51.35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36.28</w:t>
            </w:r>
          </w:p>
        </w:tc>
        <w:tc>
          <w:tcPr>
            <w:tcW w:w="2551" w:type="dxa"/>
            <w:vAlign w:val="center"/>
          </w:tcPr>
          <w:p>
            <w:pPr>
              <w:pStyle w:val="11"/>
            </w:pPr>
            <w:r>
              <w:t>36.28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17.71</w:t>
            </w:r>
          </w:p>
        </w:tc>
        <w:tc>
          <w:tcPr>
            <w:tcW w:w="2551" w:type="dxa"/>
            <w:vAlign w:val="center"/>
          </w:tcPr>
          <w:p>
            <w:pPr>
              <w:pStyle w:val="11"/>
            </w:pPr>
            <w:r>
              <w:t>17.71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1.05</w:t>
            </w:r>
          </w:p>
        </w:tc>
        <w:tc>
          <w:tcPr>
            <w:tcW w:w="2551" w:type="dxa"/>
            <w:vAlign w:val="center"/>
          </w:tcPr>
          <w:p>
            <w:pPr>
              <w:pStyle w:val="11"/>
            </w:pPr>
            <w:r>
              <w:t>1.05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28.33</w:t>
            </w:r>
          </w:p>
        </w:tc>
        <w:tc>
          <w:tcPr>
            <w:tcW w:w="2551" w:type="dxa"/>
            <w:vAlign w:val="center"/>
          </w:tcPr>
          <w:p>
            <w:pPr>
              <w:pStyle w:val="11"/>
            </w:pPr>
            <w:r>
              <w:t>28.33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14.00</w:t>
            </w:r>
          </w:p>
        </w:tc>
        <w:tc>
          <w:tcPr>
            <w:tcW w:w="2551" w:type="dxa"/>
            <w:vAlign w:val="center"/>
          </w:tcPr>
          <w:p>
            <w:pPr>
              <w:pStyle w:val="11"/>
            </w:pPr>
          </w:p>
        </w:tc>
        <w:tc>
          <w:tcPr>
            <w:tcW w:w="2551" w:type="dxa"/>
            <w:vAlign w:val="center"/>
          </w:tcPr>
          <w:p>
            <w:pPr>
              <w:pStyle w:val="11"/>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0.39</w:t>
            </w:r>
          </w:p>
        </w:tc>
        <w:tc>
          <w:tcPr>
            <w:tcW w:w="2551" w:type="dxa"/>
            <w:vAlign w:val="center"/>
          </w:tcPr>
          <w:p>
            <w:pPr>
              <w:pStyle w:val="11"/>
            </w:pPr>
            <w:r>
              <w:t>0.39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0.39</w:t>
            </w:r>
          </w:p>
        </w:tc>
        <w:tc>
          <w:tcPr>
            <w:tcW w:w="2551" w:type="dxa"/>
            <w:vAlign w:val="center"/>
          </w:tcPr>
          <w:p>
            <w:pPr>
              <w:pStyle w:val="11"/>
            </w:pPr>
            <w:r>
              <w:t>0.39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318001馆陶县财政局本级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318001馆陶县财政局本级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318001馆陶县财政局本级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12.50</w:t>
            </w:r>
          </w:p>
        </w:tc>
        <w:tc>
          <w:tcPr>
            <w:tcW w:w="2381" w:type="dxa"/>
            <w:vAlign w:val="center"/>
          </w:tcPr>
          <w:p>
            <w:pPr>
              <w:pStyle w:val="15"/>
            </w:pPr>
            <w:r>
              <w:t>12.50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2.50</w:t>
            </w:r>
          </w:p>
        </w:tc>
        <w:tc>
          <w:tcPr>
            <w:tcW w:w="2381" w:type="dxa"/>
            <w:vAlign w:val="center"/>
          </w:tcPr>
          <w:p>
            <w:pPr>
              <w:pStyle w:val="11"/>
            </w:pPr>
            <w:r>
              <w:t>2.50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1.50</w:t>
            </w:r>
          </w:p>
        </w:tc>
        <w:tc>
          <w:tcPr>
            <w:tcW w:w="2381" w:type="dxa"/>
            <w:vAlign w:val="center"/>
          </w:tcPr>
          <w:p>
            <w:pPr>
              <w:pStyle w:val="11"/>
            </w:pPr>
            <w:r>
              <w:t>1.50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1.50</w:t>
            </w:r>
          </w:p>
        </w:tc>
        <w:tc>
          <w:tcPr>
            <w:tcW w:w="2381" w:type="dxa"/>
            <w:vAlign w:val="center"/>
          </w:tcPr>
          <w:p>
            <w:pPr>
              <w:pStyle w:val="11"/>
            </w:pPr>
            <w:r>
              <w:t>1.50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1.00</w:t>
            </w:r>
          </w:p>
        </w:tc>
        <w:tc>
          <w:tcPr>
            <w:tcW w:w="2381" w:type="dxa"/>
            <w:vAlign w:val="center"/>
          </w:tcPr>
          <w:p>
            <w:pPr>
              <w:pStyle w:val="11"/>
            </w:pPr>
            <w:r>
              <w:t>1.00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vAlign w:val="center"/>
          </w:tcPr>
          <w:p>
            <w:pPr>
              <w:pStyle w:val="12"/>
            </w:pPr>
            <w:r>
              <w:t>四、会议费</w:t>
            </w:r>
          </w:p>
        </w:tc>
        <w:tc>
          <w:tcPr>
            <w:tcW w:w="2381" w:type="dxa"/>
            <w:vAlign w:val="center"/>
          </w:tcPr>
          <w:p>
            <w:pPr>
              <w:pStyle w:val="11"/>
            </w:pPr>
            <w:r>
              <w:t>5.00</w:t>
            </w:r>
          </w:p>
        </w:tc>
        <w:tc>
          <w:tcPr>
            <w:tcW w:w="2381" w:type="dxa"/>
            <w:vAlign w:val="center"/>
          </w:tcPr>
          <w:p>
            <w:pPr>
              <w:pStyle w:val="11"/>
            </w:pPr>
            <w:r>
              <w:t>5.00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vAlign w:val="center"/>
          </w:tcPr>
          <w:p>
            <w:pPr>
              <w:pStyle w:val="12"/>
            </w:pPr>
            <w:r>
              <w:t xml:space="preserve">    其中：省属高校业务性会议费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12</w:t>
            </w:r>
          </w:p>
        </w:tc>
        <w:tc>
          <w:tcPr>
            <w:tcW w:w="3798" w:type="dxa"/>
            <w:vAlign w:val="center"/>
          </w:tcPr>
          <w:p>
            <w:pPr>
              <w:pStyle w:val="12"/>
            </w:pPr>
            <w:r>
              <w:t xml:space="preserve">          其他会议费</w:t>
            </w:r>
          </w:p>
        </w:tc>
        <w:tc>
          <w:tcPr>
            <w:tcW w:w="2381" w:type="dxa"/>
            <w:vAlign w:val="center"/>
          </w:tcPr>
          <w:p>
            <w:pPr>
              <w:pStyle w:val="11"/>
            </w:pPr>
            <w:r>
              <w:t>5.00</w:t>
            </w:r>
          </w:p>
        </w:tc>
        <w:tc>
          <w:tcPr>
            <w:tcW w:w="2381" w:type="dxa"/>
            <w:vAlign w:val="center"/>
          </w:tcPr>
          <w:p>
            <w:pPr>
              <w:pStyle w:val="11"/>
            </w:pPr>
            <w:r>
              <w:t>5.00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13</w:t>
            </w:r>
          </w:p>
        </w:tc>
        <w:tc>
          <w:tcPr>
            <w:tcW w:w="3798" w:type="dxa"/>
            <w:vAlign w:val="center"/>
          </w:tcPr>
          <w:p>
            <w:pPr>
              <w:pStyle w:val="12"/>
            </w:pPr>
            <w:r>
              <w:t>五、培训费</w:t>
            </w:r>
          </w:p>
        </w:tc>
        <w:tc>
          <w:tcPr>
            <w:tcW w:w="2381" w:type="dxa"/>
            <w:vAlign w:val="center"/>
          </w:tcPr>
          <w:p>
            <w:pPr>
              <w:pStyle w:val="11"/>
            </w:pPr>
            <w:r>
              <w:t>5.00</w:t>
            </w:r>
          </w:p>
        </w:tc>
        <w:tc>
          <w:tcPr>
            <w:tcW w:w="2381" w:type="dxa"/>
            <w:vAlign w:val="center"/>
          </w:tcPr>
          <w:p>
            <w:pPr>
              <w:pStyle w:val="11"/>
            </w:pPr>
            <w:r>
              <w:t>5.00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馆陶县财政局本级2026年单位预算信息公开情况说明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按照《中华人民共和国预算法》、《地方预决算公开操作规程》和《关于进一步推进预算公开工作的实施意见》规定，现将馆陶县财政局本级2026年单位预算公开如下：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财政收入管理：深化税收制度改革，研究完善和规范地方性税收法规，规范税收优惠政策，监督检查税政政策执行情况。制定非税收入管理政策，加强非税收入征管。加强彩票公益金管理，确保及时，足额入库。制定彩票管理政策和有关办法，管理彩票市场及彩票资金。规范税收优惠政策，监督检查税政政策执行情况。确保彩票公益金及时，足额入库。</w:t>
      </w:r>
    </w:p>
    <w:p>
      <w:pPr>
        <w:pStyle w:val="17"/>
      </w:pPr>
      <w:r>
        <w:t>（二）财政资源配置管理：通过对上级级财政收支以及相应的财政税收政策，调整和引导现有社会经济资源的流向和流量，以达到资源的优化配置和充分利用，实现最大的经济效益和社会效益的功能。达到资源的优化配置和充分利用，实现最大的经济效益和社会效益的功能。</w:t>
      </w:r>
    </w:p>
    <w:p>
      <w:pPr>
        <w:pStyle w:val="17"/>
      </w:pPr>
      <w:r>
        <w:t>（三）财政体制管理：执行国家预算管理体制和管理体制，制定地方预算管理体制、管理制度。及时发现实现财政运行中存在的问题，提出针对性的意见建议。</w:t>
      </w:r>
    </w:p>
    <w:p>
      <w:pPr>
        <w:pStyle w:val="17"/>
      </w:pPr>
      <w:r>
        <w:t>（四）预算管理：研究制定完善的预算政策体系，提高预算管理的科学化水平。统筹县级财力，强化绩效管理，科学编制政府绩效预算。规范预算执行，合理组织财政各项支出，促进社会事业发展。推进预算公开，实施全面规范、公开透明的预算制度。规范预算执行，合理组织财政各项支出，促进社会事业发展。推进预算公开，实施全面规范、公开透明的预算制度。</w:t>
      </w:r>
    </w:p>
    <w:p>
      <w:pPr>
        <w:pStyle w:val="17"/>
      </w:pPr>
      <w:r>
        <w:t>（五）国库管理：县级预算单位用款计划及额度审核下达；财政专户资金审核拨付；全县预算执行分析；县本级财政总预算会计，全县和县本级决算；国债、地方债和国库现金管理；管理县本级预算单位银行账户。县本级财政总预算会计，全县和县本级决算；国债、地方债和国库现金管理；管理县本级预算单位银行账户。</w:t>
      </w:r>
    </w:p>
    <w:p>
      <w:pPr>
        <w:pStyle w:val="17"/>
      </w:pPr>
      <w:r>
        <w:t>（六）财政监督管理：负责监督检查财税法规、政策的执行情况，以及财政性资金使用情况，反映财政收支管理中的重大问题。监督和规范会计行为，监督注册会计师和会计师事务所的业务。监督检查财税法规、政策的执行情况，监督和规范会计行为，监督注册会计师和会计师事务所的业务。</w:t>
      </w:r>
    </w:p>
    <w:p>
      <w:pPr>
        <w:pStyle w:val="17"/>
      </w:pPr>
      <w:r>
        <w:t>（七）财务会计管理：管理全县会计工作，监督和规范会计行为，组织实施国家统一的会计制度、财务制度；管理会计从业资格；按规定承担会计专业技术资格管理；指导和监督注册会计师、注册资产评估师以及会计师事务所、资产评估师事务所的业务，办理会计师事务所、资产评估师事务所有关事项的审批及备案工作并对行业进行管理。管理全县会计工作，监督和规范会计行为，组织实施国家统一的会计制度、财务制度；按规定承担会计专业技术资格管理。</w:t>
      </w:r>
    </w:p>
    <w:p>
      <w:pPr>
        <w:pStyle w:val="17"/>
      </w:pPr>
      <w:r>
        <w:t>（八）国有资产管理：拟定机关事业单位国有资产管理制度和办法，对行政事业单位资产配置、使用、处置事项进行管理，承担县级国有文化企业资产管理的有关工作；负责行政事业单位公务车辆编制管理；负责县属金融企业国有资产保值增值、国有资产转让管理、产权登记、评估监督、年金审核、负责人职务消费管理等工作。对行政事业单位资产配置、使用、处置事项进行管理，负责县属金融企业国有资产保值增值、国有资产转让管理、产权登记、评估监督、年金审核、负责人职务消费管理等工作。</w:t>
      </w:r>
    </w:p>
    <w:p>
      <w:pPr>
        <w:pStyle w:val="17"/>
      </w:pPr>
      <w:r>
        <w:t>（九）政府专项工作服务与管理：政府采购、农村综合改革、政府债务、综合治税、地下水超采、政府购买服务、规范津补贴等政府专项工作的服务与管理。规范政府专项工作的服务与管理。</w:t>
      </w:r>
    </w:p>
    <w:p>
      <w:pPr>
        <w:pStyle w:val="17"/>
      </w:pPr>
      <w:r>
        <w:t>（十）财政政务管理：负责财政系统综合业务管理和机关综合事务管理。负责财政系统综合业务管理和机关综合事务管理。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馆陶县财政局本级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1422.47万元，其中：一般公共预算收入1422.47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馆陶县财政局本级年度单位预算中支出预算的总体情况。2026年支出预算1422.47万元，其中基本支出805.14万元，包括人员经费791.14万元和日常公用经费14.00万元；项目支出617.33万元，主要为政府投资项目财政评审资金400万元、财政管理业务经费200万元、财政专项工作经费17.33万元。；预计下年使用的单位资金结余0.00万元。委托业务费共计安排420.00万元，主要用于因技术原因确需对外委托的辅助性工作和确有必要对外委托开展咨询、评审、规划等工作。</w:t>
      </w:r>
    </w:p>
    <w:p>
      <w:pPr>
        <w:pStyle w:val="18"/>
      </w:pPr>
      <w:r>
        <w:t>3、比上年增减情况</w:t>
      </w:r>
    </w:p>
    <w:p>
      <w:pPr>
        <w:pStyle w:val="18"/>
      </w:pPr>
      <w:r>
        <w:t>2026年预算收支安排1422.47万元，较2025年预算减少59.81万元，其中：基本支出增加34.92万元，主要为人员经费增加；项目支出减少94.73万元，主要为财政管理业务经费减少。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2026年，我单位机关运行经费共计安排14.00万元，主要用于日常维修、办公用房水电费、办公用房取暖费、办公用房物业管理费等日常运行支出。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2.50万元，其中因公出国（境）费0.00万元；公务用车购置及运维费1.50万元（其中：公务用车购置费为0.00万元，公务用车运维费1.50万元)；公务接待费1.00万元。与2025年相比减少0.50万元，增减变化的主要原因是公务接待费减少。</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1、财政管理业务经费绩效目标表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13043326P00004310005M</w:t>
            </w:r>
          </w:p>
        </w:tc>
        <w:tc>
          <w:tcPr>
            <w:tcW w:w="2835" w:type="dxa"/>
            <w:vAlign w:val="center"/>
          </w:tcPr>
          <w:p>
            <w:pPr>
              <w:pStyle w:val="10"/>
            </w:pPr>
            <w:r>
              <w:t>项目名称</w:t>
            </w:r>
          </w:p>
        </w:tc>
        <w:tc>
          <w:tcPr>
            <w:tcW w:w="6095" w:type="dxa"/>
            <w:gridSpan w:val="3"/>
            <w:vAlign w:val="center"/>
          </w:tcPr>
          <w:p>
            <w:pPr>
              <w:pStyle w:val="12"/>
            </w:pPr>
            <w:r>
              <w:t>财政管理业务经费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加强全县会计工作管理,强化绩效目标管理。2.用于绩效管理业务培训，强化绩效目标管理，增强全县各预算部门工作人员绩效意识。3.加强国库电子化支付的管理和规范，保障网络平台的正常运行，维护县级财政资金的有效使用和资金拨付。4.开展财政收入征收工作，深化财税制度改革，组织税收收入，规范税收政策，监督检查财税政策的执行情况，完成财税征收任务，促进县域经济发展。5.用于财政信息化建设工作，实现财政信息网络一体化平台的正常运行和普及，提高各预算部门工作效率。6.用于规范档案管理，达到省级规定的档案管理要求，确保单位正常运行，节约资源、提高效率，保证档案的质量与安全。7.用于财政监督工作开展，保障各项财政政策按规定执行，检查督导各单位各项财政政策执行情况。2025年计划搞好预算部门的会计信息质量检查和绩效评价评估工作。8.进一步加强国有资产管理，规范行政、事业单位国有资产产权登记、资产清查等工作，查清底数，夯实资产，确保国有资产保值增值不流失。执行国有资产向人大报告制度，完善国有资产管理。</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1.加强全县会计工作管理,强化绩效目标管理</w:t>
            </w:r>
          </w:p>
          <w:p>
            <w:pPr>
              <w:pStyle w:val="12"/>
            </w:pPr>
            <w:r>
              <w:t>2.用于绩效管理业务培训，强化绩效目标管理，增强全县各预算部门工作人员绩效意识</w:t>
            </w:r>
          </w:p>
          <w:p>
            <w:pPr>
              <w:pStyle w:val="12"/>
            </w:pPr>
            <w:r>
              <w:t>3.加强国库电子化支付的管理和规范，保障网络平台的正常运行，维护县级财政资金的有效使用和资金拨付。</w:t>
            </w:r>
          </w:p>
          <w:p>
            <w:pPr>
              <w:pStyle w:val="12"/>
            </w:pPr>
            <w:r>
              <w:t>4.开展财政收入征收工作，深化财税制度改革，组织税收收入，规范税收政策，监督检查财税政策的执行情况，完成财税征收任务，促进县域经济发展。</w:t>
            </w:r>
          </w:p>
          <w:p>
            <w:pPr>
              <w:pStyle w:val="12"/>
            </w:pPr>
            <w:r>
              <w:t>5.用于财政信息化建设工作，实现财政信息网络一体化平台的正常运行和普及，提高各预算部门工作效率</w:t>
            </w:r>
            <w:r>
              <w:tab/>
            </w:r>
            <w:r>
              <w:tab/>
            </w:r>
            <w:r>
              <w:tab/>
            </w:r>
            <w:r>
              <w:tab/>
            </w:r>
          </w:p>
          <w:p>
            <w:pPr>
              <w:pStyle w:val="12"/>
            </w:pPr>
          </w:p>
          <w:p>
            <w:pPr>
              <w:pStyle w:val="12"/>
            </w:pPr>
            <w:r>
              <w:t>6.用于规范档案管理，达到省级规定的档案管理要求，确保单位正常运行，节约资源、提高效率，保证档案的质量与安全</w:t>
            </w:r>
            <w:r>
              <w:tab/>
            </w:r>
            <w:r>
              <w:tab/>
            </w:r>
            <w:r>
              <w:tab/>
            </w:r>
            <w:r>
              <w:tab/>
            </w:r>
            <w:r>
              <w:tab/>
            </w:r>
          </w:p>
          <w:p>
            <w:pPr>
              <w:pStyle w:val="12"/>
            </w:pPr>
            <w:r>
              <w:t>7.用于财政监督工作开展，保障各项财政政策按规定执行，检查督导各单位各项财政政策执行情况。2025年计划搞好预算部门的会计信息质量检查和绩效评价评估工作</w:t>
            </w:r>
            <w:r>
              <w:tab/>
            </w:r>
            <w:r>
              <w:tab/>
            </w:r>
            <w:r>
              <w:tab/>
            </w:r>
            <w:r>
              <w:tab/>
            </w:r>
            <w:r>
              <w:tab/>
            </w:r>
            <w:r>
              <w:tab/>
            </w:r>
          </w:p>
          <w:p>
            <w:pPr>
              <w:pStyle w:val="12"/>
            </w:pPr>
            <w:r>
              <w:t>8.进一步加强国有资产管理，规范行政、事业单位国有资产产权登记、资产清查等工作，查清底数，夯实资产，确保国有资产保值增值不流失。执行国有资产向人大报告制度，完善国有资产管理。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计划培训人次</w:t>
            </w:r>
          </w:p>
        </w:tc>
        <w:tc>
          <w:tcPr>
            <w:tcW w:w="5386" w:type="dxa"/>
            <w:vAlign w:val="center"/>
          </w:tcPr>
          <w:p>
            <w:pPr>
              <w:pStyle w:val="12"/>
            </w:pPr>
            <w:r>
              <w:t>计划培训会计人次</w:t>
            </w:r>
          </w:p>
        </w:tc>
        <w:tc>
          <w:tcPr>
            <w:tcW w:w="2268" w:type="dxa"/>
            <w:vAlign w:val="center"/>
          </w:tcPr>
          <w:p>
            <w:pPr>
              <w:pStyle w:val="12"/>
            </w:pPr>
            <w:r>
              <w:t>≥900人次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部门数量</w:t>
            </w:r>
          </w:p>
        </w:tc>
        <w:tc>
          <w:tcPr>
            <w:tcW w:w="5386" w:type="dxa"/>
            <w:vAlign w:val="center"/>
          </w:tcPr>
          <w:p>
            <w:pPr>
              <w:pStyle w:val="12"/>
            </w:pPr>
            <w:r>
              <w:t>开展预算绩效管理工作的部门数量</w:t>
            </w:r>
          </w:p>
        </w:tc>
        <w:tc>
          <w:tcPr>
            <w:tcW w:w="2268" w:type="dxa"/>
            <w:vAlign w:val="center"/>
          </w:tcPr>
          <w:p>
            <w:pPr>
              <w:pStyle w:val="12"/>
            </w:pPr>
            <w:r>
              <w:t>64个</w:t>
            </w:r>
          </w:p>
        </w:tc>
        <w:tc>
          <w:tcPr>
            <w:tcW w:w="1276" w:type="dxa"/>
            <w:vAlign w:val="center"/>
          </w:tcPr>
          <w:p>
            <w:pPr>
              <w:pStyle w:val="12"/>
            </w:pPr>
            <w:r>
              <w:t>预算部门名单</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部门数量</w:t>
            </w:r>
          </w:p>
        </w:tc>
        <w:tc>
          <w:tcPr>
            <w:tcW w:w="5386" w:type="dxa"/>
            <w:vAlign w:val="center"/>
          </w:tcPr>
          <w:p>
            <w:pPr>
              <w:pStyle w:val="12"/>
            </w:pPr>
            <w:r>
              <w:t>开展国库电子支付的部门数量</w:t>
            </w:r>
          </w:p>
        </w:tc>
        <w:tc>
          <w:tcPr>
            <w:tcW w:w="2268" w:type="dxa"/>
            <w:vAlign w:val="center"/>
          </w:tcPr>
          <w:p>
            <w:pPr>
              <w:pStyle w:val="12"/>
            </w:pPr>
            <w:r>
              <w:t>64个</w:t>
            </w:r>
          </w:p>
        </w:tc>
        <w:tc>
          <w:tcPr>
            <w:tcW w:w="1276" w:type="dxa"/>
            <w:vAlign w:val="center"/>
          </w:tcPr>
          <w:p>
            <w:pPr>
              <w:pStyle w:val="12"/>
            </w:pPr>
            <w:r>
              <w:t>预算部门名单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安装数量</w:t>
            </w:r>
          </w:p>
          <w:p>
            <w:pPr>
              <w:pStyle w:val="12"/>
            </w:pPr>
          </w:p>
        </w:tc>
        <w:tc>
          <w:tcPr>
            <w:tcW w:w="5386" w:type="dxa"/>
            <w:vAlign w:val="center"/>
          </w:tcPr>
          <w:p>
            <w:pPr>
              <w:pStyle w:val="12"/>
            </w:pPr>
            <w:r>
              <w:t>一体化平台安装数量</w:t>
            </w:r>
          </w:p>
        </w:tc>
        <w:tc>
          <w:tcPr>
            <w:tcW w:w="2268" w:type="dxa"/>
            <w:vAlign w:val="center"/>
          </w:tcPr>
          <w:p>
            <w:pPr>
              <w:pStyle w:val="12"/>
            </w:pPr>
            <w:r>
              <w:t>100台</w:t>
            </w:r>
          </w:p>
        </w:tc>
        <w:tc>
          <w:tcPr>
            <w:tcW w:w="1276" w:type="dxa"/>
            <w:vAlign w:val="center"/>
          </w:tcPr>
          <w:p>
            <w:pPr>
              <w:pStyle w:val="12"/>
            </w:pPr>
            <w:r>
              <w:t>安装合同</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会计信息质量检查单位</w:t>
            </w:r>
          </w:p>
        </w:tc>
        <w:tc>
          <w:tcPr>
            <w:tcW w:w="5386" w:type="dxa"/>
            <w:vAlign w:val="center"/>
          </w:tcPr>
          <w:p>
            <w:pPr>
              <w:pStyle w:val="12"/>
            </w:pPr>
            <w:r>
              <w:t>全年完成会计信息质量检查单位数量</w:t>
            </w:r>
          </w:p>
        </w:tc>
        <w:tc>
          <w:tcPr>
            <w:tcW w:w="2268" w:type="dxa"/>
            <w:vAlign w:val="center"/>
          </w:tcPr>
          <w:p>
            <w:pPr>
              <w:pStyle w:val="12"/>
            </w:pPr>
            <w:r>
              <w:t>4个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档案归档率</w:t>
            </w:r>
          </w:p>
        </w:tc>
        <w:tc>
          <w:tcPr>
            <w:tcW w:w="5386" w:type="dxa"/>
            <w:vAlign w:val="center"/>
          </w:tcPr>
          <w:p>
            <w:pPr>
              <w:pStyle w:val="12"/>
            </w:pPr>
            <w:r>
              <w:t>全年应归档的档案数量</w:t>
            </w:r>
          </w:p>
        </w:tc>
        <w:tc>
          <w:tcPr>
            <w:tcW w:w="2268" w:type="dxa"/>
            <w:vAlign w:val="center"/>
          </w:tcPr>
          <w:p>
            <w:pPr>
              <w:pStyle w:val="12"/>
            </w:pPr>
            <w:r>
              <w:t>≥1359册</w:t>
            </w:r>
          </w:p>
        </w:tc>
        <w:tc>
          <w:tcPr>
            <w:tcW w:w="1276" w:type="dxa"/>
            <w:vAlign w:val="center"/>
          </w:tcPr>
          <w:p>
            <w:pPr>
              <w:pStyle w:val="12"/>
            </w:pPr>
            <w:r>
              <w:t>《档案法》、《河北省档案工作条例》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培训达标率</w:t>
            </w:r>
          </w:p>
        </w:tc>
        <w:tc>
          <w:tcPr>
            <w:tcW w:w="5386" w:type="dxa"/>
            <w:vAlign w:val="center"/>
          </w:tcPr>
          <w:p>
            <w:pPr>
              <w:pStyle w:val="12"/>
            </w:pPr>
            <w:r>
              <w:t>已达标人数/应培训总人数*100％</w:t>
            </w:r>
          </w:p>
        </w:tc>
        <w:tc>
          <w:tcPr>
            <w:tcW w:w="2268" w:type="dxa"/>
            <w:vAlign w:val="center"/>
          </w:tcPr>
          <w:p>
            <w:pPr>
              <w:pStyle w:val="12"/>
            </w:pPr>
            <w:r>
              <w:t>≥95%</w:t>
            </w:r>
          </w:p>
          <w:p>
            <w:pPr>
              <w:pStyle w:val="12"/>
            </w:pPr>
          </w:p>
        </w:tc>
        <w:tc>
          <w:tcPr>
            <w:tcW w:w="1276" w:type="dxa"/>
            <w:vAlign w:val="center"/>
          </w:tcPr>
          <w:p>
            <w:pPr>
              <w:pStyle w:val="12"/>
            </w:pPr>
            <w:r>
              <w:t>培训人员名单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绩效工作覆盖率</w:t>
            </w:r>
          </w:p>
          <w:p>
            <w:pPr>
              <w:pStyle w:val="12"/>
            </w:pPr>
          </w:p>
        </w:tc>
        <w:tc>
          <w:tcPr>
            <w:tcW w:w="5386" w:type="dxa"/>
            <w:vAlign w:val="center"/>
          </w:tcPr>
          <w:p>
            <w:pPr>
              <w:pStyle w:val="12"/>
            </w:pPr>
            <w:r>
              <w:t>已开展绩效管理工作部门数量/应开展绩效管理工作部门的总数*100%</w:t>
            </w:r>
          </w:p>
        </w:tc>
        <w:tc>
          <w:tcPr>
            <w:tcW w:w="2268" w:type="dxa"/>
            <w:vAlign w:val="center"/>
          </w:tcPr>
          <w:p>
            <w:pPr>
              <w:pStyle w:val="12"/>
            </w:pPr>
            <w:r>
              <w:t>100%</w:t>
            </w:r>
          </w:p>
          <w:p>
            <w:pPr>
              <w:pStyle w:val="12"/>
            </w:pP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电子支付覆盖率</w:t>
            </w:r>
          </w:p>
        </w:tc>
        <w:tc>
          <w:tcPr>
            <w:tcW w:w="5386" w:type="dxa"/>
            <w:vAlign w:val="center"/>
          </w:tcPr>
          <w:p>
            <w:pPr>
              <w:pStyle w:val="12"/>
            </w:pPr>
            <w:r>
              <w:t>已开展国库电子支付部门数量/应开展国库电子支付部门的总数*100%</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安装达标率</w:t>
            </w:r>
          </w:p>
          <w:p>
            <w:pPr>
              <w:pStyle w:val="12"/>
            </w:pPr>
          </w:p>
        </w:tc>
        <w:tc>
          <w:tcPr>
            <w:tcW w:w="5386" w:type="dxa"/>
            <w:vAlign w:val="center"/>
          </w:tcPr>
          <w:p>
            <w:pPr>
              <w:pStyle w:val="12"/>
            </w:pPr>
            <w:r>
              <w:t>一体化平台安装达标数占安装总数的比例</w:t>
            </w:r>
          </w:p>
          <w:p>
            <w:pPr>
              <w:pStyle w:val="12"/>
            </w:pPr>
          </w:p>
        </w:tc>
        <w:tc>
          <w:tcPr>
            <w:tcW w:w="2268" w:type="dxa"/>
            <w:vAlign w:val="center"/>
          </w:tcPr>
          <w:p>
            <w:pPr>
              <w:pStyle w:val="12"/>
            </w:pPr>
            <w:r>
              <w:t>100%</w:t>
            </w:r>
          </w:p>
          <w:p>
            <w:pPr>
              <w:pStyle w:val="12"/>
            </w:pPr>
          </w:p>
        </w:tc>
        <w:tc>
          <w:tcPr>
            <w:tcW w:w="1276" w:type="dxa"/>
            <w:vAlign w:val="center"/>
          </w:tcPr>
          <w:p>
            <w:pPr>
              <w:pStyle w:val="12"/>
            </w:pPr>
            <w:r>
              <w:t>验收报告</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整改完成率</w:t>
            </w:r>
          </w:p>
        </w:tc>
        <w:tc>
          <w:tcPr>
            <w:tcW w:w="5386" w:type="dxa"/>
            <w:vAlign w:val="center"/>
          </w:tcPr>
          <w:p>
            <w:pPr>
              <w:pStyle w:val="12"/>
            </w:pPr>
            <w:r>
              <w:t>已整改单位数量/开展监督检查工作单位数量*100%</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档案归档率</w:t>
            </w:r>
          </w:p>
          <w:p>
            <w:pPr>
              <w:pStyle w:val="12"/>
            </w:pPr>
          </w:p>
        </w:tc>
        <w:tc>
          <w:tcPr>
            <w:tcW w:w="5386" w:type="dxa"/>
            <w:vAlign w:val="center"/>
          </w:tcPr>
          <w:p>
            <w:pPr>
              <w:pStyle w:val="12"/>
            </w:pPr>
            <w:r>
              <w:t>应归档档案/全部归档资料*100</w:t>
            </w:r>
          </w:p>
          <w:p>
            <w:pPr>
              <w:pStyle w:val="12"/>
            </w:pPr>
          </w:p>
        </w:tc>
        <w:tc>
          <w:tcPr>
            <w:tcW w:w="2268" w:type="dxa"/>
            <w:vAlign w:val="center"/>
          </w:tcPr>
          <w:p>
            <w:pPr>
              <w:pStyle w:val="12"/>
            </w:pPr>
            <w:r>
              <w:t>100%</w:t>
            </w:r>
          </w:p>
        </w:tc>
        <w:tc>
          <w:tcPr>
            <w:tcW w:w="1276" w:type="dxa"/>
            <w:vAlign w:val="center"/>
          </w:tcPr>
          <w:p>
            <w:pPr>
              <w:pStyle w:val="12"/>
            </w:pPr>
            <w:r>
              <w:t>《档案法》、《河北省档案工作条例》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培训按计划设定时间及时完成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按照工作计划设定时间及时完成预算绩效管理工作</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按时完成国库电子支付工作</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p>
            <w:pPr>
              <w:pStyle w:val="12"/>
            </w:pPr>
          </w:p>
        </w:tc>
        <w:tc>
          <w:tcPr>
            <w:tcW w:w="5386" w:type="dxa"/>
            <w:vAlign w:val="center"/>
          </w:tcPr>
          <w:p>
            <w:pPr>
              <w:pStyle w:val="12"/>
            </w:pPr>
            <w:r>
              <w:t>按照合同规定时间按时完成一体化平台安装</w:t>
            </w:r>
          </w:p>
          <w:p>
            <w:pPr>
              <w:pStyle w:val="12"/>
            </w:pPr>
          </w:p>
        </w:tc>
        <w:tc>
          <w:tcPr>
            <w:tcW w:w="2268" w:type="dxa"/>
            <w:vAlign w:val="center"/>
          </w:tcPr>
          <w:p>
            <w:pPr>
              <w:pStyle w:val="12"/>
            </w:pPr>
            <w:r>
              <w:t>≤1年</w:t>
            </w:r>
          </w:p>
        </w:tc>
        <w:tc>
          <w:tcPr>
            <w:tcW w:w="1276" w:type="dxa"/>
            <w:vAlign w:val="center"/>
          </w:tcPr>
          <w:p>
            <w:pPr>
              <w:pStyle w:val="12"/>
            </w:pPr>
            <w:r>
              <w:t>安装合同</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按照工作计划设定时间及时完成监督检查各项工作</w:t>
            </w:r>
          </w:p>
        </w:tc>
        <w:tc>
          <w:tcPr>
            <w:tcW w:w="2268" w:type="dxa"/>
            <w:vAlign w:val="center"/>
          </w:tcPr>
          <w:p>
            <w:pPr>
              <w:pStyle w:val="12"/>
            </w:pPr>
            <w:r>
              <w:t>≤1年</w:t>
            </w:r>
          </w:p>
        </w:tc>
        <w:tc>
          <w:tcPr>
            <w:tcW w:w="1276" w:type="dxa"/>
            <w:vAlign w:val="center"/>
          </w:tcPr>
          <w:p>
            <w:pPr>
              <w:pStyle w:val="12"/>
            </w:pPr>
            <w:r>
              <w:t>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及时归档</w:t>
            </w:r>
          </w:p>
        </w:tc>
        <w:tc>
          <w:tcPr>
            <w:tcW w:w="5386" w:type="dxa"/>
            <w:vAlign w:val="center"/>
          </w:tcPr>
          <w:p>
            <w:pPr>
              <w:pStyle w:val="12"/>
            </w:pPr>
            <w:r>
              <w:t>按计划按规定及时归档</w:t>
            </w:r>
          </w:p>
        </w:tc>
        <w:tc>
          <w:tcPr>
            <w:tcW w:w="2268" w:type="dxa"/>
            <w:vAlign w:val="center"/>
          </w:tcPr>
          <w:p>
            <w:pPr>
              <w:pStyle w:val="12"/>
            </w:pPr>
            <w:r>
              <w:t>≤1年</w:t>
            </w:r>
          </w:p>
        </w:tc>
        <w:tc>
          <w:tcPr>
            <w:tcW w:w="1276" w:type="dxa"/>
            <w:vAlign w:val="center"/>
          </w:tcPr>
          <w:p>
            <w:pPr>
              <w:pStyle w:val="12"/>
            </w:pPr>
            <w:r>
              <w:t>《档案法》、《河北省档案工作条例》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征收次数</w:t>
            </w:r>
          </w:p>
        </w:tc>
        <w:tc>
          <w:tcPr>
            <w:tcW w:w="5386" w:type="dxa"/>
            <w:vAlign w:val="center"/>
          </w:tcPr>
          <w:p>
            <w:pPr>
              <w:pStyle w:val="12"/>
            </w:pPr>
            <w:r>
              <w:t>全县组织税收按季度征收的次数</w:t>
            </w:r>
          </w:p>
        </w:tc>
        <w:tc>
          <w:tcPr>
            <w:tcW w:w="2268" w:type="dxa"/>
            <w:vAlign w:val="center"/>
          </w:tcPr>
          <w:p>
            <w:pPr>
              <w:pStyle w:val="12"/>
            </w:pPr>
            <w:r>
              <w:t>4次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收入征收达标率</w:t>
            </w:r>
          </w:p>
        </w:tc>
        <w:tc>
          <w:tcPr>
            <w:tcW w:w="5386" w:type="dxa"/>
            <w:vAlign w:val="center"/>
          </w:tcPr>
          <w:p>
            <w:pPr>
              <w:pStyle w:val="12"/>
            </w:pPr>
            <w:r>
              <w:t>实际收入完成数占计划征收数的比例</w:t>
            </w:r>
          </w:p>
        </w:tc>
        <w:tc>
          <w:tcPr>
            <w:tcW w:w="2268" w:type="dxa"/>
            <w:vAlign w:val="center"/>
          </w:tcPr>
          <w:p>
            <w:pPr>
              <w:pStyle w:val="12"/>
            </w:pPr>
            <w:r>
              <w:t>100%</w:t>
            </w:r>
          </w:p>
        </w:tc>
        <w:tc>
          <w:tcPr>
            <w:tcW w:w="1276" w:type="dxa"/>
            <w:vAlign w:val="center"/>
          </w:tcPr>
          <w:p>
            <w:pPr>
              <w:pStyle w:val="12"/>
            </w:pPr>
            <w:r>
              <w:t>财政系统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及时入库</w:t>
            </w:r>
          </w:p>
        </w:tc>
        <w:tc>
          <w:tcPr>
            <w:tcW w:w="5386" w:type="dxa"/>
            <w:vAlign w:val="center"/>
          </w:tcPr>
          <w:p>
            <w:pPr>
              <w:pStyle w:val="12"/>
            </w:pPr>
            <w:r>
              <w:t>财政收入按季度及时均衡入库</w:t>
            </w:r>
          </w:p>
        </w:tc>
        <w:tc>
          <w:tcPr>
            <w:tcW w:w="2268" w:type="dxa"/>
            <w:vAlign w:val="center"/>
          </w:tcPr>
          <w:p>
            <w:pPr>
              <w:pStyle w:val="12"/>
            </w:pPr>
            <w:r>
              <w:t>100%</w:t>
            </w:r>
          </w:p>
        </w:tc>
        <w:tc>
          <w:tcPr>
            <w:tcW w:w="1276" w:type="dxa"/>
            <w:vAlign w:val="center"/>
          </w:tcPr>
          <w:p>
            <w:pPr>
              <w:pStyle w:val="12"/>
            </w:pPr>
            <w:r>
              <w:t>财政系统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资产管理数量</w:t>
            </w:r>
          </w:p>
        </w:tc>
        <w:tc>
          <w:tcPr>
            <w:tcW w:w="5386" w:type="dxa"/>
            <w:vAlign w:val="center"/>
          </w:tcPr>
          <w:p>
            <w:pPr>
              <w:pStyle w:val="12"/>
            </w:pPr>
            <w:r>
              <w:t>加强全县147个行政事业单位国有资产管理</w:t>
            </w:r>
          </w:p>
        </w:tc>
        <w:tc>
          <w:tcPr>
            <w:tcW w:w="2268" w:type="dxa"/>
            <w:vAlign w:val="center"/>
          </w:tcPr>
          <w:p>
            <w:pPr>
              <w:pStyle w:val="12"/>
            </w:pPr>
            <w:r>
              <w:t>147个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管理执行到位率</w:t>
            </w:r>
          </w:p>
        </w:tc>
        <w:tc>
          <w:tcPr>
            <w:tcW w:w="5386" w:type="dxa"/>
            <w:vAlign w:val="center"/>
          </w:tcPr>
          <w:p>
            <w:pPr>
              <w:pStyle w:val="12"/>
            </w:pPr>
            <w:r>
              <w:t>实施国有资产系统化管理单位数/全部预算单位数*100%</w:t>
            </w:r>
          </w:p>
        </w:tc>
        <w:tc>
          <w:tcPr>
            <w:tcW w:w="2268" w:type="dxa"/>
            <w:vAlign w:val="center"/>
          </w:tcPr>
          <w:p>
            <w:pPr>
              <w:pStyle w:val="12"/>
            </w:pPr>
            <w:r>
              <w:t>100%</w:t>
            </w:r>
          </w:p>
        </w:tc>
        <w:tc>
          <w:tcPr>
            <w:tcW w:w="1276" w:type="dxa"/>
            <w:vAlign w:val="center"/>
          </w:tcPr>
          <w:p>
            <w:pPr>
              <w:pStyle w:val="12"/>
            </w:pPr>
            <w:r>
              <w:t>国有资产管理系统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按时上报</w:t>
            </w:r>
          </w:p>
          <w:p>
            <w:pPr>
              <w:pStyle w:val="12"/>
            </w:pPr>
          </w:p>
        </w:tc>
        <w:tc>
          <w:tcPr>
            <w:tcW w:w="5386" w:type="dxa"/>
            <w:vAlign w:val="center"/>
          </w:tcPr>
          <w:p>
            <w:pPr>
              <w:pStyle w:val="12"/>
            </w:pPr>
            <w:r>
              <w:t>按省厅计划安排按时上报</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财政业务管理经费</w:t>
            </w:r>
          </w:p>
        </w:tc>
        <w:tc>
          <w:tcPr>
            <w:tcW w:w="5386" w:type="dxa"/>
            <w:vAlign w:val="center"/>
          </w:tcPr>
          <w:p>
            <w:pPr>
              <w:pStyle w:val="12"/>
            </w:pPr>
            <w:r>
              <w:t>财政业务管理所需经费</w:t>
            </w:r>
          </w:p>
        </w:tc>
        <w:tc>
          <w:tcPr>
            <w:tcW w:w="2268" w:type="dxa"/>
            <w:vAlign w:val="center"/>
          </w:tcPr>
          <w:p>
            <w:pPr>
              <w:pStyle w:val="12"/>
            </w:pPr>
            <w:r>
              <w:t>200万</w:t>
            </w:r>
          </w:p>
        </w:tc>
        <w:tc>
          <w:tcPr>
            <w:tcW w:w="1276" w:type="dxa"/>
            <w:vAlign w:val="center"/>
          </w:tcPr>
          <w:p>
            <w:pPr>
              <w:pStyle w:val="12"/>
            </w:pPr>
            <w:r>
              <w:t>项目测算表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提高财务管理水平</w:t>
            </w:r>
          </w:p>
        </w:tc>
        <w:tc>
          <w:tcPr>
            <w:tcW w:w="5386" w:type="dxa"/>
            <w:vAlign w:val="center"/>
          </w:tcPr>
          <w:p>
            <w:pPr>
              <w:pStyle w:val="12"/>
            </w:pPr>
            <w:r>
              <w:t>通过各项会议培训工作，提升会计人员工作水平和综合素质</w:t>
            </w:r>
          </w:p>
        </w:tc>
        <w:tc>
          <w:tcPr>
            <w:tcW w:w="2268" w:type="dxa"/>
            <w:vAlign w:val="center"/>
          </w:tcPr>
          <w:p>
            <w:pPr>
              <w:pStyle w:val="12"/>
            </w:pPr>
            <w:r>
              <w:t>≥95%</w:t>
            </w:r>
          </w:p>
          <w:p>
            <w:pPr>
              <w:pStyle w:val="12"/>
            </w:pP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促进县域经济发展</w:t>
            </w:r>
          </w:p>
        </w:tc>
        <w:tc>
          <w:tcPr>
            <w:tcW w:w="5386" w:type="dxa"/>
            <w:vAlign w:val="center"/>
          </w:tcPr>
          <w:p>
            <w:pPr>
              <w:pStyle w:val="12"/>
            </w:pPr>
            <w:r>
              <w:t>保障重点项目顺利实施，促进社会经济发展，提高财政资金利用率。</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完善预算单位资金管理</w:t>
            </w:r>
          </w:p>
        </w:tc>
        <w:tc>
          <w:tcPr>
            <w:tcW w:w="5386" w:type="dxa"/>
            <w:vAlign w:val="center"/>
          </w:tcPr>
          <w:p>
            <w:pPr>
              <w:pStyle w:val="12"/>
            </w:pPr>
            <w:r>
              <w:t>通过国库集中支付电子化，保障各预算单位的资金安全，使单位的内控明确资金流向，利用网络资源共享，管理更加完善。</w:t>
            </w:r>
          </w:p>
        </w:tc>
        <w:tc>
          <w:tcPr>
            <w:tcW w:w="2268" w:type="dxa"/>
            <w:vAlign w:val="center"/>
          </w:tcPr>
          <w:p>
            <w:pPr>
              <w:pStyle w:val="12"/>
            </w:pPr>
            <w:r>
              <w:t>≥98%</w:t>
            </w:r>
          </w:p>
        </w:tc>
        <w:tc>
          <w:tcPr>
            <w:tcW w:w="1276" w:type="dxa"/>
            <w:vAlign w:val="center"/>
          </w:tcPr>
          <w:p>
            <w:pPr>
              <w:pStyle w:val="12"/>
            </w:pPr>
            <w:r>
              <w:t>国库支付电子系统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满足社会经济需求</w:t>
            </w:r>
          </w:p>
        </w:tc>
        <w:tc>
          <w:tcPr>
            <w:tcW w:w="5386" w:type="dxa"/>
            <w:vAlign w:val="center"/>
          </w:tcPr>
          <w:p>
            <w:pPr>
              <w:pStyle w:val="12"/>
            </w:pPr>
            <w:r>
              <w:t>提高财务人员财务管理水平</w:t>
            </w:r>
          </w:p>
        </w:tc>
        <w:tc>
          <w:tcPr>
            <w:tcW w:w="2268" w:type="dxa"/>
            <w:vAlign w:val="center"/>
          </w:tcPr>
          <w:p>
            <w:pPr>
              <w:pStyle w:val="12"/>
            </w:pPr>
            <w:r>
              <w:t>≥95%</w:t>
            </w:r>
          </w:p>
          <w:p>
            <w:pPr>
              <w:pStyle w:val="12"/>
            </w:pP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增强部门绩效意识</w:t>
            </w:r>
          </w:p>
        </w:tc>
        <w:tc>
          <w:tcPr>
            <w:tcW w:w="5386" w:type="dxa"/>
            <w:vAlign w:val="center"/>
          </w:tcPr>
          <w:p>
            <w:pPr>
              <w:pStyle w:val="12"/>
            </w:pPr>
            <w:r>
              <w:t>通过预算绩效管理工作开展，进一步增强全县各预算部门绩效意识。</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增强部门电子支付意识</w:t>
            </w:r>
          </w:p>
        </w:tc>
        <w:tc>
          <w:tcPr>
            <w:tcW w:w="5386" w:type="dxa"/>
            <w:vAlign w:val="center"/>
          </w:tcPr>
          <w:p>
            <w:pPr>
              <w:pStyle w:val="12"/>
            </w:pPr>
            <w:r>
              <w:t>通过国库电子支付，进一步增强预算单位电子支付意识，减少资金管理的风险和成本，提高资金的周转效率，促进社会发展。</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提高财政资金使用效益</w:t>
            </w:r>
          </w:p>
        </w:tc>
        <w:tc>
          <w:tcPr>
            <w:tcW w:w="5386" w:type="dxa"/>
            <w:vAlign w:val="center"/>
          </w:tcPr>
          <w:p>
            <w:pPr>
              <w:pStyle w:val="12"/>
            </w:pPr>
            <w:r>
              <w:t>通过预算绩效改革工作开展，增强预算绩效影响力，做到“讲绩效、重绩效、用绩效”。进一步提高财政资金使用效益</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促进县域经济发展</w:t>
            </w:r>
          </w:p>
        </w:tc>
        <w:tc>
          <w:tcPr>
            <w:tcW w:w="5386" w:type="dxa"/>
            <w:vAlign w:val="center"/>
          </w:tcPr>
          <w:p>
            <w:pPr>
              <w:pStyle w:val="12"/>
            </w:pPr>
            <w:r>
              <w:t>完成财税征收任务，促进县域经济发展</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提升社会效益</w:t>
            </w:r>
          </w:p>
        </w:tc>
        <w:tc>
          <w:tcPr>
            <w:tcW w:w="5386" w:type="dxa"/>
            <w:vAlign w:val="center"/>
          </w:tcPr>
          <w:p>
            <w:pPr>
              <w:pStyle w:val="12"/>
            </w:pPr>
            <w:r>
              <w:t>提高财税改革成功程度，提升社会效益</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管理效率提升</w:t>
            </w:r>
          </w:p>
        </w:tc>
        <w:tc>
          <w:tcPr>
            <w:tcW w:w="5386" w:type="dxa"/>
            <w:vAlign w:val="center"/>
          </w:tcPr>
          <w:p>
            <w:pPr>
              <w:pStyle w:val="12"/>
            </w:pPr>
            <w:r>
              <w:t>通过规范行政事业单位国有资产管理，查清底数，夯实资产，确保国有资产保值增值不流失，管理效率得到明显提升。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管理规范有序</w:t>
            </w:r>
          </w:p>
        </w:tc>
        <w:tc>
          <w:tcPr>
            <w:tcW w:w="5386" w:type="dxa"/>
            <w:vAlign w:val="center"/>
          </w:tcPr>
          <w:p>
            <w:pPr>
              <w:pStyle w:val="12"/>
            </w:pPr>
            <w:r>
              <w:t>加强国有资产管理，使单位资产管理规范有序，防止贪腐和腐败现象发生，保障国家利益和社会公平。</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提升信息化建设普及</w:t>
            </w:r>
          </w:p>
          <w:p>
            <w:pPr>
              <w:pStyle w:val="12"/>
            </w:pPr>
          </w:p>
        </w:tc>
        <w:tc>
          <w:tcPr>
            <w:tcW w:w="5386" w:type="dxa"/>
            <w:vAlign w:val="center"/>
          </w:tcPr>
          <w:p>
            <w:pPr>
              <w:pStyle w:val="12"/>
            </w:pPr>
            <w:r>
              <w:t>运用先进的网络和信息技能，整合资源，构建先进、高效、实用的信息化系统，提升单位整体经济效益。</w:t>
            </w:r>
          </w:p>
          <w:p>
            <w:pPr>
              <w:pStyle w:val="12"/>
            </w:pPr>
          </w:p>
        </w:tc>
        <w:tc>
          <w:tcPr>
            <w:tcW w:w="2268" w:type="dxa"/>
            <w:vAlign w:val="center"/>
          </w:tcPr>
          <w:p>
            <w:pPr>
              <w:pStyle w:val="12"/>
            </w:pPr>
            <w:r>
              <w:t>≥95%</w:t>
            </w:r>
          </w:p>
          <w:p>
            <w:pPr>
              <w:pStyle w:val="12"/>
            </w:pPr>
          </w:p>
        </w:tc>
        <w:tc>
          <w:tcPr>
            <w:tcW w:w="1276" w:type="dxa"/>
            <w:vAlign w:val="center"/>
          </w:tcPr>
          <w:p>
            <w:pPr>
              <w:pStyle w:val="12"/>
            </w:pPr>
            <w:r>
              <w:t>财政信息化建设实施方案</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增强部门信息化建设意识</w:t>
            </w:r>
          </w:p>
          <w:p>
            <w:pPr>
              <w:pStyle w:val="12"/>
            </w:pPr>
          </w:p>
        </w:tc>
        <w:tc>
          <w:tcPr>
            <w:tcW w:w="5386" w:type="dxa"/>
            <w:vAlign w:val="center"/>
          </w:tcPr>
          <w:p>
            <w:pPr>
              <w:pStyle w:val="12"/>
            </w:pPr>
            <w:r>
              <w:t>实现财政信息网络一体化平台的日常正常运行，提高各预算部门工作效率，从而明显提升社会效益。</w:t>
            </w:r>
          </w:p>
          <w:p>
            <w:pPr>
              <w:pStyle w:val="12"/>
            </w:pPr>
          </w:p>
        </w:tc>
        <w:tc>
          <w:tcPr>
            <w:tcW w:w="2268" w:type="dxa"/>
            <w:vAlign w:val="center"/>
          </w:tcPr>
          <w:p>
            <w:pPr>
              <w:pStyle w:val="12"/>
            </w:pPr>
            <w:r>
              <w:t>≥95%</w:t>
            </w:r>
          </w:p>
          <w:p>
            <w:pPr>
              <w:pStyle w:val="12"/>
            </w:pPr>
          </w:p>
        </w:tc>
        <w:tc>
          <w:tcPr>
            <w:tcW w:w="1276" w:type="dxa"/>
            <w:vAlign w:val="center"/>
          </w:tcPr>
          <w:p>
            <w:pPr>
              <w:pStyle w:val="12"/>
            </w:pPr>
            <w:r>
              <w:t>财政信息化建设实施方案</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促进县域经济发展</w:t>
            </w:r>
          </w:p>
        </w:tc>
        <w:tc>
          <w:tcPr>
            <w:tcW w:w="5386" w:type="dxa"/>
            <w:vAlign w:val="center"/>
          </w:tcPr>
          <w:p>
            <w:pPr>
              <w:pStyle w:val="12"/>
            </w:pPr>
            <w:r>
              <w:t>健全财务监督机制，保障各项财政政策按规定执行，保证经济秩序合理运行。</w:t>
            </w:r>
          </w:p>
        </w:tc>
        <w:tc>
          <w:tcPr>
            <w:tcW w:w="2268" w:type="dxa"/>
            <w:vAlign w:val="center"/>
          </w:tcPr>
          <w:p>
            <w:pPr>
              <w:pStyle w:val="12"/>
            </w:pPr>
            <w:r>
              <w:t>≥98%</w:t>
            </w:r>
          </w:p>
        </w:tc>
        <w:tc>
          <w:tcPr>
            <w:tcW w:w="1276" w:type="dxa"/>
            <w:vAlign w:val="center"/>
          </w:tcPr>
          <w:p>
            <w:pPr>
              <w:pStyle w:val="12"/>
            </w:pPr>
            <w:r>
              <w:t>检查执行完成情况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提高财政资金使用效益</w:t>
            </w:r>
          </w:p>
        </w:tc>
        <w:tc>
          <w:tcPr>
            <w:tcW w:w="5386" w:type="dxa"/>
            <w:vAlign w:val="center"/>
          </w:tcPr>
          <w:p>
            <w:pPr>
              <w:pStyle w:val="12"/>
            </w:pPr>
            <w:r>
              <w:t>通过财政监督工作开展，保障各项财政政策按规定执行，为促进社会健康发展作出贡献。</w:t>
            </w:r>
          </w:p>
        </w:tc>
        <w:tc>
          <w:tcPr>
            <w:tcW w:w="2268" w:type="dxa"/>
            <w:vAlign w:val="center"/>
          </w:tcPr>
          <w:p>
            <w:pPr>
              <w:pStyle w:val="12"/>
            </w:pPr>
            <w:r>
              <w:t>≥95%</w:t>
            </w:r>
          </w:p>
          <w:p>
            <w:pPr>
              <w:pStyle w:val="12"/>
            </w:pPr>
          </w:p>
        </w:tc>
        <w:tc>
          <w:tcPr>
            <w:tcW w:w="1276" w:type="dxa"/>
            <w:vAlign w:val="center"/>
          </w:tcPr>
          <w:p>
            <w:pPr>
              <w:pStyle w:val="12"/>
            </w:pPr>
            <w:r>
              <w:t>财政监督检查职能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规范档案管理</w:t>
            </w:r>
          </w:p>
        </w:tc>
        <w:tc>
          <w:tcPr>
            <w:tcW w:w="5386" w:type="dxa"/>
            <w:vAlign w:val="center"/>
          </w:tcPr>
          <w:p>
            <w:pPr>
              <w:pStyle w:val="12"/>
            </w:pPr>
            <w:r>
              <w:t>按规定规范各种工作档案，使单位更加有效地使用单位资源，保证档案的质量与安全，节省人工费和档案复印费，切实提升经济效益。</w:t>
            </w:r>
          </w:p>
        </w:tc>
        <w:tc>
          <w:tcPr>
            <w:tcW w:w="2268" w:type="dxa"/>
            <w:vAlign w:val="center"/>
          </w:tcPr>
          <w:p>
            <w:pPr>
              <w:pStyle w:val="12"/>
            </w:pPr>
            <w:r>
              <w:t>≥95%</w:t>
            </w:r>
          </w:p>
        </w:tc>
        <w:tc>
          <w:tcPr>
            <w:tcW w:w="1276" w:type="dxa"/>
            <w:vAlign w:val="center"/>
          </w:tcPr>
          <w:p>
            <w:pPr>
              <w:pStyle w:val="12"/>
            </w:pPr>
            <w:r>
              <w:t>《档案法》、《河北省档案工作条例》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增强档案规范管理意识</w:t>
            </w:r>
          </w:p>
        </w:tc>
        <w:tc>
          <w:tcPr>
            <w:tcW w:w="5386" w:type="dxa"/>
            <w:vAlign w:val="center"/>
          </w:tcPr>
          <w:p>
            <w:pPr>
              <w:pStyle w:val="12"/>
            </w:pPr>
            <w:r>
              <w:t>通过做好档案管理工作，对保障单位正常运行，实施国家法律法规、维护单位声誉及节约资源等方面有积极作用。</w:t>
            </w:r>
          </w:p>
        </w:tc>
        <w:tc>
          <w:tcPr>
            <w:tcW w:w="2268" w:type="dxa"/>
            <w:vAlign w:val="center"/>
          </w:tcPr>
          <w:p>
            <w:pPr>
              <w:pStyle w:val="12"/>
            </w:pPr>
            <w:r>
              <w:t>≥95%</w:t>
            </w:r>
          </w:p>
        </w:tc>
        <w:tc>
          <w:tcPr>
            <w:tcW w:w="1276" w:type="dxa"/>
            <w:vAlign w:val="center"/>
          </w:tcPr>
          <w:p>
            <w:pPr>
              <w:pStyle w:val="12"/>
            </w:pPr>
            <w:r>
              <w:t>《档案法》、《河北省档案工作条例》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培训人员满意度</w:t>
            </w:r>
          </w:p>
        </w:tc>
        <w:tc>
          <w:tcPr>
            <w:tcW w:w="5386" w:type="dxa"/>
            <w:vAlign w:val="center"/>
          </w:tcPr>
          <w:p>
            <w:pPr>
              <w:pStyle w:val="12"/>
            </w:pPr>
            <w:r>
              <w:t>会计培训人员对培训工作的满意情况</w:t>
            </w:r>
          </w:p>
        </w:tc>
        <w:tc>
          <w:tcPr>
            <w:tcW w:w="2268" w:type="dxa"/>
            <w:vAlign w:val="center"/>
          </w:tcPr>
          <w:p>
            <w:pPr>
              <w:pStyle w:val="12"/>
            </w:pPr>
            <w:r>
              <w:t>≥90%</w:t>
            </w:r>
          </w:p>
          <w:p>
            <w:pPr>
              <w:pStyle w:val="12"/>
            </w:pP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接受培训的预算部门满意度</w:t>
            </w:r>
          </w:p>
        </w:tc>
        <w:tc>
          <w:tcPr>
            <w:tcW w:w="5386" w:type="dxa"/>
            <w:vAlign w:val="center"/>
          </w:tcPr>
          <w:p>
            <w:pPr>
              <w:pStyle w:val="12"/>
            </w:pPr>
            <w:r>
              <w:t>预算部门对预算绩效管理工作的满意度</w:t>
            </w:r>
          </w:p>
        </w:tc>
        <w:tc>
          <w:tcPr>
            <w:tcW w:w="2268" w:type="dxa"/>
            <w:vAlign w:val="center"/>
          </w:tcPr>
          <w:p>
            <w:pPr>
              <w:pStyle w:val="12"/>
            </w:pPr>
            <w:r>
              <w:t>≥90%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预算部门满意度</w:t>
            </w:r>
          </w:p>
        </w:tc>
        <w:tc>
          <w:tcPr>
            <w:tcW w:w="5386" w:type="dxa"/>
            <w:vAlign w:val="center"/>
          </w:tcPr>
          <w:p>
            <w:pPr>
              <w:pStyle w:val="12"/>
            </w:pPr>
            <w:r>
              <w:t>预算部门对国库电子支付工作的满意程度</w:t>
            </w:r>
          </w:p>
        </w:tc>
        <w:tc>
          <w:tcPr>
            <w:tcW w:w="2268" w:type="dxa"/>
            <w:vAlign w:val="center"/>
          </w:tcPr>
          <w:p>
            <w:pPr>
              <w:pStyle w:val="12"/>
            </w:pPr>
            <w:r>
              <w:t>≥90%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被征收单位的满意度</w:t>
            </w:r>
          </w:p>
        </w:tc>
        <w:tc>
          <w:tcPr>
            <w:tcW w:w="5386" w:type="dxa"/>
            <w:vAlign w:val="center"/>
          </w:tcPr>
          <w:p>
            <w:pPr>
              <w:pStyle w:val="12"/>
            </w:pPr>
            <w:r>
              <w:t>被征收单位对财税征管工作的满意程度</w:t>
            </w:r>
          </w:p>
        </w:tc>
        <w:tc>
          <w:tcPr>
            <w:tcW w:w="2268" w:type="dxa"/>
            <w:vAlign w:val="center"/>
          </w:tcPr>
          <w:p>
            <w:pPr>
              <w:pStyle w:val="12"/>
            </w:pPr>
            <w:r>
              <w:t>≥90%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行政事业单位满意度</w:t>
            </w:r>
          </w:p>
        </w:tc>
        <w:tc>
          <w:tcPr>
            <w:tcW w:w="5386" w:type="dxa"/>
            <w:vAlign w:val="center"/>
          </w:tcPr>
          <w:p>
            <w:pPr>
              <w:pStyle w:val="12"/>
            </w:pPr>
            <w:r>
              <w:t>行政事业单位对国有资产管理工作的满意度</w:t>
            </w:r>
          </w:p>
        </w:tc>
        <w:tc>
          <w:tcPr>
            <w:tcW w:w="2268" w:type="dxa"/>
            <w:vAlign w:val="center"/>
          </w:tcPr>
          <w:p>
            <w:pPr>
              <w:pStyle w:val="12"/>
            </w:pPr>
            <w:r>
              <w:t>≥90%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预算部门满意度</w:t>
            </w:r>
          </w:p>
        </w:tc>
        <w:tc>
          <w:tcPr>
            <w:tcW w:w="5386" w:type="dxa"/>
            <w:vAlign w:val="center"/>
          </w:tcPr>
          <w:p>
            <w:pPr>
              <w:pStyle w:val="12"/>
            </w:pPr>
            <w:r>
              <w:t>预算部门对一体化平台的满意度</w:t>
            </w:r>
          </w:p>
        </w:tc>
        <w:tc>
          <w:tcPr>
            <w:tcW w:w="2268" w:type="dxa"/>
            <w:vAlign w:val="center"/>
          </w:tcPr>
          <w:p>
            <w:pPr>
              <w:pStyle w:val="12"/>
            </w:pPr>
            <w:r>
              <w:t>≥90%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接受监督检查部门的满意度</w:t>
            </w:r>
          </w:p>
        </w:tc>
        <w:tc>
          <w:tcPr>
            <w:tcW w:w="5386" w:type="dxa"/>
            <w:vAlign w:val="center"/>
          </w:tcPr>
          <w:p>
            <w:pPr>
              <w:pStyle w:val="12"/>
            </w:pPr>
            <w:r>
              <w:t>预算部门对监督检查工作的满意度</w:t>
            </w:r>
          </w:p>
        </w:tc>
        <w:tc>
          <w:tcPr>
            <w:tcW w:w="2268" w:type="dxa"/>
            <w:vAlign w:val="center"/>
          </w:tcPr>
          <w:p>
            <w:pPr>
              <w:pStyle w:val="12"/>
            </w:pPr>
            <w:r>
              <w:t>≥90%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使用对象满意率</w:t>
            </w:r>
          </w:p>
        </w:tc>
        <w:tc>
          <w:tcPr>
            <w:tcW w:w="5386" w:type="dxa"/>
            <w:vAlign w:val="center"/>
          </w:tcPr>
          <w:p>
            <w:pPr>
              <w:pStyle w:val="12"/>
            </w:pPr>
            <w:r>
              <w:t>使用对象对档案管理工作的满意程度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2、财政专项工作经费绩效目标表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13043326P000042100050</w:t>
            </w:r>
          </w:p>
        </w:tc>
        <w:tc>
          <w:tcPr>
            <w:tcW w:w="2835" w:type="dxa"/>
            <w:vAlign w:val="center"/>
          </w:tcPr>
          <w:p>
            <w:pPr>
              <w:pStyle w:val="10"/>
            </w:pPr>
            <w:r>
              <w:t>项目名称</w:t>
            </w:r>
          </w:p>
        </w:tc>
        <w:tc>
          <w:tcPr>
            <w:tcW w:w="6095" w:type="dxa"/>
            <w:gridSpan w:val="3"/>
            <w:vAlign w:val="center"/>
          </w:tcPr>
          <w:p>
            <w:pPr>
              <w:pStyle w:val="12"/>
            </w:pPr>
            <w:r>
              <w:t>财政专项工作经费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17.33</w:t>
            </w:r>
          </w:p>
        </w:tc>
        <w:tc>
          <w:tcPr>
            <w:tcW w:w="2835" w:type="dxa"/>
            <w:vAlign w:val="center"/>
          </w:tcPr>
          <w:p>
            <w:pPr>
              <w:pStyle w:val="10"/>
            </w:pPr>
            <w:r>
              <w:t>其中：财政    资金</w:t>
            </w:r>
          </w:p>
        </w:tc>
        <w:tc>
          <w:tcPr>
            <w:tcW w:w="2551" w:type="dxa"/>
            <w:vAlign w:val="center"/>
          </w:tcPr>
          <w:p>
            <w:pPr>
              <w:pStyle w:val="12"/>
            </w:pPr>
            <w:r>
              <w:t>17.33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用于管理财政事务支出，深化税收制度改革，研究完善和规范地方性财政法规，监督检查财政政策执行情况。</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1.用于管理财政事务支出，深化税收制度改革，研究完善和规范地方性财政法规，监督检查财政政策执行情况。</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经费保障人员数量</w:t>
            </w:r>
          </w:p>
        </w:tc>
        <w:tc>
          <w:tcPr>
            <w:tcW w:w="5386" w:type="dxa"/>
            <w:vAlign w:val="center"/>
          </w:tcPr>
          <w:p>
            <w:pPr>
              <w:pStyle w:val="12"/>
            </w:pPr>
            <w:r>
              <w:t>资金支持机关办公人员数量</w:t>
            </w:r>
          </w:p>
        </w:tc>
        <w:tc>
          <w:tcPr>
            <w:tcW w:w="2268" w:type="dxa"/>
            <w:vAlign w:val="center"/>
          </w:tcPr>
          <w:p>
            <w:pPr>
              <w:pStyle w:val="12"/>
            </w:pPr>
            <w:r>
              <w:t>≥60人</w:t>
            </w:r>
          </w:p>
        </w:tc>
        <w:tc>
          <w:tcPr>
            <w:tcW w:w="1276" w:type="dxa"/>
            <w:vAlign w:val="center"/>
          </w:tcPr>
          <w:p>
            <w:pPr>
              <w:pStyle w:val="12"/>
            </w:pPr>
            <w:r>
              <w:t>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经费足额拨付率</w:t>
            </w:r>
          </w:p>
        </w:tc>
        <w:tc>
          <w:tcPr>
            <w:tcW w:w="5386" w:type="dxa"/>
            <w:vAlign w:val="center"/>
          </w:tcPr>
          <w:p>
            <w:pPr>
              <w:pStyle w:val="12"/>
            </w:pPr>
            <w:r>
              <w:t>经费实际拨付金额占应拨付金额的比率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根据工作计划按时拨付财政专项工作经费</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工作资金</w:t>
            </w:r>
          </w:p>
        </w:tc>
        <w:tc>
          <w:tcPr>
            <w:tcW w:w="5386" w:type="dxa"/>
            <w:vAlign w:val="center"/>
          </w:tcPr>
          <w:p>
            <w:pPr>
              <w:pStyle w:val="12"/>
            </w:pPr>
            <w:r>
              <w:t>完成财政日常工作需要的资金</w:t>
            </w:r>
          </w:p>
        </w:tc>
        <w:tc>
          <w:tcPr>
            <w:tcW w:w="2268" w:type="dxa"/>
            <w:vAlign w:val="center"/>
          </w:tcPr>
          <w:p>
            <w:pPr>
              <w:pStyle w:val="12"/>
            </w:pPr>
            <w:r>
              <w:t>≤17.33万元</w:t>
            </w:r>
          </w:p>
        </w:tc>
        <w:tc>
          <w:tcPr>
            <w:tcW w:w="1276" w:type="dxa"/>
            <w:vAlign w:val="center"/>
          </w:tcPr>
          <w:p>
            <w:pPr>
              <w:pStyle w:val="12"/>
            </w:pPr>
            <w:r>
              <w:t>项目测算表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循环利用率</w:t>
            </w:r>
          </w:p>
        </w:tc>
        <w:tc>
          <w:tcPr>
            <w:tcW w:w="5386" w:type="dxa"/>
            <w:vAlign w:val="center"/>
          </w:tcPr>
          <w:p>
            <w:pPr>
              <w:pStyle w:val="12"/>
            </w:pPr>
            <w:r>
              <w:t>提高社会办公资源循环利用率，管理财政事务支出，深化税收制度改革，研究完善和规范地方性财政法规，监督检查财政政策执行情况，保障财政日常工作正常运转。</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提升社会效益</w:t>
            </w:r>
          </w:p>
        </w:tc>
        <w:tc>
          <w:tcPr>
            <w:tcW w:w="5386" w:type="dxa"/>
            <w:vAlign w:val="center"/>
          </w:tcPr>
          <w:p>
            <w:pPr>
              <w:pStyle w:val="12"/>
            </w:pPr>
            <w:r>
              <w:t>财政专项资金的运用可以推动经济发展，改善民生，推动社会进步。</w:t>
            </w:r>
          </w:p>
        </w:tc>
        <w:tc>
          <w:tcPr>
            <w:tcW w:w="2268" w:type="dxa"/>
            <w:vAlign w:val="center"/>
          </w:tcPr>
          <w:p>
            <w:pPr>
              <w:pStyle w:val="12"/>
            </w:pPr>
            <w:r>
              <w:t>≥90%</w:t>
            </w:r>
          </w:p>
        </w:tc>
        <w:tc>
          <w:tcPr>
            <w:tcW w:w="1276" w:type="dxa"/>
            <w:vAlign w:val="center"/>
          </w:tcPr>
          <w:p>
            <w:pPr>
              <w:pStyle w:val="12"/>
            </w:pPr>
            <w:r>
              <w:t>调查统计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办公人员满意度</w:t>
            </w:r>
          </w:p>
        </w:tc>
        <w:tc>
          <w:tcPr>
            <w:tcW w:w="5386" w:type="dxa"/>
            <w:vAlign w:val="center"/>
          </w:tcPr>
          <w:p>
            <w:pPr>
              <w:pStyle w:val="12"/>
            </w:pPr>
            <w:r>
              <w:t>办公人员对机关办公运转情况的满意程度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3、政府投资项目财政评审资金绩效目标表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13043326P000045100051</w:t>
            </w:r>
          </w:p>
        </w:tc>
        <w:tc>
          <w:tcPr>
            <w:tcW w:w="2835" w:type="dxa"/>
            <w:vAlign w:val="center"/>
          </w:tcPr>
          <w:p>
            <w:pPr>
              <w:pStyle w:val="10"/>
            </w:pPr>
            <w:r>
              <w:t>项目名称</w:t>
            </w:r>
          </w:p>
        </w:tc>
        <w:tc>
          <w:tcPr>
            <w:tcW w:w="6095" w:type="dxa"/>
            <w:gridSpan w:val="3"/>
            <w:vAlign w:val="center"/>
          </w:tcPr>
          <w:p>
            <w:pPr>
              <w:pStyle w:val="12"/>
            </w:pPr>
            <w:r>
              <w:t>政府投资项目财政评审资金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400.00</w:t>
            </w:r>
          </w:p>
        </w:tc>
        <w:tc>
          <w:tcPr>
            <w:tcW w:w="2835" w:type="dxa"/>
            <w:vAlign w:val="center"/>
          </w:tcPr>
          <w:p>
            <w:pPr>
              <w:pStyle w:val="10"/>
            </w:pPr>
            <w:r>
              <w:t>其中：财政    资金</w:t>
            </w:r>
          </w:p>
        </w:tc>
        <w:tc>
          <w:tcPr>
            <w:tcW w:w="2551" w:type="dxa"/>
            <w:vAlign w:val="center"/>
          </w:tcPr>
          <w:p>
            <w:pPr>
              <w:pStyle w:val="12"/>
            </w:pPr>
            <w:r>
              <w:t>400.00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用于对财政性资金拟安排的建设项目预算进行评价审查，实现财政资金的最大化利用，改善政府投资评审环境。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1.用于对财政性资金拟安排的建设项目预算进行评价审查，实现财政资金的最大化利用，改善政府投资评审环境。</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项目评审数量</w:t>
            </w:r>
          </w:p>
        </w:tc>
        <w:tc>
          <w:tcPr>
            <w:tcW w:w="5386" w:type="dxa"/>
            <w:vAlign w:val="center"/>
          </w:tcPr>
          <w:p>
            <w:pPr>
              <w:pStyle w:val="12"/>
            </w:pPr>
            <w:r>
              <w:t>政府投资的评审项目数量</w:t>
            </w:r>
          </w:p>
        </w:tc>
        <w:tc>
          <w:tcPr>
            <w:tcW w:w="2268" w:type="dxa"/>
            <w:vAlign w:val="center"/>
          </w:tcPr>
          <w:p>
            <w:pPr>
              <w:pStyle w:val="12"/>
            </w:pPr>
            <w:r>
              <w:t>≥150个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评审覆盖率</w:t>
            </w:r>
          </w:p>
        </w:tc>
        <w:tc>
          <w:tcPr>
            <w:tcW w:w="5386" w:type="dxa"/>
            <w:vAlign w:val="center"/>
          </w:tcPr>
          <w:p>
            <w:pPr>
              <w:pStyle w:val="12"/>
            </w:pPr>
            <w:r>
              <w:t>实际评审的项目数量占计划评审数量的比例</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及时评审</w:t>
            </w:r>
          </w:p>
        </w:tc>
        <w:tc>
          <w:tcPr>
            <w:tcW w:w="5386" w:type="dxa"/>
            <w:vAlign w:val="center"/>
          </w:tcPr>
          <w:p>
            <w:pPr>
              <w:pStyle w:val="12"/>
            </w:pPr>
            <w:r>
              <w:t>在计划时间内完成政府投资评审工作</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评审成本</w:t>
            </w:r>
          </w:p>
        </w:tc>
        <w:tc>
          <w:tcPr>
            <w:tcW w:w="5386" w:type="dxa"/>
            <w:vAlign w:val="center"/>
          </w:tcPr>
          <w:p>
            <w:pPr>
              <w:pStyle w:val="12"/>
            </w:pPr>
            <w:r>
              <w:t>开展政府投资的评审所需的资金</w:t>
            </w:r>
          </w:p>
        </w:tc>
        <w:tc>
          <w:tcPr>
            <w:tcW w:w="2268" w:type="dxa"/>
            <w:vAlign w:val="center"/>
          </w:tcPr>
          <w:p>
            <w:pPr>
              <w:pStyle w:val="12"/>
            </w:pPr>
            <w:r>
              <w:t>400万元</w:t>
            </w:r>
          </w:p>
        </w:tc>
        <w:tc>
          <w:tcPr>
            <w:tcW w:w="1276" w:type="dxa"/>
            <w:vAlign w:val="center"/>
          </w:tcPr>
          <w:p>
            <w:pPr>
              <w:pStyle w:val="12"/>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改善政府投资评审环境</w:t>
            </w:r>
          </w:p>
        </w:tc>
        <w:tc>
          <w:tcPr>
            <w:tcW w:w="5386" w:type="dxa"/>
            <w:vAlign w:val="center"/>
          </w:tcPr>
          <w:p>
            <w:pPr>
              <w:pStyle w:val="12"/>
            </w:pPr>
            <w:r>
              <w:t>通过财政评审工作，严关把守，节约财政资金，改善政府投资评审环境。</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促进社会公平稳定</w:t>
            </w:r>
          </w:p>
        </w:tc>
        <w:tc>
          <w:tcPr>
            <w:tcW w:w="5386" w:type="dxa"/>
            <w:vAlign w:val="center"/>
          </w:tcPr>
          <w:p>
            <w:pPr>
              <w:pStyle w:val="12"/>
            </w:pPr>
            <w:r>
              <w:t>加强财政投资评审工作，实现财政资金的最大化利用，为经济社会发展创造更好的条件，促进社会公平稳定。</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评审单位的满意度</w:t>
            </w:r>
          </w:p>
          <w:p>
            <w:pPr>
              <w:pStyle w:val="12"/>
            </w:pPr>
          </w:p>
        </w:tc>
        <w:tc>
          <w:tcPr>
            <w:tcW w:w="5386" w:type="dxa"/>
            <w:vAlign w:val="center"/>
          </w:tcPr>
          <w:p>
            <w:pPr>
              <w:pStyle w:val="12"/>
            </w:pPr>
            <w:r>
              <w:t>评审单位对评审工作的满意度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318001馆陶县财政局本级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12.00</w:t>
            </w:r>
          </w:p>
        </w:tc>
        <w:tc>
          <w:tcPr>
            <w:tcW w:w="964" w:type="dxa"/>
            <w:vAlign w:val="center"/>
          </w:tcPr>
          <w:p>
            <w:pPr>
              <w:pStyle w:val="15"/>
            </w:pPr>
            <w:r>
              <w:t>12.00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馆陶县财政局本级小计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12.00</w:t>
            </w:r>
          </w:p>
        </w:tc>
        <w:tc>
          <w:tcPr>
            <w:tcW w:w="964" w:type="dxa"/>
            <w:vAlign w:val="center"/>
          </w:tcPr>
          <w:p>
            <w:pPr>
              <w:pStyle w:val="15"/>
            </w:pPr>
            <w:r>
              <w:t>12.00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财政管理业务经费</w:t>
            </w:r>
          </w:p>
        </w:tc>
        <w:tc>
          <w:tcPr>
            <w:tcW w:w="964" w:type="dxa"/>
            <w:vAlign w:val="center"/>
          </w:tcPr>
          <w:p>
            <w:pPr>
              <w:pStyle w:val="11"/>
            </w:pPr>
            <w:r>
              <w:t>200.00</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4</w:t>
            </w:r>
          </w:p>
        </w:tc>
        <w:tc>
          <w:tcPr>
            <w:tcW w:w="850" w:type="dxa"/>
            <w:vAlign w:val="center"/>
          </w:tcPr>
          <w:p>
            <w:pPr>
              <w:pStyle w:val="11"/>
            </w:pPr>
            <w:r>
              <w:t>0.50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财政管理业务经费</w:t>
            </w:r>
          </w:p>
        </w:tc>
        <w:tc>
          <w:tcPr>
            <w:tcW w:w="964" w:type="dxa"/>
            <w:vAlign w:val="center"/>
          </w:tcPr>
          <w:p>
            <w:pPr>
              <w:pStyle w:val="11"/>
            </w:pPr>
            <w:r>
              <w:t>200.00</w:t>
            </w:r>
          </w:p>
        </w:tc>
        <w:tc>
          <w:tcPr>
            <w:tcW w:w="1134" w:type="dxa"/>
            <w:vAlign w:val="center"/>
          </w:tcPr>
          <w:p>
            <w:pPr>
              <w:pStyle w:val="12"/>
            </w:pPr>
            <w:r>
              <w:t>便携式计算机</w:t>
            </w:r>
          </w:p>
        </w:tc>
        <w:tc>
          <w:tcPr>
            <w:tcW w:w="1134" w:type="dxa"/>
            <w:vAlign w:val="center"/>
          </w:tcPr>
          <w:p>
            <w:pPr>
              <w:pStyle w:val="12"/>
            </w:pPr>
            <w:r>
              <w:t>A02010108</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0.60</w:t>
            </w:r>
          </w:p>
        </w:tc>
        <w:tc>
          <w:tcPr>
            <w:tcW w:w="964" w:type="dxa"/>
            <w:vAlign w:val="center"/>
          </w:tcPr>
          <w:p>
            <w:pPr>
              <w:pStyle w:val="11"/>
            </w:pPr>
            <w:r>
              <w:t>1.20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财政管理业务经费</w:t>
            </w:r>
          </w:p>
        </w:tc>
        <w:tc>
          <w:tcPr>
            <w:tcW w:w="964" w:type="dxa"/>
            <w:vAlign w:val="center"/>
          </w:tcPr>
          <w:p>
            <w:pPr>
              <w:pStyle w:val="11"/>
            </w:pPr>
            <w:r>
              <w:t>200.00</w:t>
            </w:r>
          </w:p>
        </w:tc>
        <w:tc>
          <w:tcPr>
            <w:tcW w:w="1134" w:type="dxa"/>
            <w:vAlign w:val="center"/>
          </w:tcPr>
          <w:p>
            <w:pPr>
              <w:pStyle w:val="12"/>
            </w:pPr>
            <w:r>
              <w:t>A4 黑白打印机</w:t>
            </w:r>
          </w:p>
        </w:tc>
        <w:tc>
          <w:tcPr>
            <w:tcW w:w="1134" w:type="dxa"/>
            <w:vAlign w:val="center"/>
          </w:tcPr>
          <w:p>
            <w:pPr>
              <w:pStyle w:val="12"/>
            </w:pPr>
            <w:r>
              <w:t>A02021003</w:t>
            </w:r>
          </w:p>
        </w:tc>
        <w:tc>
          <w:tcPr>
            <w:tcW w:w="709" w:type="dxa"/>
            <w:vAlign w:val="center"/>
          </w:tcPr>
          <w:p>
            <w:pPr>
              <w:pStyle w:val="13"/>
            </w:pPr>
            <w:r>
              <w:t>台</w:t>
            </w:r>
          </w:p>
        </w:tc>
        <w:tc>
          <w:tcPr>
            <w:tcW w:w="850" w:type="dxa"/>
            <w:vAlign w:val="center"/>
          </w:tcPr>
          <w:p>
            <w:pPr>
              <w:pStyle w:val="11"/>
            </w:pPr>
            <w:r>
              <w:t>4</w:t>
            </w:r>
          </w:p>
        </w:tc>
        <w:tc>
          <w:tcPr>
            <w:tcW w:w="850" w:type="dxa"/>
            <w:vAlign w:val="center"/>
          </w:tcPr>
          <w:p>
            <w:pPr>
              <w:pStyle w:val="11"/>
            </w:pPr>
            <w:r>
              <w:t>0.20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财政管理业务经费</w:t>
            </w:r>
          </w:p>
        </w:tc>
        <w:tc>
          <w:tcPr>
            <w:tcW w:w="964" w:type="dxa"/>
            <w:vAlign w:val="center"/>
          </w:tcPr>
          <w:p>
            <w:pPr>
              <w:pStyle w:val="11"/>
            </w:pPr>
            <w:r>
              <w:t>200.00</w:t>
            </w:r>
          </w:p>
        </w:tc>
        <w:tc>
          <w:tcPr>
            <w:tcW w:w="1134" w:type="dxa"/>
            <w:vAlign w:val="center"/>
          </w:tcPr>
          <w:p>
            <w:pPr>
              <w:pStyle w:val="12"/>
            </w:pPr>
            <w:r>
              <w:t>A4 彩色打印机</w:t>
            </w:r>
          </w:p>
        </w:tc>
        <w:tc>
          <w:tcPr>
            <w:tcW w:w="1134" w:type="dxa"/>
            <w:vAlign w:val="center"/>
          </w:tcPr>
          <w:p>
            <w:pPr>
              <w:pStyle w:val="12"/>
            </w:pPr>
            <w:r>
              <w:t>A02021004</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财政管理业务经费</w:t>
            </w:r>
          </w:p>
        </w:tc>
        <w:tc>
          <w:tcPr>
            <w:tcW w:w="964" w:type="dxa"/>
            <w:vAlign w:val="center"/>
          </w:tcPr>
          <w:p>
            <w:pPr>
              <w:pStyle w:val="11"/>
            </w:pPr>
            <w:r>
              <w:t>200.00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100</w:t>
            </w:r>
          </w:p>
        </w:tc>
        <w:tc>
          <w:tcPr>
            <w:tcW w:w="850" w:type="dxa"/>
            <w:vAlign w:val="center"/>
          </w:tcPr>
          <w:p>
            <w:pPr>
              <w:pStyle w:val="11"/>
            </w:pPr>
            <w:r>
              <w:t>0.02</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财政管理业务经费</w:t>
            </w:r>
          </w:p>
        </w:tc>
        <w:tc>
          <w:tcPr>
            <w:tcW w:w="964" w:type="dxa"/>
            <w:vAlign w:val="center"/>
          </w:tcPr>
          <w:p>
            <w:pPr>
              <w:pStyle w:val="11"/>
            </w:pPr>
            <w:r>
              <w:t>200.00</w:t>
            </w:r>
          </w:p>
        </w:tc>
        <w:tc>
          <w:tcPr>
            <w:tcW w:w="1134" w:type="dxa"/>
            <w:vAlign w:val="center"/>
          </w:tcPr>
          <w:p>
            <w:pPr>
              <w:pStyle w:val="12"/>
            </w:pPr>
            <w:r>
              <w:t>应用软件</w:t>
            </w:r>
          </w:p>
        </w:tc>
        <w:tc>
          <w:tcPr>
            <w:tcW w:w="1134" w:type="dxa"/>
            <w:vAlign w:val="center"/>
          </w:tcPr>
          <w:p>
            <w:pPr>
              <w:pStyle w:val="12"/>
            </w:pPr>
            <w:r>
              <w:t>A08060303</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馆陶县财政局本级上年末固定资产金额为120.04万元（详见下表）。本年度拟购置固定资产总额为7.00万元，已按要求列入政府采购预算，详见政府采购预算表。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318001馆陶县财政局本级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120.04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700</w:t>
            </w:r>
          </w:p>
        </w:tc>
        <w:tc>
          <w:tcPr>
            <w:tcW w:w="2835" w:type="dxa"/>
            <w:vAlign w:val="center"/>
          </w:tcPr>
          <w:p>
            <w:pPr>
              <w:pStyle w:val="11"/>
            </w:pPr>
            <w:r>
              <w:t>120.04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48DE0BD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47</Pages>
  <TotalTime>0</TotalTime>
  <ScaleCrop>false</ScaleCrop>
  <LinksUpToDate>false</LinksUpToDate>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2026-03-20T10:42:00Z</dcterms:created>
  <dc:creator>Administrator</dc:creator>
  <cp:lastModifiedBy>Administrator</cp:lastModifiedBy>
  <dcterms:modified xsi:type="dcterms:W3CDTF">2026-03-20T02:54:48Z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AAB67A07D3384652B4B0D7AEBD727266_12</vt:lpwstr>
  </property>
</Properties>
</file>