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bookmarkStart w:id="19" w:name="_GoBack"/>
      <w:bookmarkEnd w:id="19"/>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318馆陶县财政局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1481.55</w:t>
            </w:r>
          </w:p>
        </w:tc>
        <w:tc>
          <w:tcPr>
            <w:tcW w:w="4535" w:type="dxa"/>
            <w:vAlign w:val="center"/>
          </w:tcPr>
          <w:p>
            <w:pPr>
              <w:pStyle w:val="13"/>
            </w:pPr>
            <w:r>
              <w:t>一、一般公共服务支出</w:t>
            </w:r>
          </w:p>
        </w:tc>
        <w:tc>
          <w:tcPr>
            <w:tcW w:w="2126" w:type="dxa"/>
            <w:vAlign w:val="center"/>
          </w:tcPr>
          <w:p>
            <w:pPr>
              <w:pStyle w:val="12"/>
            </w:pPr>
            <w:r>
              <w:t>1368.22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1481.55</w:t>
            </w:r>
          </w:p>
        </w:tc>
        <w:tc>
          <w:tcPr>
            <w:tcW w:w="4535" w:type="dxa"/>
            <w:vAlign w:val="center"/>
          </w:tcPr>
          <w:p>
            <w:pPr>
              <w:pStyle w:val="15"/>
            </w:pPr>
            <w:r>
              <w:t>本年支出合计</w:t>
            </w:r>
          </w:p>
        </w:tc>
        <w:tc>
          <w:tcPr>
            <w:tcW w:w="2126" w:type="dxa"/>
            <w:vAlign w:val="center"/>
          </w:tcPr>
          <w:p>
            <w:pPr>
              <w:pStyle w:val="16"/>
            </w:pPr>
            <w:r>
              <w:t>1482.28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0.73</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1482.28</w:t>
            </w:r>
          </w:p>
        </w:tc>
        <w:tc>
          <w:tcPr>
            <w:tcW w:w="4535" w:type="dxa"/>
            <w:vAlign w:val="center"/>
          </w:tcPr>
          <w:p>
            <w:pPr>
              <w:pStyle w:val="15"/>
            </w:pPr>
            <w:r>
              <w:t>支出总计</w:t>
            </w:r>
          </w:p>
        </w:tc>
        <w:tc>
          <w:tcPr>
            <w:tcW w:w="2126" w:type="dxa"/>
            <w:vAlign w:val="center"/>
          </w:tcPr>
          <w:p>
            <w:pPr>
              <w:pStyle w:val="16"/>
            </w:pPr>
            <w:r>
              <w:t>1482.28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318馆陶县财政局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1482.28</w:t>
            </w:r>
          </w:p>
        </w:tc>
        <w:tc>
          <w:tcPr>
            <w:tcW w:w="1134" w:type="dxa"/>
            <w:vAlign w:val="center"/>
          </w:tcPr>
          <w:p>
            <w:pPr>
              <w:pStyle w:val="16"/>
            </w:pPr>
            <w:r>
              <w:t>1481.55</w:t>
            </w:r>
          </w:p>
        </w:tc>
        <w:tc>
          <w:tcPr>
            <w:tcW w:w="1134" w:type="dxa"/>
            <w:vAlign w:val="center"/>
          </w:tcPr>
          <w:p>
            <w:pPr>
              <w:pStyle w:val="16"/>
            </w:pPr>
            <w:r>
              <w:t>1481.55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1368.22</w:t>
            </w:r>
          </w:p>
        </w:tc>
        <w:tc>
          <w:tcPr>
            <w:tcW w:w="1134" w:type="dxa"/>
            <w:vAlign w:val="center"/>
          </w:tcPr>
          <w:p>
            <w:pPr>
              <w:pStyle w:val="12"/>
            </w:pPr>
            <w:r>
              <w:t>1368.22</w:t>
            </w:r>
          </w:p>
        </w:tc>
        <w:tc>
          <w:tcPr>
            <w:tcW w:w="1134" w:type="dxa"/>
            <w:vAlign w:val="center"/>
          </w:tcPr>
          <w:p>
            <w:pPr>
              <w:pStyle w:val="12"/>
            </w:pPr>
            <w:r>
              <w:t>1368.22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1318.22</w:t>
            </w:r>
          </w:p>
        </w:tc>
        <w:tc>
          <w:tcPr>
            <w:tcW w:w="1134" w:type="dxa"/>
            <w:vAlign w:val="center"/>
          </w:tcPr>
          <w:p>
            <w:pPr>
              <w:pStyle w:val="12"/>
            </w:pPr>
            <w:r>
              <w:t>1318.22</w:t>
            </w:r>
          </w:p>
        </w:tc>
        <w:tc>
          <w:tcPr>
            <w:tcW w:w="1134" w:type="dxa"/>
            <w:vAlign w:val="center"/>
          </w:tcPr>
          <w:p>
            <w:pPr>
              <w:pStyle w:val="12"/>
            </w:pPr>
            <w:r>
              <w:t>1318.22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780.22</w:t>
            </w:r>
          </w:p>
        </w:tc>
        <w:tc>
          <w:tcPr>
            <w:tcW w:w="1134" w:type="dxa"/>
            <w:vAlign w:val="center"/>
          </w:tcPr>
          <w:p>
            <w:pPr>
              <w:pStyle w:val="12"/>
            </w:pPr>
            <w:r>
              <w:t>780.22</w:t>
            </w:r>
          </w:p>
        </w:tc>
        <w:tc>
          <w:tcPr>
            <w:tcW w:w="1134" w:type="dxa"/>
            <w:vAlign w:val="center"/>
          </w:tcPr>
          <w:p>
            <w:pPr>
              <w:pStyle w:val="12"/>
            </w:pPr>
            <w:r>
              <w:t>780.22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2010604</w:t>
            </w:r>
          </w:p>
        </w:tc>
        <w:tc>
          <w:tcPr>
            <w:tcW w:w="1559" w:type="dxa"/>
            <w:vAlign w:val="center"/>
          </w:tcPr>
          <w:p>
            <w:pPr>
              <w:pStyle w:val="13"/>
            </w:pPr>
            <w:r>
              <w:t>预算改革业务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2010605</w:t>
            </w:r>
          </w:p>
        </w:tc>
        <w:tc>
          <w:tcPr>
            <w:tcW w:w="1559" w:type="dxa"/>
            <w:vAlign w:val="center"/>
          </w:tcPr>
          <w:p>
            <w:pPr>
              <w:pStyle w:val="13"/>
            </w:pPr>
            <w:r>
              <w:t>财政国库业务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2010606</w:t>
            </w:r>
          </w:p>
        </w:tc>
        <w:tc>
          <w:tcPr>
            <w:tcW w:w="1559" w:type="dxa"/>
            <w:vAlign w:val="center"/>
          </w:tcPr>
          <w:p>
            <w:pPr>
              <w:pStyle w:val="13"/>
            </w:pPr>
            <w:r>
              <w:t>财政监察</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r>
              <w:t>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2010607</w:t>
            </w:r>
          </w:p>
        </w:tc>
        <w:tc>
          <w:tcPr>
            <w:tcW w:w="1559" w:type="dxa"/>
            <w:vAlign w:val="center"/>
          </w:tcPr>
          <w:p>
            <w:pPr>
              <w:pStyle w:val="13"/>
            </w:pPr>
            <w:r>
              <w:t>信息化建设</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2010608</w:t>
            </w:r>
          </w:p>
        </w:tc>
        <w:tc>
          <w:tcPr>
            <w:tcW w:w="1559" w:type="dxa"/>
            <w:vAlign w:val="center"/>
          </w:tcPr>
          <w:p>
            <w:pPr>
              <w:pStyle w:val="13"/>
            </w:pPr>
            <w:r>
              <w:t>财政委托业务支出</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r>
              <w:t>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57.00</w:t>
            </w:r>
          </w:p>
        </w:tc>
        <w:tc>
          <w:tcPr>
            <w:tcW w:w="1134" w:type="dxa"/>
            <w:vAlign w:val="center"/>
          </w:tcPr>
          <w:p>
            <w:pPr>
              <w:pStyle w:val="12"/>
            </w:pPr>
            <w:r>
              <w:t>57.00</w:t>
            </w:r>
          </w:p>
        </w:tc>
        <w:tc>
          <w:tcPr>
            <w:tcW w:w="1134" w:type="dxa"/>
            <w:vAlign w:val="center"/>
          </w:tcPr>
          <w:p>
            <w:pPr>
              <w:pStyle w:val="12"/>
            </w:pPr>
            <w:r>
              <w:t>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57.00</w:t>
            </w:r>
          </w:p>
        </w:tc>
        <w:tc>
          <w:tcPr>
            <w:tcW w:w="1134" w:type="dxa"/>
            <w:vAlign w:val="center"/>
          </w:tcPr>
          <w:p>
            <w:pPr>
              <w:pStyle w:val="12"/>
            </w:pPr>
            <w:r>
              <w:t>57.00</w:t>
            </w:r>
          </w:p>
        </w:tc>
        <w:tc>
          <w:tcPr>
            <w:tcW w:w="1134" w:type="dxa"/>
            <w:vAlign w:val="center"/>
          </w:tcPr>
          <w:p>
            <w:pPr>
              <w:pStyle w:val="12"/>
            </w:pPr>
            <w:r>
              <w:t>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r>
              <w:t>18.33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10.73</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10.73</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10.73</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1482.28</w:t>
            </w:r>
          </w:p>
        </w:tc>
        <w:tc>
          <w:tcPr>
            <w:tcW w:w="1361" w:type="dxa"/>
            <w:vAlign w:val="center"/>
          </w:tcPr>
          <w:p>
            <w:pPr>
              <w:pStyle w:val="16"/>
            </w:pPr>
            <w:r>
              <w:t>770.22</w:t>
            </w:r>
          </w:p>
        </w:tc>
        <w:tc>
          <w:tcPr>
            <w:tcW w:w="1361" w:type="dxa"/>
            <w:vAlign w:val="center"/>
          </w:tcPr>
          <w:p>
            <w:pPr>
              <w:pStyle w:val="16"/>
            </w:pPr>
            <w:r>
              <w:t>712.06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1368.22</w:t>
            </w:r>
          </w:p>
        </w:tc>
        <w:tc>
          <w:tcPr>
            <w:tcW w:w="1361" w:type="dxa"/>
            <w:vAlign w:val="center"/>
          </w:tcPr>
          <w:p>
            <w:pPr>
              <w:pStyle w:val="12"/>
            </w:pPr>
            <w:r>
              <w:t>666.89</w:t>
            </w:r>
          </w:p>
        </w:tc>
        <w:tc>
          <w:tcPr>
            <w:tcW w:w="1361" w:type="dxa"/>
            <w:vAlign w:val="center"/>
          </w:tcPr>
          <w:p>
            <w:pPr>
              <w:pStyle w:val="12"/>
            </w:pPr>
            <w:r>
              <w:t>701.33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1318.22</w:t>
            </w:r>
          </w:p>
        </w:tc>
        <w:tc>
          <w:tcPr>
            <w:tcW w:w="1361" w:type="dxa"/>
            <w:vAlign w:val="center"/>
          </w:tcPr>
          <w:p>
            <w:pPr>
              <w:pStyle w:val="12"/>
            </w:pPr>
            <w:r>
              <w:t>666.89</w:t>
            </w:r>
          </w:p>
        </w:tc>
        <w:tc>
          <w:tcPr>
            <w:tcW w:w="1361" w:type="dxa"/>
            <w:vAlign w:val="center"/>
          </w:tcPr>
          <w:p>
            <w:pPr>
              <w:pStyle w:val="12"/>
            </w:pPr>
            <w:r>
              <w:t>651.33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780.22</w:t>
            </w:r>
          </w:p>
        </w:tc>
        <w:tc>
          <w:tcPr>
            <w:tcW w:w="1361" w:type="dxa"/>
            <w:vAlign w:val="center"/>
          </w:tcPr>
          <w:p>
            <w:pPr>
              <w:pStyle w:val="12"/>
            </w:pPr>
            <w:r>
              <w:t>666.89</w:t>
            </w:r>
          </w:p>
        </w:tc>
        <w:tc>
          <w:tcPr>
            <w:tcW w:w="1361" w:type="dxa"/>
            <w:vAlign w:val="center"/>
          </w:tcPr>
          <w:p>
            <w:pPr>
              <w:pStyle w:val="12"/>
            </w:pPr>
            <w:r>
              <w:t>113.33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2010604</w:t>
            </w:r>
          </w:p>
        </w:tc>
        <w:tc>
          <w:tcPr>
            <w:tcW w:w="4535" w:type="dxa"/>
            <w:vAlign w:val="center"/>
          </w:tcPr>
          <w:p>
            <w:pPr>
              <w:pStyle w:val="13"/>
            </w:pPr>
            <w:r>
              <w:t>预算改革业务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2010605</w:t>
            </w:r>
          </w:p>
        </w:tc>
        <w:tc>
          <w:tcPr>
            <w:tcW w:w="4535" w:type="dxa"/>
            <w:vAlign w:val="center"/>
          </w:tcPr>
          <w:p>
            <w:pPr>
              <w:pStyle w:val="13"/>
            </w:pPr>
            <w:r>
              <w:t>财政国库业务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2010606</w:t>
            </w:r>
          </w:p>
        </w:tc>
        <w:tc>
          <w:tcPr>
            <w:tcW w:w="4535" w:type="dxa"/>
            <w:vAlign w:val="center"/>
          </w:tcPr>
          <w:p>
            <w:pPr>
              <w:pStyle w:val="13"/>
            </w:pPr>
            <w:r>
              <w:t>财政监察</w:t>
            </w: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r>
              <w:t>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2010607</w:t>
            </w:r>
          </w:p>
        </w:tc>
        <w:tc>
          <w:tcPr>
            <w:tcW w:w="4535" w:type="dxa"/>
            <w:vAlign w:val="center"/>
          </w:tcPr>
          <w:p>
            <w:pPr>
              <w:pStyle w:val="13"/>
            </w:pPr>
            <w:r>
              <w:t>信息化建设</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2010608</w:t>
            </w:r>
          </w:p>
        </w:tc>
        <w:tc>
          <w:tcPr>
            <w:tcW w:w="4535" w:type="dxa"/>
            <w:vAlign w:val="center"/>
          </w:tcPr>
          <w:p>
            <w:pPr>
              <w:pStyle w:val="13"/>
            </w:pPr>
            <w:r>
              <w:t>财政委托业务支出</w:t>
            </w: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r>
              <w:t>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57.00</w:t>
            </w:r>
          </w:p>
        </w:tc>
        <w:tc>
          <w:tcPr>
            <w:tcW w:w="1361" w:type="dxa"/>
            <w:vAlign w:val="center"/>
          </w:tcPr>
          <w:p>
            <w:pPr>
              <w:pStyle w:val="12"/>
            </w:pPr>
            <w:r>
              <w:t>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57.00</w:t>
            </w:r>
          </w:p>
        </w:tc>
        <w:tc>
          <w:tcPr>
            <w:tcW w:w="1361" w:type="dxa"/>
            <w:vAlign w:val="center"/>
          </w:tcPr>
          <w:p>
            <w:pPr>
              <w:pStyle w:val="12"/>
            </w:pPr>
            <w:r>
              <w:t>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36.00</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21.00</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18.33</w:t>
            </w:r>
          </w:p>
        </w:tc>
        <w:tc>
          <w:tcPr>
            <w:tcW w:w="1361" w:type="dxa"/>
            <w:vAlign w:val="center"/>
          </w:tcPr>
          <w:p>
            <w:pPr>
              <w:pStyle w:val="12"/>
            </w:pPr>
            <w:r>
              <w:t>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18.33</w:t>
            </w:r>
          </w:p>
        </w:tc>
        <w:tc>
          <w:tcPr>
            <w:tcW w:w="1361" w:type="dxa"/>
            <w:vAlign w:val="center"/>
          </w:tcPr>
          <w:p>
            <w:pPr>
              <w:pStyle w:val="12"/>
            </w:pPr>
            <w:r>
              <w:t>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18.33</w:t>
            </w:r>
          </w:p>
        </w:tc>
        <w:tc>
          <w:tcPr>
            <w:tcW w:w="1361" w:type="dxa"/>
            <w:vAlign w:val="center"/>
          </w:tcPr>
          <w:p>
            <w:pPr>
              <w:pStyle w:val="12"/>
            </w:pPr>
            <w:r>
              <w:t>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28.00</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1481.55</w:t>
            </w:r>
          </w:p>
        </w:tc>
        <w:tc>
          <w:tcPr>
            <w:tcW w:w="3402" w:type="dxa"/>
            <w:vAlign w:val="center"/>
          </w:tcPr>
          <w:p>
            <w:pPr>
              <w:pStyle w:val="13"/>
            </w:pPr>
            <w:r>
              <w:t>一、一般公共服务支出</w:t>
            </w:r>
          </w:p>
        </w:tc>
        <w:tc>
          <w:tcPr>
            <w:tcW w:w="1474" w:type="dxa"/>
            <w:vAlign w:val="center"/>
          </w:tcPr>
          <w:p>
            <w:pPr>
              <w:pStyle w:val="12"/>
            </w:pPr>
            <w:r>
              <w:t>1368.22</w:t>
            </w:r>
          </w:p>
        </w:tc>
        <w:tc>
          <w:tcPr>
            <w:tcW w:w="1474" w:type="dxa"/>
            <w:vAlign w:val="center"/>
          </w:tcPr>
          <w:p>
            <w:pPr>
              <w:pStyle w:val="12"/>
            </w:pPr>
            <w:r>
              <w:t>1368.22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57.00</w:t>
            </w:r>
          </w:p>
        </w:tc>
        <w:tc>
          <w:tcPr>
            <w:tcW w:w="1474" w:type="dxa"/>
            <w:vAlign w:val="center"/>
          </w:tcPr>
          <w:p>
            <w:pPr>
              <w:pStyle w:val="12"/>
            </w:pPr>
            <w:r>
              <w:t>57.00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18.33</w:t>
            </w:r>
          </w:p>
        </w:tc>
        <w:tc>
          <w:tcPr>
            <w:tcW w:w="1474" w:type="dxa"/>
            <w:vAlign w:val="center"/>
          </w:tcPr>
          <w:p>
            <w:pPr>
              <w:pStyle w:val="12"/>
            </w:pPr>
            <w:r>
              <w:t>18.33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10.73</w:t>
            </w:r>
          </w:p>
        </w:tc>
        <w:tc>
          <w:tcPr>
            <w:tcW w:w="1474" w:type="dxa"/>
            <w:vAlign w:val="center"/>
          </w:tcPr>
          <w:p>
            <w:pPr>
              <w:pStyle w:val="12"/>
            </w:pPr>
            <w:r>
              <w:t>10.73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28.00</w:t>
            </w:r>
          </w:p>
        </w:tc>
        <w:tc>
          <w:tcPr>
            <w:tcW w:w="1474" w:type="dxa"/>
            <w:vAlign w:val="center"/>
          </w:tcPr>
          <w:p>
            <w:pPr>
              <w:pStyle w:val="12"/>
            </w:pPr>
            <w:r>
              <w:t>28.00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1481.55</w:t>
            </w:r>
          </w:p>
        </w:tc>
        <w:tc>
          <w:tcPr>
            <w:tcW w:w="3402" w:type="dxa"/>
            <w:vAlign w:val="center"/>
          </w:tcPr>
          <w:p>
            <w:pPr>
              <w:pStyle w:val="15"/>
            </w:pPr>
            <w:r>
              <w:t>本年支出合计</w:t>
            </w:r>
          </w:p>
        </w:tc>
        <w:tc>
          <w:tcPr>
            <w:tcW w:w="1474" w:type="dxa"/>
            <w:vAlign w:val="center"/>
          </w:tcPr>
          <w:p>
            <w:pPr>
              <w:pStyle w:val="16"/>
            </w:pPr>
            <w:r>
              <w:t>1482.28</w:t>
            </w:r>
          </w:p>
        </w:tc>
        <w:tc>
          <w:tcPr>
            <w:tcW w:w="1474" w:type="dxa"/>
            <w:vAlign w:val="center"/>
          </w:tcPr>
          <w:p>
            <w:pPr>
              <w:pStyle w:val="16"/>
            </w:pPr>
            <w:r>
              <w:t>1482.28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0.73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0.73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1482.28</w:t>
            </w:r>
          </w:p>
        </w:tc>
        <w:tc>
          <w:tcPr>
            <w:tcW w:w="3402" w:type="dxa"/>
            <w:vAlign w:val="center"/>
          </w:tcPr>
          <w:p>
            <w:pPr>
              <w:pStyle w:val="15"/>
            </w:pPr>
            <w:r>
              <w:t>支出总计</w:t>
            </w:r>
          </w:p>
        </w:tc>
        <w:tc>
          <w:tcPr>
            <w:tcW w:w="1474" w:type="dxa"/>
            <w:vAlign w:val="center"/>
          </w:tcPr>
          <w:p>
            <w:pPr>
              <w:pStyle w:val="16"/>
            </w:pPr>
            <w:r>
              <w:t>1482.28</w:t>
            </w:r>
          </w:p>
        </w:tc>
        <w:tc>
          <w:tcPr>
            <w:tcW w:w="1474" w:type="dxa"/>
            <w:vAlign w:val="center"/>
          </w:tcPr>
          <w:p>
            <w:pPr>
              <w:pStyle w:val="16"/>
            </w:pPr>
            <w:r>
              <w:t>1482.28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1482.28</w:t>
            </w:r>
          </w:p>
        </w:tc>
        <w:tc>
          <w:tcPr>
            <w:tcW w:w="2551" w:type="dxa"/>
            <w:vAlign w:val="center"/>
          </w:tcPr>
          <w:p>
            <w:pPr>
              <w:pStyle w:val="16"/>
            </w:pPr>
            <w:r>
              <w:t>770.22</w:t>
            </w:r>
          </w:p>
        </w:tc>
        <w:tc>
          <w:tcPr>
            <w:tcW w:w="2551" w:type="dxa"/>
            <w:vAlign w:val="center"/>
          </w:tcPr>
          <w:p>
            <w:pPr>
              <w:pStyle w:val="16"/>
            </w:pPr>
            <w:r>
              <w:t>712.06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1368.22</w:t>
            </w:r>
          </w:p>
        </w:tc>
        <w:tc>
          <w:tcPr>
            <w:tcW w:w="2551" w:type="dxa"/>
            <w:vAlign w:val="center"/>
          </w:tcPr>
          <w:p>
            <w:pPr>
              <w:pStyle w:val="12"/>
            </w:pPr>
            <w:r>
              <w:t>666.89</w:t>
            </w:r>
          </w:p>
        </w:tc>
        <w:tc>
          <w:tcPr>
            <w:tcW w:w="2551" w:type="dxa"/>
            <w:vAlign w:val="center"/>
          </w:tcPr>
          <w:p>
            <w:pPr>
              <w:pStyle w:val="12"/>
            </w:pPr>
            <w:r>
              <w:t>701.33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1318.22</w:t>
            </w:r>
          </w:p>
        </w:tc>
        <w:tc>
          <w:tcPr>
            <w:tcW w:w="2551" w:type="dxa"/>
            <w:vAlign w:val="center"/>
          </w:tcPr>
          <w:p>
            <w:pPr>
              <w:pStyle w:val="12"/>
            </w:pPr>
            <w:r>
              <w:t>666.89</w:t>
            </w:r>
          </w:p>
        </w:tc>
        <w:tc>
          <w:tcPr>
            <w:tcW w:w="2551" w:type="dxa"/>
            <w:vAlign w:val="center"/>
          </w:tcPr>
          <w:p>
            <w:pPr>
              <w:pStyle w:val="12"/>
            </w:pPr>
            <w:r>
              <w:t>651.33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780.22</w:t>
            </w:r>
          </w:p>
        </w:tc>
        <w:tc>
          <w:tcPr>
            <w:tcW w:w="2551" w:type="dxa"/>
            <w:vAlign w:val="center"/>
          </w:tcPr>
          <w:p>
            <w:pPr>
              <w:pStyle w:val="12"/>
            </w:pPr>
            <w:r>
              <w:t>666.89</w:t>
            </w:r>
          </w:p>
        </w:tc>
        <w:tc>
          <w:tcPr>
            <w:tcW w:w="2551" w:type="dxa"/>
            <w:vAlign w:val="center"/>
          </w:tcPr>
          <w:p>
            <w:pPr>
              <w:pStyle w:val="12"/>
            </w:pPr>
            <w:r>
              <w:t>113.33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2010604</w:t>
            </w:r>
          </w:p>
        </w:tc>
        <w:tc>
          <w:tcPr>
            <w:tcW w:w="4535" w:type="dxa"/>
            <w:vAlign w:val="center"/>
          </w:tcPr>
          <w:p>
            <w:pPr>
              <w:pStyle w:val="13"/>
            </w:pPr>
            <w:r>
              <w:t>预算改革业务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2010605</w:t>
            </w:r>
          </w:p>
        </w:tc>
        <w:tc>
          <w:tcPr>
            <w:tcW w:w="4535" w:type="dxa"/>
            <w:vAlign w:val="center"/>
          </w:tcPr>
          <w:p>
            <w:pPr>
              <w:pStyle w:val="13"/>
            </w:pPr>
            <w:r>
              <w:t>财政国库业务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2010606</w:t>
            </w:r>
          </w:p>
        </w:tc>
        <w:tc>
          <w:tcPr>
            <w:tcW w:w="4535" w:type="dxa"/>
            <w:vAlign w:val="center"/>
          </w:tcPr>
          <w:p>
            <w:pPr>
              <w:pStyle w:val="13"/>
            </w:pPr>
            <w:r>
              <w:t>财政监察</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2010607</w:t>
            </w:r>
          </w:p>
        </w:tc>
        <w:tc>
          <w:tcPr>
            <w:tcW w:w="4535" w:type="dxa"/>
            <w:vAlign w:val="center"/>
          </w:tcPr>
          <w:p>
            <w:pPr>
              <w:pStyle w:val="13"/>
            </w:pPr>
            <w:r>
              <w:t>信息化建设</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2010608</w:t>
            </w:r>
          </w:p>
        </w:tc>
        <w:tc>
          <w:tcPr>
            <w:tcW w:w="4535" w:type="dxa"/>
            <w:vAlign w:val="center"/>
          </w:tcPr>
          <w:p>
            <w:pPr>
              <w:pStyle w:val="13"/>
            </w:pPr>
            <w:r>
              <w:t>财政委托业务支出</w:t>
            </w:r>
          </w:p>
        </w:tc>
        <w:tc>
          <w:tcPr>
            <w:tcW w:w="2551" w:type="dxa"/>
            <w:vAlign w:val="center"/>
          </w:tcPr>
          <w:p>
            <w:pPr>
              <w:pStyle w:val="12"/>
            </w:pPr>
            <w:r>
              <w:t>400.00</w:t>
            </w:r>
          </w:p>
        </w:tc>
        <w:tc>
          <w:tcPr>
            <w:tcW w:w="2551" w:type="dxa"/>
            <w:vAlign w:val="center"/>
          </w:tcPr>
          <w:p>
            <w:pPr>
              <w:pStyle w:val="12"/>
            </w:pPr>
          </w:p>
        </w:tc>
        <w:tc>
          <w:tcPr>
            <w:tcW w:w="2551" w:type="dxa"/>
            <w:vAlign w:val="center"/>
          </w:tcPr>
          <w:p>
            <w:pPr>
              <w:pStyle w:val="12"/>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57.00</w:t>
            </w:r>
          </w:p>
        </w:tc>
        <w:tc>
          <w:tcPr>
            <w:tcW w:w="2551" w:type="dxa"/>
            <w:vAlign w:val="center"/>
          </w:tcPr>
          <w:p>
            <w:pPr>
              <w:pStyle w:val="12"/>
            </w:pPr>
            <w:r>
              <w:t>57.00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57.00</w:t>
            </w:r>
          </w:p>
        </w:tc>
        <w:tc>
          <w:tcPr>
            <w:tcW w:w="2551" w:type="dxa"/>
            <w:vAlign w:val="center"/>
          </w:tcPr>
          <w:p>
            <w:pPr>
              <w:pStyle w:val="12"/>
            </w:pPr>
            <w:r>
              <w:t>57.00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21.00</w:t>
            </w:r>
          </w:p>
        </w:tc>
        <w:tc>
          <w:tcPr>
            <w:tcW w:w="2551" w:type="dxa"/>
            <w:vAlign w:val="center"/>
          </w:tcPr>
          <w:p>
            <w:pPr>
              <w:pStyle w:val="12"/>
            </w:pPr>
            <w:r>
              <w:t>21.00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18.33</w:t>
            </w:r>
          </w:p>
        </w:tc>
        <w:tc>
          <w:tcPr>
            <w:tcW w:w="2551" w:type="dxa"/>
            <w:vAlign w:val="center"/>
          </w:tcPr>
          <w:p>
            <w:pPr>
              <w:pStyle w:val="12"/>
            </w:pPr>
            <w:r>
              <w:t>18.33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18.33</w:t>
            </w:r>
          </w:p>
        </w:tc>
        <w:tc>
          <w:tcPr>
            <w:tcW w:w="2551" w:type="dxa"/>
            <w:vAlign w:val="center"/>
          </w:tcPr>
          <w:p>
            <w:pPr>
              <w:pStyle w:val="12"/>
            </w:pPr>
            <w:r>
              <w:t>18.33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18.33</w:t>
            </w:r>
          </w:p>
        </w:tc>
        <w:tc>
          <w:tcPr>
            <w:tcW w:w="2551" w:type="dxa"/>
            <w:vAlign w:val="center"/>
          </w:tcPr>
          <w:p>
            <w:pPr>
              <w:pStyle w:val="12"/>
            </w:pPr>
            <w:r>
              <w:t>18.33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770.22</w:t>
            </w:r>
          </w:p>
        </w:tc>
        <w:tc>
          <w:tcPr>
            <w:tcW w:w="2551" w:type="dxa"/>
            <w:vAlign w:val="center"/>
          </w:tcPr>
          <w:p>
            <w:pPr>
              <w:pStyle w:val="16"/>
            </w:pPr>
            <w:r>
              <w:t>755.22</w:t>
            </w:r>
          </w:p>
        </w:tc>
        <w:tc>
          <w:tcPr>
            <w:tcW w:w="2551" w:type="dxa"/>
            <w:vAlign w:val="center"/>
          </w:tcPr>
          <w:p>
            <w:pPr>
              <w:pStyle w:val="16"/>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754.44</w:t>
            </w:r>
          </w:p>
        </w:tc>
        <w:tc>
          <w:tcPr>
            <w:tcW w:w="2551" w:type="dxa"/>
            <w:vAlign w:val="center"/>
          </w:tcPr>
          <w:p>
            <w:pPr>
              <w:pStyle w:val="12"/>
            </w:pPr>
            <w:r>
              <w:t>754.44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155.00</w:t>
            </w:r>
          </w:p>
        </w:tc>
        <w:tc>
          <w:tcPr>
            <w:tcW w:w="2551" w:type="dxa"/>
            <w:vAlign w:val="center"/>
          </w:tcPr>
          <w:p>
            <w:pPr>
              <w:pStyle w:val="12"/>
            </w:pPr>
            <w:r>
              <w:t>155.00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29.15</w:t>
            </w:r>
          </w:p>
        </w:tc>
        <w:tc>
          <w:tcPr>
            <w:tcW w:w="2551" w:type="dxa"/>
            <w:vAlign w:val="center"/>
          </w:tcPr>
          <w:p>
            <w:pPr>
              <w:pStyle w:val="12"/>
            </w:pPr>
            <w:r>
              <w:t>29.15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16.91</w:t>
            </w:r>
          </w:p>
        </w:tc>
        <w:tc>
          <w:tcPr>
            <w:tcW w:w="2551" w:type="dxa"/>
            <w:vAlign w:val="center"/>
          </w:tcPr>
          <w:p>
            <w:pPr>
              <w:pStyle w:val="12"/>
            </w:pPr>
            <w:r>
              <w:t>16.91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49.05</w:t>
            </w:r>
          </w:p>
        </w:tc>
        <w:tc>
          <w:tcPr>
            <w:tcW w:w="2551" w:type="dxa"/>
            <w:vAlign w:val="center"/>
          </w:tcPr>
          <w:p>
            <w:pPr>
              <w:pStyle w:val="12"/>
            </w:pPr>
            <w:r>
              <w:t>49.05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21.00</w:t>
            </w:r>
          </w:p>
        </w:tc>
        <w:tc>
          <w:tcPr>
            <w:tcW w:w="2551" w:type="dxa"/>
            <w:vAlign w:val="center"/>
          </w:tcPr>
          <w:p>
            <w:pPr>
              <w:pStyle w:val="12"/>
            </w:pPr>
            <w:r>
              <w:t>21.00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18.33</w:t>
            </w:r>
          </w:p>
        </w:tc>
        <w:tc>
          <w:tcPr>
            <w:tcW w:w="2551" w:type="dxa"/>
            <w:vAlign w:val="center"/>
          </w:tcPr>
          <w:p>
            <w:pPr>
              <w:pStyle w:val="12"/>
            </w:pPr>
            <w:r>
              <w:t>18.33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28.00</w:t>
            </w:r>
          </w:p>
        </w:tc>
        <w:tc>
          <w:tcPr>
            <w:tcW w:w="2551" w:type="dxa"/>
            <w:vAlign w:val="center"/>
          </w:tcPr>
          <w:p>
            <w:pPr>
              <w:pStyle w:val="12"/>
            </w:pPr>
            <w:r>
              <w:t>28.00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400.00</w:t>
            </w:r>
          </w:p>
        </w:tc>
        <w:tc>
          <w:tcPr>
            <w:tcW w:w="2551" w:type="dxa"/>
            <w:vAlign w:val="center"/>
          </w:tcPr>
          <w:p>
            <w:pPr>
              <w:pStyle w:val="12"/>
            </w:pPr>
            <w:r>
              <w:t>400.00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0.78</w:t>
            </w:r>
          </w:p>
        </w:tc>
        <w:tc>
          <w:tcPr>
            <w:tcW w:w="2551" w:type="dxa"/>
            <w:vAlign w:val="center"/>
          </w:tcPr>
          <w:p>
            <w:pPr>
              <w:pStyle w:val="12"/>
            </w:pPr>
            <w:r>
              <w:t>0.78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0.78</w:t>
            </w:r>
          </w:p>
        </w:tc>
        <w:tc>
          <w:tcPr>
            <w:tcW w:w="2551" w:type="dxa"/>
            <w:vAlign w:val="center"/>
          </w:tcPr>
          <w:p>
            <w:pPr>
              <w:pStyle w:val="12"/>
            </w:pPr>
            <w:r>
              <w:t>0.78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318馆陶县财政局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3.00</w:t>
            </w:r>
          </w:p>
        </w:tc>
        <w:tc>
          <w:tcPr>
            <w:tcW w:w="2381" w:type="dxa"/>
            <w:vAlign w:val="center"/>
          </w:tcPr>
          <w:p>
            <w:pPr>
              <w:pStyle w:val="16"/>
            </w:pPr>
            <w:r>
              <w:t>3.00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1.50</w:t>
            </w:r>
          </w:p>
        </w:tc>
        <w:tc>
          <w:tcPr>
            <w:tcW w:w="2381" w:type="dxa"/>
            <w:vAlign w:val="center"/>
          </w:tcPr>
          <w:p>
            <w:pPr>
              <w:pStyle w:val="12"/>
            </w:pPr>
            <w:r>
              <w:t>1.50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1.50</w:t>
            </w:r>
          </w:p>
        </w:tc>
        <w:tc>
          <w:tcPr>
            <w:tcW w:w="2381" w:type="dxa"/>
            <w:vAlign w:val="center"/>
          </w:tcPr>
          <w:p>
            <w:pPr>
              <w:pStyle w:val="12"/>
            </w:pPr>
            <w:r>
              <w:t>1.50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1.50</w:t>
            </w:r>
          </w:p>
        </w:tc>
        <w:tc>
          <w:tcPr>
            <w:tcW w:w="2381" w:type="dxa"/>
            <w:vAlign w:val="center"/>
          </w:tcPr>
          <w:p>
            <w:pPr>
              <w:pStyle w:val="12"/>
            </w:pPr>
            <w:r>
              <w:t>1.50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18"/>
      </w:pPr>
      <w:r>
        <w:t>（二）财政资源配置管理：通过对上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18"/>
      </w:pPr>
      <w:r>
        <w:t>（三）财政体制管理：执行国家预算管理体制和管理体制，制定地方预算管理体制、管理制度。及时发现实现财政运行中存在的问题，提出针对性的意见建议。</w:t>
      </w:r>
    </w:p>
    <w:p>
      <w:pPr>
        <w:pStyle w:val="18"/>
      </w:pPr>
      <w:r>
        <w:t>（四）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18"/>
      </w:pPr>
      <w:r>
        <w:t>（五）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18"/>
      </w:pPr>
      <w:r>
        <w:t>（六）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18"/>
      </w:pPr>
      <w:r>
        <w:t>（七）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18"/>
      </w:pPr>
      <w:r>
        <w:t>（八）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18"/>
      </w:pPr>
      <w:r>
        <w:t>（九）政府专项工作服务与管理：政府采购、农村综合改革、政府债务、综合治税、地下水超采、政府购买服务、规范津补贴等政府专项工作的服务与管理。规范政府专项工作的服务与管理。</w:t>
      </w:r>
    </w:p>
    <w:p>
      <w:pPr>
        <w:pStyle w:val="18"/>
      </w:pPr>
      <w:r>
        <w:t>（十）财政政务管理：负责财政系统综合业务管理和机关综合事务管理。负责财政系统综合业务管理和机关综合事务管理。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pPr>
              <w:pStyle w:val="13"/>
            </w:pPr>
            <w:r>
              <w:t>馆陶县财政局本级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按照预算管理有关规定，目前部门预算的编制实行综合预算管理，即全部收入和支出都反映在预算中。馆陶县财政局机关及所属事业单位的收支包含在部门预算中。</w:t>
      </w:r>
    </w:p>
    <w:p>
      <w:pPr>
        <w:pStyle w:val="19"/>
      </w:pPr>
      <w:r>
        <w:t>1、收入说明</w:t>
      </w:r>
    </w:p>
    <w:p>
      <w:pPr>
        <w:pStyle w:val="19"/>
      </w:pPr>
      <w:r>
        <w:t>反映本部门当年全部收入。2025年预算收入1482.28万元，其中：一般公共预算收入1481.55万元，基金预算收入0.00万元，国有资本经营预算收入0.00万元，财政专户核拨收入0.00万元，单位资金收入0.00万元，上年结转结余0.73万元。</w:t>
      </w:r>
    </w:p>
    <w:p>
      <w:pPr>
        <w:pStyle w:val="19"/>
      </w:pPr>
      <w:r>
        <w:t>2、支出说明</w:t>
      </w:r>
    </w:p>
    <w:p>
      <w:pPr>
        <w:pStyle w:val="19"/>
      </w:pPr>
      <w:r>
        <w:t>收支预算总表支出栏、基本支出表、项目支出表按经济分类和支出功能分类科目编制，反映馆陶县财政局年度部门预算中支出预算的总体情况。2025年支出预算1482.28万元，其中基本支出770.22万元，包括人员经费755.22万元和日常公用经费15.00万元；项目支出712.06万元，主要为预算评审经费400万元、农村财会人员培训资金10万元、财政监督工作经费32万元、财政收入征管经费51万元、财政信息化建设工作经费30万元、财政专项工作经费17.33万元、档案管理工作经费8万元、国库电子支付工作经费38万元、国有资产管理工作经费26万元、会计培训经费11万元、央企招商工作经费50万元、预算绩效改革经费38万元、冀财农[2023]165号 关于提前下达2024年省级农村财会人员培训资金预算的通知0.73万元。</w:t>
      </w:r>
    </w:p>
    <w:p>
      <w:pPr>
        <w:pStyle w:val="19"/>
      </w:pPr>
      <w:r>
        <w:t>3、比上年增减情况</w:t>
      </w:r>
    </w:p>
    <w:p>
      <w:pPr>
        <w:pStyle w:val="19"/>
      </w:pPr>
      <w:r>
        <w:t>2025年预算收支安排1482.28万元，较2024年预算增加84.29万元，其中：基本支出增加90.56万元，主要为人员经费增加。项目支出减少6.27万元，主要为财政收入征管经费、财政信息化建设工作经费、国库电子支付工作经费减少。</w:t>
      </w:r>
    </w:p>
    <w:p>
      <w:pPr>
        <w:spacing w:before="10" w:after="10" w:line="240" w:lineRule="auto"/>
        <w:ind w:firstLine="640"/>
        <w:jc w:val="left"/>
        <w:outlineLvl w:val="5"/>
      </w:pPr>
      <w:bookmarkStart w:id="11" w:name="_Toc_3_3_0000000013"/>
      <w:r>
        <w:rPr>
          <w:rFonts w:ascii="黑体" w:hAnsi="黑体" w:eastAsia="黑体" w:cs="黑体"/>
          <w:color w:val="000000"/>
          <w:sz w:val="32"/>
        </w:rPr>
        <w:t>三、机关运行经费安排情况</w:t>
      </w:r>
    </w:p>
    <w:p>
      <w:pPr>
        <w:pStyle w:val="26"/>
      </w:pPr>
      <w:r>
        <w:t>2025年，我</w:t>
      </w:r>
      <w:r>
        <w:rPr>
          <w:rFonts w:hint="eastAsia"/>
          <w:lang w:val="en-US" w:eastAsia="zh-CN"/>
        </w:rPr>
        <w:t>部门</w:t>
      </w:r>
      <w:r>
        <w:t>机关运行经费共计安排</w:t>
      </w:r>
      <w:r>
        <w:rPr>
          <w:rFonts w:hint="eastAsia"/>
        </w:rPr>
        <w:t>15.00万元，主要用于日常维修、办公用房水电费、办公用房取暖费、办公用房物业管理费等日常运行支出。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1"/>
    </w:p>
    <w:p>
      <w:pPr>
        <w:pStyle w:val="21"/>
      </w:pPr>
      <w:r>
        <w:t>2025年，我部门财政拨款“三公”经费预算安排3.00万元，其中因公出国（境）费0.00万元；公务用车购置及运维费1.50万元（其中：公务用车购置费为0.00万元，公务用车运维费1.50万元)；公务接待费1.50万元。与2024年相比减少0.80万元，增减变化的主要原因是公务用车运行维护费及公务接待费减少。</w:t>
      </w: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深化税收制度改革，研究完善和规范地方性税收法规，规范税收优惠政策，监督检查税政政策执行情况。对财政性资金拟安排的建设项目预算进行评价审查；对已安排建设项目、建设项目竣工财务结（决）算以及建设类项目投资效果进行评价审查；对县本级财政专项资金安排的项目进行追踪问效和核查。研究制定完善的预算政策体系，提高预算管理的科学化水平。统筹县级财力，强化绩效预算管理，科学编制政府绩效预算。规范预算执行，合理组织财政各项支出，促进社会事业发展。推进预算公开，实施全面规范、公开透明。加大绩效预算的执行力度和信息化建设平台，规范预算执行，合理组织财政各项支出，促进社会事业发展。推进预算公开，实施全面规范、公开透明的预算制度。2025年着力保障民生,支持全县经济发展,建设一批新的项目进行投产运行,保障地方财力后劲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1、绩效目标：制定完善的预算政策体系</w:t>
      </w:r>
    </w:p>
    <w:p>
      <w:pPr>
        <w:pStyle w:val="23"/>
      </w:pPr>
      <w:r>
        <w:t>绩效指标：支出完成率、执行完成率</w:t>
      </w:r>
    </w:p>
    <w:p>
      <w:pPr>
        <w:pStyle w:val="23"/>
      </w:pPr>
      <w:r>
        <w:t>2、绩效目标：研究完善地方性行政法规</w:t>
      </w:r>
    </w:p>
    <w:p>
      <w:pPr>
        <w:pStyle w:val="23"/>
      </w:pPr>
      <w:r>
        <w:t>绩效指标：税收改革效果、群众满意度</w:t>
      </w:r>
    </w:p>
    <w:p>
      <w:pPr>
        <w:pStyle w:val="23"/>
      </w:pPr>
      <w:r>
        <w:t>3、绩效目标：对财政性资金拟安排的项目进行审查</w:t>
      </w:r>
    </w:p>
    <w:p>
      <w:pPr>
        <w:pStyle w:val="23"/>
      </w:pPr>
      <w:r>
        <w:t>绩效指标：项目评审数量、审减金额</w:t>
      </w:r>
    </w:p>
    <w:p>
      <w:pPr>
        <w:pStyle w:val="23"/>
      </w:pPr>
      <w:r>
        <w:t>4、绩效目标：加强国库电子化支付的管理和规范</w:t>
      </w:r>
    </w:p>
    <w:p>
      <w:pPr>
        <w:pStyle w:val="23"/>
      </w:pPr>
      <w:r>
        <w:t>绩效指标：电子支付覆盖率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1、加强日常监控工作。及时发现项目运行中出现的问题，明确责任人，定期开展内部检查，出现不可抗拒因素，及时按程序进行调整和变更。</w:t>
      </w:r>
    </w:p>
    <w:p>
      <w:pPr>
        <w:pStyle w:val="24"/>
      </w:pPr>
      <w:r>
        <w:t>2、做好各项目支出绩效目标执行中的控制管理，确保资金对应绩效目标执行。</w:t>
      </w:r>
    </w:p>
    <w:p>
      <w:pPr>
        <w:pStyle w:val="24"/>
        <w:sectPr>
          <w:pgSz w:w="16840" w:h="11900" w:orient="landscape"/>
          <w:pgMar w:top="1361" w:right="1020" w:bottom="1361" w:left="1020" w:header="720" w:footer="720" w:gutter="0"/>
          <w:cols w:space="720" w:num="1"/>
        </w:sectPr>
      </w:pPr>
      <w:r>
        <w:t>3、强化项目推进过程管理，确保项目按计划推进，加强财务人员培训。</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5"/>
      <w:r>
        <w:rPr>
          <w:rFonts w:ascii="黑体" w:hAnsi="黑体" w:eastAsia="黑体" w:cs="黑体"/>
          <w:color w:val="000000"/>
          <w:sz w:val="32"/>
        </w:rPr>
        <w:t>六、部门主管专项资金预算安排情况及绩效目标</w:t>
      </w:r>
      <w:bookmarkEnd w:id="13"/>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1、财政监督工作经费绩效目标表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13043325P00006910002W</w:t>
            </w:r>
          </w:p>
        </w:tc>
        <w:tc>
          <w:tcPr>
            <w:tcW w:w="2835" w:type="dxa"/>
            <w:vAlign w:val="center"/>
          </w:tcPr>
          <w:p>
            <w:pPr>
              <w:pStyle w:val="11"/>
            </w:pPr>
            <w:r>
              <w:t>项目名称</w:t>
            </w:r>
          </w:p>
        </w:tc>
        <w:tc>
          <w:tcPr>
            <w:tcW w:w="6095" w:type="dxa"/>
            <w:gridSpan w:val="3"/>
            <w:vAlign w:val="center"/>
          </w:tcPr>
          <w:p>
            <w:pPr>
              <w:pStyle w:val="13"/>
            </w:pPr>
            <w:r>
              <w:t>财政监督工作经费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用于财政监督工作开展，保障各项财政政策按规定执行，检查督导各单位各项财政政策执行情况。2025年计划搞好预算部门的会计信息质量检查和绩效评价评估工作。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1.用于财政监督工作开展，保障各项财政政策按规定执行，检查督导各单位各项财政政策执行情况。2025年计划搞好预算部门的会计信息质量检查和绩效评价评估工作。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会计信息质量检查单位</w:t>
            </w:r>
          </w:p>
        </w:tc>
        <w:tc>
          <w:tcPr>
            <w:tcW w:w="5386" w:type="dxa"/>
            <w:vAlign w:val="center"/>
          </w:tcPr>
          <w:p>
            <w:pPr>
              <w:pStyle w:val="13"/>
            </w:pPr>
            <w:r>
              <w:t>全年完成会计信息质量检查单位4个</w:t>
            </w:r>
          </w:p>
        </w:tc>
        <w:tc>
          <w:tcPr>
            <w:tcW w:w="2268" w:type="dxa"/>
            <w:vAlign w:val="center"/>
          </w:tcPr>
          <w:p>
            <w:pPr>
              <w:pStyle w:val="13"/>
            </w:pPr>
            <w:r>
              <w:t>4个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整改完成率</w:t>
            </w:r>
          </w:p>
        </w:tc>
        <w:tc>
          <w:tcPr>
            <w:tcW w:w="5386" w:type="dxa"/>
            <w:vAlign w:val="center"/>
          </w:tcPr>
          <w:p>
            <w:pPr>
              <w:pStyle w:val="13"/>
            </w:pPr>
            <w:r>
              <w:t>已整改单位数量/开展监督检查工作单位数量*100%</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按照工作计划设定时间及时完成监督检查各项工作</w:t>
            </w:r>
          </w:p>
        </w:tc>
        <w:tc>
          <w:tcPr>
            <w:tcW w:w="2268" w:type="dxa"/>
            <w:vAlign w:val="center"/>
          </w:tcPr>
          <w:p>
            <w:pPr>
              <w:pStyle w:val="13"/>
            </w:pPr>
            <w:r>
              <w:t>≤1年</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监督检查工作资金</w:t>
            </w:r>
          </w:p>
        </w:tc>
        <w:tc>
          <w:tcPr>
            <w:tcW w:w="5386" w:type="dxa"/>
            <w:vAlign w:val="center"/>
          </w:tcPr>
          <w:p>
            <w:pPr>
              <w:pStyle w:val="13"/>
            </w:pPr>
            <w:r>
              <w:t>开展监督检查工作资金</w:t>
            </w:r>
          </w:p>
        </w:tc>
        <w:tc>
          <w:tcPr>
            <w:tcW w:w="2268" w:type="dxa"/>
            <w:vAlign w:val="center"/>
          </w:tcPr>
          <w:p>
            <w:pPr>
              <w:pStyle w:val="13"/>
            </w:pPr>
            <w:r>
              <w:t>≤32万元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健全财务监督机制，保障各项财政政策按规定执行，保证经济秩序合理运行。</w:t>
            </w:r>
          </w:p>
        </w:tc>
        <w:tc>
          <w:tcPr>
            <w:tcW w:w="2268" w:type="dxa"/>
            <w:vAlign w:val="center"/>
          </w:tcPr>
          <w:p>
            <w:pPr>
              <w:pStyle w:val="13"/>
            </w:pPr>
            <w:r>
              <w:t>≥98%</w:t>
            </w:r>
          </w:p>
        </w:tc>
        <w:tc>
          <w:tcPr>
            <w:tcW w:w="1276" w:type="dxa"/>
            <w:vAlign w:val="center"/>
          </w:tcPr>
          <w:p>
            <w:pPr>
              <w:pStyle w:val="13"/>
            </w:pPr>
            <w:r>
              <w:t>检查执行完成情况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提高财政资金使用效益</w:t>
            </w:r>
          </w:p>
        </w:tc>
        <w:tc>
          <w:tcPr>
            <w:tcW w:w="5386" w:type="dxa"/>
            <w:vAlign w:val="center"/>
          </w:tcPr>
          <w:p>
            <w:pPr>
              <w:pStyle w:val="13"/>
            </w:pPr>
            <w:r>
              <w:t>通过财政监督工作开展，保障各项财政政策按规定执行，为促进社会健康发展作出贡献。</w:t>
            </w:r>
          </w:p>
        </w:tc>
        <w:tc>
          <w:tcPr>
            <w:tcW w:w="2268" w:type="dxa"/>
            <w:vAlign w:val="center"/>
          </w:tcPr>
          <w:p>
            <w:pPr>
              <w:pStyle w:val="13"/>
            </w:pPr>
            <w:r>
              <w:t>≥95%</w:t>
            </w:r>
          </w:p>
        </w:tc>
        <w:tc>
          <w:tcPr>
            <w:tcW w:w="1276" w:type="dxa"/>
            <w:vAlign w:val="center"/>
          </w:tcPr>
          <w:p>
            <w:pPr>
              <w:pStyle w:val="13"/>
            </w:pPr>
            <w:r>
              <w:t>财政监督检查职能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接受监督检查部门的满意度</w:t>
            </w:r>
          </w:p>
        </w:tc>
        <w:tc>
          <w:tcPr>
            <w:tcW w:w="5386" w:type="dxa"/>
            <w:vAlign w:val="center"/>
          </w:tcPr>
          <w:p>
            <w:pPr>
              <w:pStyle w:val="13"/>
            </w:pPr>
            <w:r>
              <w:t>预算部门对监督检查工作的满意度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2、财政收入征收经费绩效目标表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13043325P00006710002H</w:t>
            </w:r>
          </w:p>
        </w:tc>
        <w:tc>
          <w:tcPr>
            <w:tcW w:w="2835" w:type="dxa"/>
            <w:vAlign w:val="center"/>
          </w:tcPr>
          <w:p>
            <w:pPr>
              <w:pStyle w:val="11"/>
            </w:pPr>
            <w:r>
              <w:t>项目名称</w:t>
            </w:r>
          </w:p>
        </w:tc>
        <w:tc>
          <w:tcPr>
            <w:tcW w:w="6095" w:type="dxa"/>
            <w:gridSpan w:val="3"/>
            <w:vAlign w:val="center"/>
          </w:tcPr>
          <w:p>
            <w:pPr>
              <w:pStyle w:val="13"/>
            </w:pPr>
            <w:r>
              <w:t>财政收入征收经费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开展财政收入征收工作，深化财税制度改革，组织税收收入，规范税收政策，监督检查财税政策的执行情况，完成财税征收任务，促进县域经济发展。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1.开展财政收入征收工作，深化财税制度改革，组织税收收入，规范税收政策，监督检查财税政策的执行情况，完成财税征收任务，促进县域经济发展。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征收次数</w:t>
            </w:r>
          </w:p>
        </w:tc>
        <w:tc>
          <w:tcPr>
            <w:tcW w:w="5386" w:type="dxa"/>
            <w:vAlign w:val="center"/>
          </w:tcPr>
          <w:p>
            <w:pPr>
              <w:pStyle w:val="13"/>
            </w:pPr>
            <w:r>
              <w:t>全县组织税收按季度征收的次数</w:t>
            </w:r>
          </w:p>
        </w:tc>
        <w:tc>
          <w:tcPr>
            <w:tcW w:w="2268" w:type="dxa"/>
            <w:vAlign w:val="center"/>
          </w:tcPr>
          <w:p>
            <w:pPr>
              <w:pStyle w:val="13"/>
            </w:pPr>
            <w:r>
              <w:t>4次</w:t>
            </w:r>
          </w:p>
        </w:tc>
        <w:tc>
          <w:tcPr>
            <w:tcW w:w="1276" w:type="dxa"/>
            <w:vAlign w:val="center"/>
          </w:tcPr>
          <w:p>
            <w:pPr>
              <w:pStyle w:val="13"/>
            </w:pPr>
            <w:r>
              <w:t>《中华人民共和国预算法》及年初工作计划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收入征收达标率</w:t>
            </w:r>
          </w:p>
        </w:tc>
        <w:tc>
          <w:tcPr>
            <w:tcW w:w="5386" w:type="dxa"/>
            <w:vAlign w:val="center"/>
          </w:tcPr>
          <w:p>
            <w:pPr>
              <w:pStyle w:val="13"/>
            </w:pPr>
            <w:r>
              <w:t>实际收入完成数占计划征收的数比例</w:t>
            </w:r>
          </w:p>
        </w:tc>
        <w:tc>
          <w:tcPr>
            <w:tcW w:w="2268" w:type="dxa"/>
            <w:vAlign w:val="center"/>
          </w:tcPr>
          <w:p>
            <w:pPr>
              <w:pStyle w:val="13"/>
            </w:pPr>
            <w:r>
              <w:t>100%</w:t>
            </w:r>
          </w:p>
        </w:tc>
        <w:tc>
          <w:tcPr>
            <w:tcW w:w="1276" w:type="dxa"/>
            <w:vAlign w:val="center"/>
          </w:tcPr>
          <w:p>
            <w:pPr>
              <w:pStyle w:val="13"/>
            </w:pPr>
            <w:r>
              <w:t>财政系统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及时入库</w:t>
            </w:r>
          </w:p>
        </w:tc>
        <w:tc>
          <w:tcPr>
            <w:tcW w:w="5386" w:type="dxa"/>
            <w:vAlign w:val="center"/>
          </w:tcPr>
          <w:p>
            <w:pPr>
              <w:pStyle w:val="13"/>
            </w:pPr>
            <w:r>
              <w:t>财政收入按季度及时均衡入库</w:t>
            </w:r>
          </w:p>
        </w:tc>
        <w:tc>
          <w:tcPr>
            <w:tcW w:w="2268" w:type="dxa"/>
            <w:vAlign w:val="center"/>
          </w:tcPr>
          <w:p>
            <w:pPr>
              <w:pStyle w:val="13"/>
            </w:pPr>
            <w:r>
              <w:t>100%</w:t>
            </w:r>
          </w:p>
        </w:tc>
        <w:tc>
          <w:tcPr>
            <w:tcW w:w="1276" w:type="dxa"/>
            <w:vAlign w:val="center"/>
          </w:tcPr>
          <w:p>
            <w:pPr>
              <w:pStyle w:val="13"/>
            </w:pPr>
            <w:r>
              <w:t>财政系统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征收资金</w:t>
            </w:r>
          </w:p>
        </w:tc>
        <w:tc>
          <w:tcPr>
            <w:tcW w:w="5386" w:type="dxa"/>
            <w:vAlign w:val="center"/>
          </w:tcPr>
          <w:p>
            <w:pPr>
              <w:pStyle w:val="13"/>
            </w:pPr>
            <w:r>
              <w:t>开展收入征收工作所需的资金成本</w:t>
            </w:r>
          </w:p>
        </w:tc>
        <w:tc>
          <w:tcPr>
            <w:tcW w:w="2268" w:type="dxa"/>
            <w:vAlign w:val="center"/>
          </w:tcPr>
          <w:p>
            <w:pPr>
              <w:pStyle w:val="13"/>
            </w:pPr>
            <w:r>
              <w:t>≤51万元</w:t>
            </w:r>
          </w:p>
        </w:tc>
        <w:tc>
          <w:tcPr>
            <w:tcW w:w="1276" w:type="dxa"/>
            <w:vAlign w:val="center"/>
          </w:tcPr>
          <w:p>
            <w:pPr>
              <w:pStyle w:val="13"/>
            </w:pPr>
            <w:r>
              <w:t>经费测算表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完成财税征收任务，促进县域经济发展</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提高财税改革成功程度，提升社会效益</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被征收单位的满意度</w:t>
            </w:r>
          </w:p>
        </w:tc>
        <w:tc>
          <w:tcPr>
            <w:tcW w:w="5386" w:type="dxa"/>
            <w:vAlign w:val="center"/>
          </w:tcPr>
          <w:p>
            <w:pPr>
              <w:pStyle w:val="13"/>
            </w:pPr>
            <w:r>
              <w:t>被征收单位对财税征管工作的满意程度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3、财政信息化建设工作经费绩效目标表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13043325P00007110002N</w:t>
            </w:r>
          </w:p>
        </w:tc>
        <w:tc>
          <w:tcPr>
            <w:tcW w:w="2835" w:type="dxa"/>
            <w:vAlign w:val="center"/>
          </w:tcPr>
          <w:p>
            <w:pPr>
              <w:pStyle w:val="11"/>
            </w:pPr>
            <w:r>
              <w:t>项目名称</w:t>
            </w:r>
          </w:p>
        </w:tc>
        <w:tc>
          <w:tcPr>
            <w:tcW w:w="6095" w:type="dxa"/>
            <w:gridSpan w:val="3"/>
            <w:vAlign w:val="center"/>
          </w:tcPr>
          <w:p>
            <w:pPr>
              <w:pStyle w:val="13"/>
            </w:pPr>
            <w:r>
              <w:t>财政信息化建设工作经费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用于财政信息化建设工作，实现财政信息网络一体化平台的正常运行和普及，提高各预算部门工作效率。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1.用于财政信息化建设工作，实现财政信息网络一体化平台的正常运行和普及，提高各预算部门工作效率。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安装数量</w:t>
            </w:r>
          </w:p>
        </w:tc>
        <w:tc>
          <w:tcPr>
            <w:tcW w:w="5386" w:type="dxa"/>
            <w:vAlign w:val="center"/>
          </w:tcPr>
          <w:p>
            <w:pPr>
              <w:pStyle w:val="13"/>
            </w:pPr>
            <w:r>
              <w:t>一体化平台安装数量</w:t>
            </w:r>
          </w:p>
        </w:tc>
        <w:tc>
          <w:tcPr>
            <w:tcW w:w="2268" w:type="dxa"/>
            <w:vAlign w:val="center"/>
          </w:tcPr>
          <w:p>
            <w:pPr>
              <w:pStyle w:val="13"/>
            </w:pPr>
            <w:r>
              <w:t>100台</w:t>
            </w:r>
          </w:p>
        </w:tc>
        <w:tc>
          <w:tcPr>
            <w:tcW w:w="1276" w:type="dxa"/>
            <w:vAlign w:val="center"/>
          </w:tcPr>
          <w:p>
            <w:pPr>
              <w:pStyle w:val="13"/>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安装达标率</w:t>
            </w:r>
          </w:p>
        </w:tc>
        <w:tc>
          <w:tcPr>
            <w:tcW w:w="5386" w:type="dxa"/>
            <w:vAlign w:val="center"/>
          </w:tcPr>
          <w:p>
            <w:pPr>
              <w:pStyle w:val="13"/>
            </w:pPr>
            <w:r>
              <w:t>一体化平台安装达标数占安装总数的比例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按照合同规定时间按时完成一体化平台安装</w:t>
            </w:r>
          </w:p>
        </w:tc>
        <w:tc>
          <w:tcPr>
            <w:tcW w:w="2268" w:type="dxa"/>
            <w:vAlign w:val="center"/>
          </w:tcPr>
          <w:p>
            <w:pPr>
              <w:pStyle w:val="13"/>
            </w:pPr>
            <w:r>
              <w:t>≤1年</w:t>
            </w:r>
          </w:p>
        </w:tc>
        <w:tc>
          <w:tcPr>
            <w:tcW w:w="1276" w:type="dxa"/>
            <w:vAlign w:val="center"/>
          </w:tcPr>
          <w:p>
            <w:pPr>
              <w:pStyle w:val="13"/>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财政信息化建设各项工作资金</w:t>
            </w:r>
          </w:p>
        </w:tc>
        <w:tc>
          <w:tcPr>
            <w:tcW w:w="2268" w:type="dxa"/>
            <w:vAlign w:val="center"/>
          </w:tcPr>
          <w:p>
            <w:pPr>
              <w:pStyle w:val="13"/>
            </w:pPr>
            <w:r>
              <w:t>≤30万元</w:t>
            </w:r>
          </w:p>
        </w:tc>
        <w:tc>
          <w:tcPr>
            <w:tcW w:w="1276" w:type="dxa"/>
            <w:vAlign w:val="center"/>
          </w:tcPr>
          <w:p>
            <w:pPr>
              <w:pStyle w:val="13"/>
            </w:pPr>
            <w:r>
              <w:t>安装合同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提升信息化建设普及</w:t>
            </w:r>
          </w:p>
        </w:tc>
        <w:tc>
          <w:tcPr>
            <w:tcW w:w="5386" w:type="dxa"/>
            <w:vAlign w:val="center"/>
          </w:tcPr>
          <w:p>
            <w:pPr>
              <w:pStyle w:val="13"/>
            </w:pPr>
            <w:r>
              <w:t>运用先进的网络和信息技能，整合资源，构建先进、高效、实用的信息化系统，提升单位整体经济效益。</w:t>
            </w:r>
          </w:p>
        </w:tc>
        <w:tc>
          <w:tcPr>
            <w:tcW w:w="2268" w:type="dxa"/>
            <w:vAlign w:val="center"/>
          </w:tcPr>
          <w:p>
            <w:pPr>
              <w:pStyle w:val="13"/>
            </w:pPr>
            <w:r>
              <w:t>≥95%</w:t>
            </w:r>
          </w:p>
        </w:tc>
        <w:tc>
          <w:tcPr>
            <w:tcW w:w="1276" w:type="dxa"/>
            <w:vAlign w:val="center"/>
          </w:tcPr>
          <w:p>
            <w:pPr>
              <w:pStyle w:val="13"/>
            </w:pPr>
            <w:r>
              <w:t>财政信息化建设实施方案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增强部门信息化建设意识</w:t>
            </w:r>
          </w:p>
        </w:tc>
        <w:tc>
          <w:tcPr>
            <w:tcW w:w="5386" w:type="dxa"/>
            <w:vAlign w:val="center"/>
          </w:tcPr>
          <w:p>
            <w:pPr>
              <w:pStyle w:val="13"/>
            </w:pPr>
            <w:r>
              <w:t>实现财政信息网络一体化平台的日常正常运行，提高各预算部门工作效率，从而明显提升社会效益。</w:t>
            </w:r>
          </w:p>
        </w:tc>
        <w:tc>
          <w:tcPr>
            <w:tcW w:w="2268" w:type="dxa"/>
            <w:vAlign w:val="center"/>
          </w:tcPr>
          <w:p>
            <w:pPr>
              <w:pStyle w:val="13"/>
            </w:pPr>
            <w:r>
              <w:t>≥95%</w:t>
            </w:r>
          </w:p>
        </w:tc>
        <w:tc>
          <w:tcPr>
            <w:tcW w:w="1276" w:type="dxa"/>
            <w:vAlign w:val="center"/>
          </w:tcPr>
          <w:p>
            <w:pPr>
              <w:pStyle w:val="13"/>
            </w:pPr>
            <w:r>
              <w:t>财政信息化建设实施方案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预算部门满意度</w:t>
            </w:r>
          </w:p>
        </w:tc>
        <w:tc>
          <w:tcPr>
            <w:tcW w:w="5386" w:type="dxa"/>
            <w:vAlign w:val="center"/>
          </w:tcPr>
          <w:p>
            <w:pPr>
              <w:pStyle w:val="13"/>
            </w:pPr>
            <w:r>
              <w:t>预算部门对一体化平台的满意度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4、财政专项工作经费绩效目标表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13043325P00006610002U</w:t>
            </w:r>
          </w:p>
        </w:tc>
        <w:tc>
          <w:tcPr>
            <w:tcW w:w="2835" w:type="dxa"/>
            <w:vAlign w:val="center"/>
          </w:tcPr>
          <w:p>
            <w:pPr>
              <w:pStyle w:val="11"/>
            </w:pPr>
            <w:r>
              <w:t>项目名称</w:t>
            </w:r>
          </w:p>
        </w:tc>
        <w:tc>
          <w:tcPr>
            <w:tcW w:w="6095" w:type="dxa"/>
            <w:gridSpan w:val="3"/>
            <w:vAlign w:val="center"/>
          </w:tcPr>
          <w:p>
            <w:pPr>
              <w:pStyle w:val="13"/>
            </w:pPr>
            <w:r>
              <w:t>财政专项工作经费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17.33</w:t>
            </w:r>
          </w:p>
        </w:tc>
        <w:tc>
          <w:tcPr>
            <w:tcW w:w="2835" w:type="dxa"/>
            <w:vAlign w:val="center"/>
          </w:tcPr>
          <w:p>
            <w:pPr>
              <w:pStyle w:val="11"/>
            </w:pPr>
            <w:r>
              <w:t>其中：财政    资金</w:t>
            </w:r>
          </w:p>
        </w:tc>
        <w:tc>
          <w:tcPr>
            <w:tcW w:w="2551" w:type="dxa"/>
            <w:vAlign w:val="center"/>
          </w:tcPr>
          <w:p>
            <w:pPr>
              <w:pStyle w:val="13"/>
            </w:pPr>
            <w:r>
              <w:t>17.33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用于管理财政事务支出，深化税收制度改革，研究完善和规范地方性财政法规，监督检查财政政策执行情况。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1.用于管理财政事务支出，深化税收制度改革，研究完善和规范地方性财政法规，监督检查财政政策执行情况。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经费保障人员数量</w:t>
            </w:r>
          </w:p>
        </w:tc>
        <w:tc>
          <w:tcPr>
            <w:tcW w:w="5386" w:type="dxa"/>
            <w:vAlign w:val="center"/>
          </w:tcPr>
          <w:p>
            <w:pPr>
              <w:pStyle w:val="13"/>
            </w:pPr>
            <w:r>
              <w:t>资金支持机关办公人员数量</w:t>
            </w:r>
          </w:p>
        </w:tc>
        <w:tc>
          <w:tcPr>
            <w:tcW w:w="2268" w:type="dxa"/>
            <w:vAlign w:val="center"/>
          </w:tcPr>
          <w:p>
            <w:pPr>
              <w:pStyle w:val="13"/>
            </w:pPr>
            <w:r>
              <w:t>≥60人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经费实际拨付金额占应拨付金额的比率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财政专项经费使用工作完成时间</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完成财政日常工作需要的资金</w:t>
            </w:r>
          </w:p>
        </w:tc>
        <w:tc>
          <w:tcPr>
            <w:tcW w:w="2268" w:type="dxa"/>
            <w:vAlign w:val="center"/>
          </w:tcPr>
          <w:p>
            <w:pPr>
              <w:pStyle w:val="13"/>
            </w:pPr>
            <w:r>
              <w:t>≤17.33万元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循环利用率</w:t>
            </w:r>
          </w:p>
        </w:tc>
        <w:tc>
          <w:tcPr>
            <w:tcW w:w="5386" w:type="dxa"/>
            <w:vAlign w:val="center"/>
          </w:tcPr>
          <w:p>
            <w:pPr>
              <w:pStyle w:val="13"/>
            </w:pPr>
            <w:r>
              <w:t>提高社会办公资源循环利用率，管理财政事务支出，深化税收制度改革，研究完善和规范地方性财政法规，监督检查财政政策执行情况，保障财政日常工作正常运转。</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财政专项资金的运用可以推动经济发展，改善民生，推动社会进步。</w:t>
            </w:r>
          </w:p>
        </w:tc>
        <w:tc>
          <w:tcPr>
            <w:tcW w:w="2268" w:type="dxa"/>
            <w:vAlign w:val="center"/>
          </w:tcPr>
          <w:p>
            <w:pPr>
              <w:pStyle w:val="13"/>
            </w:pPr>
            <w:r>
              <w:t>≥90%</w:t>
            </w:r>
          </w:p>
        </w:tc>
        <w:tc>
          <w:tcPr>
            <w:tcW w:w="1276" w:type="dxa"/>
            <w:vAlign w:val="center"/>
          </w:tcPr>
          <w:p>
            <w:pPr>
              <w:pStyle w:val="13"/>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办公人员满意度</w:t>
            </w:r>
          </w:p>
        </w:tc>
        <w:tc>
          <w:tcPr>
            <w:tcW w:w="5386" w:type="dxa"/>
            <w:vAlign w:val="center"/>
          </w:tcPr>
          <w:p>
            <w:pPr>
              <w:pStyle w:val="13"/>
            </w:pPr>
            <w:r>
              <w:t>办公人员对机关办公运转情况的满意程度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5、档案管理工作经费绩效目标表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13043325P00007210002C</w:t>
            </w:r>
          </w:p>
        </w:tc>
        <w:tc>
          <w:tcPr>
            <w:tcW w:w="2835" w:type="dxa"/>
            <w:vAlign w:val="center"/>
          </w:tcPr>
          <w:p>
            <w:pPr>
              <w:pStyle w:val="11"/>
            </w:pPr>
            <w:r>
              <w:t>项目名称</w:t>
            </w:r>
          </w:p>
        </w:tc>
        <w:tc>
          <w:tcPr>
            <w:tcW w:w="6095" w:type="dxa"/>
            <w:gridSpan w:val="3"/>
            <w:vAlign w:val="center"/>
          </w:tcPr>
          <w:p>
            <w:pPr>
              <w:pStyle w:val="13"/>
            </w:pPr>
            <w:r>
              <w:t>档案管理工作经费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用于规范档案管理，达到省级规定的档案管理要求，确保单位正常运行，节约资源、提高效率，保证档案的质量与安全。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1.用于规范档案管理，达到省级规定的档案管理要求，确保单位正常运行，节约资源、提高效率，保证档案的质量与安全。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档案归档率</w:t>
            </w:r>
          </w:p>
        </w:tc>
        <w:tc>
          <w:tcPr>
            <w:tcW w:w="5386" w:type="dxa"/>
            <w:vAlign w:val="center"/>
          </w:tcPr>
          <w:p>
            <w:pPr>
              <w:pStyle w:val="13"/>
            </w:pPr>
            <w:r>
              <w:t>应归档档案/全部归档资料*100</w:t>
            </w:r>
          </w:p>
        </w:tc>
        <w:tc>
          <w:tcPr>
            <w:tcW w:w="2268" w:type="dxa"/>
            <w:vAlign w:val="center"/>
          </w:tcPr>
          <w:p>
            <w:pPr>
              <w:pStyle w:val="13"/>
            </w:pPr>
            <w:r>
              <w:t>100%</w:t>
            </w:r>
          </w:p>
        </w:tc>
        <w:tc>
          <w:tcPr>
            <w:tcW w:w="1276" w:type="dxa"/>
            <w:vAlign w:val="center"/>
          </w:tcPr>
          <w:p>
            <w:pPr>
              <w:pStyle w:val="13"/>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档案保存完好程度</w:t>
            </w:r>
          </w:p>
        </w:tc>
        <w:tc>
          <w:tcPr>
            <w:tcW w:w="5386" w:type="dxa"/>
            <w:vAlign w:val="center"/>
          </w:tcPr>
          <w:p>
            <w:pPr>
              <w:pStyle w:val="13"/>
            </w:pPr>
            <w:r>
              <w:t>档案保存完好数量占全部保存数量的比例</w:t>
            </w:r>
          </w:p>
        </w:tc>
        <w:tc>
          <w:tcPr>
            <w:tcW w:w="2268" w:type="dxa"/>
            <w:vAlign w:val="center"/>
          </w:tcPr>
          <w:p>
            <w:pPr>
              <w:pStyle w:val="13"/>
            </w:pPr>
            <w:r>
              <w:t>100%</w:t>
            </w:r>
          </w:p>
        </w:tc>
        <w:tc>
          <w:tcPr>
            <w:tcW w:w="1276" w:type="dxa"/>
            <w:vAlign w:val="center"/>
          </w:tcPr>
          <w:p>
            <w:pPr>
              <w:pStyle w:val="13"/>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及时归档</w:t>
            </w:r>
          </w:p>
        </w:tc>
        <w:tc>
          <w:tcPr>
            <w:tcW w:w="5386" w:type="dxa"/>
            <w:vAlign w:val="center"/>
          </w:tcPr>
          <w:p>
            <w:pPr>
              <w:pStyle w:val="13"/>
            </w:pPr>
            <w:r>
              <w:t>按计划按规定及时归档</w:t>
            </w:r>
          </w:p>
        </w:tc>
        <w:tc>
          <w:tcPr>
            <w:tcW w:w="2268" w:type="dxa"/>
            <w:vAlign w:val="center"/>
          </w:tcPr>
          <w:p>
            <w:pPr>
              <w:pStyle w:val="13"/>
            </w:pPr>
            <w:r>
              <w:t>≤1年</w:t>
            </w:r>
          </w:p>
        </w:tc>
        <w:tc>
          <w:tcPr>
            <w:tcW w:w="1276" w:type="dxa"/>
            <w:vAlign w:val="center"/>
          </w:tcPr>
          <w:p>
            <w:pPr>
              <w:pStyle w:val="13"/>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档案管理工作资金</w:t>
            </w:r>
          </w:p>
        </w:tc>
        <w:tc>
          <w:tcPr>
            <w:tcW w:w="5386" w:type="dxa"/>
            <w:vAlign w:val="center"/>
          </w:tcPr>
          <w:p>
            <w:pPr>
              <w:pStyle w:val="13"/>
            </w:pPr>
            <w:r>
              <w:t>档案管理工作资金</w:t>
            </w:r>
          </w:p>
        </w:tc>
        <w:tc>
          <w:tcPr>
            <w:tcW w:w="2268" w:type="dxa"/>
            <w:vAlign w:val="center"/>
          </w:tcPr>
          <w:p>
            <w:pPr>
              <w:pStyle w:val="13"/>
            </w:pPr>
            <w:r>
              <w:t>≤8万元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规范档案管理</w:t>
            </w:r>
          </w:p>
        </w:tc>
        <w:tc>
          <w:tcPr>
            <w:tcW w:w="5386" w:type="dxa"/>
            <w:vAlign w:val="center"/>
          </w:tcPr>
          <w:p>
            <w:pPr>
              <w:pStyle w:val="13"/>
            </w:pPr>
            <w:r>
              <w:t>按规定规范各种工作档案，使单位更加有效地使用单位资源，保证档案的质量与安全，节省人工费和档案复印费，切实提升经济效益。</w:t>
            </w:r>
          </w:p>
        </w:tc>
        <w:tc>
          <w:tcPr>
            <w:tcW w:w="2268" w:type="dxa"/>
            <w:vAlign w:val="center"/>
          </w:tcPr>
          <w:p>
            <w:pPr>
              <w:pStyle w:val="13"/>
            </w:pPr>
            <w:r>
              <w:t>≥95%</w:t>
            </w:r>
          </w:p>
        </w:tc>
        <w:tc>
          <w:tcPr>
            <w:tcW w:w="1276" w:type="dxa"/>
            <w:vAlign w:val="center"/>
          </w:tcPr>
          <w:p>
            <w:pPr>
              <w:pStyle w:val="13"/>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增强档案规范管理意识</w:t>
            </w:r>
          </w:p>
        </w:tc>
        <w:tc>
          <w:tcPr>
            <w:tcW w:w="5386" w:type="dxa"/>
            <w:vAlign w:val="center"/>
          </w:tcPr>
          <w:p>
            <w:pPr>
              <w:pStyle w:val="13"/>
            </w:pPr>
            <w:r>
              <w:t>通过做好档案管理工作，对保障单位正常运行，实施国家法律法规、维护单位声誉及节约资源等方面有积极作用。</w:t>
            </w:r>
          </w:p>
        </w:tc>
        <w:tc>
          <w:tcPr>
            <w:tcW w:w="2268" w:type="dxa"/>
            <w:vAlign w:val="center"/>
          </w:tcPr>
          <w:p>
            <w:pPr>
              <w:pStyle w:val="13"/>
            </w:pPr>
            <w:r>
              <w:t>≥95%</w:t>
            </w:r>
          </w:p>
        </w:tc>
        <w:tc>
          <w:tcPr>
            <w:tcW w:w="1276" w:type="dxa"/>
            <w:vAlign w:val="center"/>
          </w:tcPr>
          <w:p>
            <w:pPr>
              <w:pStyle w:val="13"/>
            </w:pPr>
            <w:r>
              <w:t>《</w:t>
            </w:r>
            <w:r>
              <w:rPr>
                <w:rFonts w:hint="eastAsia"/>
                <w:lang w:val="en-US" w:eastAsia="zh-CN"/>
              </w:rPr>
              <w:t>中华人民共和国</w:t>
            </w:r>
            <w:r>
              <w:t>档案法》、《河北省档案工作条例》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使用对象满意率</w:t>
            </w:r>
          </w:p>
        </w:tc>
        <w:tc>
          <w:tcPr>
            <w:tcW w:w="5386" w:type="dxa"/>
            <w:vAlign w:val="center"/>
          </w:tcPr>
          <w:p>
            <w:pPr>
              <w:pStyle w:val="13"/>
            </w:pPr>
            <w:r>
              <w:t>使用对象对档案管理工作的满意程度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6、国库电子支付经费绩效目标表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13043325P000068100027</w:t>
            </w:r>
          </w:p>
        </w:tc>
        <w:tc>
          <w:tcPr>
            <w:tcW w:w="2835" w:type="dxa"/>
            <w:vAlign w:val="center"/>
          </w:tcPr>
          <w:p>
            <w:pPr>
              <w:pStyle w:val="11"/>
            </w:pPr>
            <w:r>
              <w:t>项目名称</w:t>
            </w:r>
          </w:p>
        </w:tc>
        <w:tc>
          <w:tcPr>
            <w:tcW w:w="6095" w:type="dxa"/>
            <w:gridSpan w:val="3"/>
            <w:vAlign w:val="center"/>
          </w:tcPr>
          <w:p>
            <w:pPr>
              <w:pStyle w:val="13"/>
            </w:pPr>
            <w:r>
              <w:t>国库电子支付经费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加强国库电子化支付的管理和规范，保障网络平台的正常运行，维护县级财政资金的有效使用和资金拨付。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1.加强国库电子化支付的管理和规范，保障网络平台的正常运行，维护县级财政资金的有效使用和资金拨付。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部门数量</w:t>
            </w:r>
          </w:p>
        </w:tc>
        <w:tc>
          <w:tcPr>
            <w:tcW w:w="5386" w:type="dxa"/>
            <w:vAlign w:val="center"/>
          </w:tcPr>
          <w:p>
            <w:pPr>
              <w:pStyle w:val="13"/>
            </w:pPr>
            <w:r>
              <w:t>开展国库电子支付的部门数量</w:t>
            </w:r>
          </w:p>
        </w:tc>
        <w:tc>
          <w:tcPr>
            <w:tcW w:w="2268" w:type="dxa"/>
            <w:vAlign w:val="center"/>
          </w:tcPr>
          <w:p>
            <w:pPr>
              <w:pStyle w:val="13"/>
            </w:pPr>
            <w:r>
              <w:t>64个</w:t>
            </w:r>
          </w:p>
        </w:tc>
        <w:tc>
          <w:tcPr>
            <w:tcW w:w="1276" w:type="dxa"/>
            <w:vAlign w:val="center"/>
          </w:tcPr>
          <w:p>
            <w:pPr>
              <w:pStyle w:val="13"/>
            </w:pPr>
            <w:r>
              <w:t>预算部门名单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电子支付覆盖率</w:t>
            </w:r>
          </w:p>
        </w:tc>
        <w:tc>
          <w:tcPr>
            <w:tcW w:w="5386" w:type="dxa"/>
            <w:vAlign w:val="center"/>
          </w:tcPr>
          <w:p>
            <w:pPr>
              <w:pStyle w:val="13"/>
            </w:pPr>
            <w:r>
              <w:t>已开展国库电子支付部门数量/应开展国库电子支付部门的总数*100%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按时完成电子支付工作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国库电子支付工作资金</w:t>
            </w:r>
          </w:p>
        </w:tc>
        <w:tc>
          <w:tcPr>
            <w:tcW w:w="5386" w:type="dxa"/>
            <w:vAlign w:val="center"/>
          </w:tcPr>
          <w:p>
            <w:pPr>
              <w:pStyle w:val="13"/>
            </w:pPr>
            <w:r>
              <w:t>开展国库电子支付各项工作资金</w:t>
            </w:r>
          </w:p>
        </w:tc>
        <w:tc>
          <w:tcPr>
            <w:tcW w:w="2268" w:type="dxa"/>
            <w:vAlign w:val="center"/>
          </w:tcPr>
          <w:p>
            <w:pPr>
              <w:pStyle w:val="13"/>
            </w:pPr>
            <w:r>
              <w:t>≤38万元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完善预算单位资金管理</w:t>
            </w:r>
          </w:p>
        </w:tc>
        <w:tc>
          <w:tcPr>
            <w:tcW w:w="5386" w:type="dxa"/>
            <w:vAlign w:val="center"/>
          </w:tcPr>
          <w:p>
            <w:pPr>
              <w:pStyle w:val="13"/>
            </w:pPr>
            <w:r>
              <w:t>通过国库集中支付电子化，保障各预算单位的资金安全，使单位的内控明确资金流向，利用网络资源共享，管理更加完善。</w:t>
            </w:r>
          </w:p>
        </w:tc>
        <w:tc>
          <w:tcPr>
            <w:tcW w:w="2268" w:type="dxa"/>
            <w:vAlign w:val="center"/>
          </w:tcPr>
          <w:p>
            <w:pPr>
              <w:pStyle w:val="13"/>
            </w:pPr>
            <w:r>
              <w:t>≥98%</w:t>
            </w:r>
          </w:p>
        </w:tc>
        <w:tc>
          <w:tcPr>
            <w:tcW w:w="1276" w:type="dxa"/>
            <w:vAlign w:val="center"/>
          </w:tcPr>
          <w:p>
            <w:pPr>
              <w:pStyle w:val="13"/>
            </w:pPr>
            <w:r>
              <w:t>国库支付电子系统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增强部门电子支付意识</w:t>
            </w:r>
          </w:p>
        </w:tc>
        <w:tc>
          <w:tcPr>
            <w:tcW w:w="5386" w:type="dxa"/>
            <w:vAlign w:val="center"/>
          </w:tcPr>
          <w:p>
            <w:pPr>
              <w:pStyle w:val="13"/>
            </w:pPr>
            <w:r>
              <w:t>通过国库电子支付，进一步增强预算单位电子支付意识，减少资金管理的风险和成本，提高资金的周转效率，促进社会发展。</w:t>
            </w:r>
          </w:p>
        </w:tc>
        <w:tc>
          <w:tcPr>
            <w:tcW w:w="2268" w:type="dxa"/>
            <w:vAlign w:val="center"/>
          </w:tcPr>
          <w:p>
            <w:pPr>
              <w:pStyle w:val="13"/>
            </w:pPr>
            <w:r>
              <w:t>≥98%</w:t>
            </w:r>
          </w:p>
        </w:tc>
        <w:tc>
          <w:tcPr>
            <w:tcW w:w="1276" w:type="dxa"/>
            <w:vAlign w:val="center"/>
          </w:tcPr>
          <w:p>
            <w:pPr>
              <w:pStyle w:val="13"/>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行政事业单位满意度</w:t>
            </w:r>
          </w:p>
        </w:tc>
        <w:tc>
          <w:tcPr>
            <w:tcW w:w="5386" w:type="dxa"/>
            <w:vAlign w:val="center"/>
          </w:tcPr>
          <w:p>
            <w:pPr>
              <w:pStyle w:val="13"/>
            </w:pPr>
            <w:r>
              <w:t>行政事业单位对国库电子支付工作的满意程度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7、国有资产管理经费绩效目标表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13043325P00007010001D</w:t>
            </w:r>
          </w:p>
        </w:tc>
        <w:tc>
          <w:tcPr>
            <w:tcW w:w="2835" w:type="dxa"/>
            <w:vAlign w:val="center"/>
          </w:tcPr>
          <w:p>
            <w:pPr>
              <w:pStyle w:val="11"/>
            </w:pPr>
            <w:r>
              <w:t>项目名称</w:t>
            </w:r>
          </w:p>
        </w:tc>
        <w:tc>
          <w:tcPr>
            <w:tcW w:w="6095" w:type="dxa"/>
            <w:gridSpan w:val="3"/>
            <w:vAlign w:val="center"/>
          </w:tcPr>
          <w:p>
            <w:pPr>
              <w:pStyle w:val="13"/>
            </w:pPr>
            <w:r>
              <w:t>国有资产管理经费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进一步加强国有资产管理，规范行政、事业单位国有资产产权登记、资产清查等工作，查清底数，夯实资产，确保国有资产保值增值不流失。执行国有资产向人大报告制度，完善国有资产管理。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1.进一步加强国有资产管理，规范行政、事业单位国有资产产权登记、资产清查等工作，查清底数，夯实资产，确保国有资产保值增值不流失。执行国有资产向人大报告制度，完善国有资产管理。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资产管理数量</w:t>
            </w:r>
          </w:p>
        </w:tc>
        <w:tc>
          <w:tcPr>
            <w:tcW w:w="5386" w:type="dxa"/>
            <w:vAlign w:val="center"/>
          </w:tcPr>
          <w:p>
            <w:pPr>
              <w:pStyle w:val="13"/>
            </w:pPr>
            <w:r>
              <w:t>加强全县147个行政事业单位国有资产管理，规范行政、事业单位国有资产产权登记、资产清查等工作，查清底数，夯实资产，确保国有资产保值增值不流失。</w:t>
            </w:r>
          </w:p>
        </w:tc>
        <w:tc>
          <w:tcPr>
            <w:tcW w:w="2268" w:type="dxa"/>
            <w:vAlign w:val="center"/>
          </w:tcPr>
          <w:p>
            <w:pPr>
              <w:pStyle w:val="13"/>
            </w:pPr>
            <w:r>
              <w:t>147个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管理执行到位率</w:t>
            </w:r>
          </w:p>
        </w:tc>
        <w:tc>
          <w:tcPr>
            <w:tcW w:w="5386" w:type="dxa"/>
            <w:vAlign w:val="center"/>
          </w:tcPr>
          <w:p>
            <w:pPr>
              <w:pStyle w:val="13"/>
            </w:pPr>
            <w:r>
              <w:t>实施国有资产系统化管理单位数/全部预算部门单位数*100%</w:t>
            </w:r>
          </w:p>
        </w:tc>
        <w:tc>
          <w:tcPr>
            <w:tcW w:w="2268" w:type="dxa"/>
            <w:vAlign w:val="center"/>
          </w:tcPr>
          <w:p>
            <w:pPr>
              <w:pStyle w:val="13"/>
            </w:pPr>
            <w:r>
              <w:t>100%</w:t>
            </w:r>
          </w:p>
        </w:tc>
        <w:tc>
          <w:tcPr>
            <w:tcW w:w="1276" w:type="dxa"/>
            <w:vAlign w:val="center"/>
          </w:tcPr>
          <w:p>
            <w:pPr>
              <w:pStyle w:val="13"/>
            </w:pPr>
            <w:r>
              <w:t>国有资产管理系统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按时上报</w:t>
            </w:r>
          </w:p>
        </w:tc>
        <w:tc>
          <w:tcPr>
            <w:tcW w:w="5386" w:type="dxa"/>
            <w:vAlign w:val="center"/>
          </w:tcPr>
          <w:p>
            <w:pPr>
              <w:pStyle w:val="13"/>
            </w:pPr>
            <w:r>
              <w:t>按省厅计划安排按时上报</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资产管理资金</w:t>
            </w:r>
          </w:p>
        </w:tc>
        <w:tc>
          <w:tcPr>
            <w:tcW w:w="5386" w:type="dxa"/>
            <w:vAlign w:val="center"/>
          </w:tcPr>
          <w:p>
            <w:pPr>
              <w:pStyle w:val="13"/>
            </w:pPr>
            <w:r>
              <w:t>开展国有资产管理，规范行政、事业单位国有资产产权登记、资产清查等工作资金</w:t>
            </w:r>
          </w:p>
        </w:tc>
        <w:tc>
          <w:tcPr>
            <w:tcW w:w="2268" w:type="dxa"/>
            <w:vAlign w:val="center"/>
          </w:tcPr>
          <w:p>
            <w:pPr>
              <w:pStyle w:val="13"/>
            </w:pPr>
            <w:r>
              <w:t>≤26万元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管理效率提升</w:t>
            </w:r>
          </w:p>
        </w:tc>
        <w:tc>
          <w:tcPr>
            <w:tcW w:w="5386" w:type="dxa"/>
            <w:vAlign w:val="center"/>
          </w:tcPr>
          <w:p>
            <w:pPr>
              <w:pStyle w:val="13"/>
            </w:pPr>
            <w:r>
              <w:t>通过规范行政事业单位国有资产管理，查清底数，夯实资产，确保国有资产保值增值不流失，管理效率得到明显提升。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管理规范有序</w:t>
            </w:r>
          </w:p>
        </w:tc>
        <w:tc>
          <w:tcPr>
            <w:tcW w:w="5386" w:type="dxa"/>
            <w:vAlign w:val="center"/>
          </w:tcPr>
          <w:p>
            <w:pPr>
              <w:pStyle w:val="13"/>
            </w:pPr>
            <w:r>
              <w:t>加强国有资产管理，使单位资产管理规范有序，防止贪腐和腐败现象发生，保障国家利益和社会公平。</w:t>
            </w:r>
          </w:p>
        </w:tc>
        <w:tc>
          <w:tcPr>
            <w:tcW w:w="2268" w:type="dxa"/>
            <w:vAlign w:val="center"/>
          </w:tcPr>
          <w:p>
            <w:pPr>
              <w:pStyle w:val="13"/>
            </w:pPr>
            <w:r>
              <w:t>≥95%</w:t>
            </w:r>
          </w:p>
        </w:tc>
        <w:tc>
          <w:tcPr>
            <w:tcW w:w="1276" w:type="dxa"/>
            <w:vAlign w:val="center"/>
          </w:tcPr>
          <w:p>
            <w:pPr>
              <w:pStyle w:val="13"/>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行政事业单位满意度</w:t>
            </w:r>
          </w:p>
        </w:tc>
        <w:tc>
          <w:tcPr>
            <w:tcW w:w="5386" w:type="dxa"/>
            <w:vAlign w:val="center"/>
          </w:tcPr>
          <w:p>
            <w:pPr>
              <w:pStyle w:val="13"/>
            </w:pPr>
            <w:r>
              <w:t>行政事业单位对国有资产管理工作的满意度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8、会计培训经费绩效目标表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13043325P000073100022</w:t>
            </w:r>
          </w:p>
        </w:tc>
        <w:tc>
          <w:tcPr>
            <w:tcW w:w="2835" w:type="dxa"/>
            <w:vAlign w:val="center"/>
          </w:tcPr>
          <w:p>
            <w:pPr>
              <w:pStyle w:val="11"/>
            </w:pPr>
            <w:r>
              <w:t>项目名称</w:t>
            </w:r>
          </w:p>
        </w:tc>
        <w:tc>
          <w:tcPr>
            <w:tcW w:w="6095" w:type="dxa"/>
            <w:gridSpan w:val="3"/>
            <w:vAlign w:val="center"/>
          </w:tcPr>
          <w:p>
            <w:pPr>
              <w:pStyle w:val="13"/>
            </w:pPr>
            <w:r>
              <w:t>会计培训经费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加强全县会计工作管理，提升会计人员工作水平和综合素质，保障资金使用安全、规范、合理、合法，严格依照《</w:t>
            </w:r>
            <w:r>
              <w:rPr>
                <w:rFonts w:hint="eastAsia"/>
                <w:lang w:val="en-US" w:eastAsia="zh-CN"/>
              </w:rPr>
              <w:t>中华人民共和国</w:t>
            </w:r>
            <w:r>
              <w:t>会计法》及各项会计制度规定办理财务手续，搞好会计人员培训工作，加大培训力度和广度及操作的深度。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1.加强全县会计工作管理，提升会计人员工作水平和综合素质，保障资金使用安全、规范、合理、合法，严格依照《</w:t>
            </w:r>
            <w:r>
              <w:rPr>
                <w:rFonts w:hint="eastAsia"/>
                <w:lang w:val="en-US" w:eastAsia="zh-CN"/>
              </w:rPr>
              <w:t>中华人民共和国</w:t>
            </w:r>
            <w:r>
              <w:t>会计法》及各项会计制度规定办理财务手续，搞好会计人员培训工作，加大培训力度和广度及操作的深度。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计划培训人次</w:t>
            </w:r>
          </w:p>
        </w:tc>
        <w:tc>
          <w:tcPr>
            <w:tcW w:w="5386" w:type="dxa"/>
            <w:vAlign w:val="center"/>
          </w:tcPr>
          <w:p>
            <w:pPr>
              <w:pStyle w:val="13"/>
            </w:pPr>
            <w:r>
              <w:t>计划培训900人次</w:t>
            </w:r>
          </w:p>
        </w:tc>
        <w:tc>
          <w:tcPr>
            <w:tcW w:w="2268" w:type="dxa"/>
            <w:vAlign w:val="center"/>
          </w:tcPr>
          <w:p>
            <w:pPr>
              <w:pStyle w:val="13"/>
            </w:pPr>
            <w:r>
              <w:t>≥900人次</w:t>
            </w:r>
          </w:p>
        </w:tc>
        <w:tc>
          <w:tcPr>
            <w:tcW w:w="1276" w:type="dxa"/>
            <w:vAlign w:val="center"/>
          </w:tcPr>
          <w:p>
            <w:pPr>
              <w:pStyle w:val="13"/>
            </w:pPr>
            <w:r>
              <w:t>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培训达标率</w:t>
            </w:r>
          </w:p>
        </w:tc>
        <w:tc>
          <w:tcPr>
            <w:tcW w:w="5386" w:type="dxa"/>
            <w:vAlign w:val="center"/>
          </w:tcPr>
          <w:p>
            <w:pPr>
              <w:pStyle w:val="13"/>
            </w:pPr>
            <w:r>
              <w:t>已达标人数/应培训总人数*100%</w:t>
            </w:r>
          </w:p>
        </w:tc>
        <w:tc>
          <w:tcPr>
            <w:tcW w:w="2268" w:type="dxa"/>
            <w:vAlign w:val="center"/>
          </w:tcPr>
          <w:p>
            <w:pPr>
              <w:pStyle w:val="13"/>
            </w:pPr>
            <w:r>
              <w:t>≥95%</w:t>
            </w:r>
          </w:p>
        </w:tc>
        <w:tc>
          <w:tcPr>
            <w:tcW w:w="1276" w:type="dxa"/>
            <w:vAlign w:val="center"/>
          </w:tcPr>
          <w:p>
            <w:pPr>
              <w:pStyle w:val="13"/>
            </w:pPr>
            <w:r>
              <w:t>培训人员名单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培训按计划设定时间及时完成</w:t>
            </w:r>
          </w:p>
        </w:tc>
        <w:tc>
          <w:tcPr>
            <w:tcW w:w="2268" w:type="dxa"/>
            <w:vAlign w:val="center"/>
          </w:tcPr>
          <w:p>
            <w:pPr>
              <w:pStyle w:val="13"/>
            </w:pPr>
            <w:r>
              <w:t>≤1年</w:t>
            </w:r>
          </w:p>
        </w:tc>
        <w:tc>
          <w:tcPr>
            <w:tcW w:w="1276" w:type="dxa"/>
            <w:vAlign w:val="center"/>
          </w:tcPr>
          <w:p>
            <w:pPr>
              <w:pStyle w:val="13"/>
            </w:pPr>
            <w:r>
              <w:t>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会计培训工作资金</w:t>
            </w:r>
          </w:p>
        </w:tc>
        <w:tc>
          <w:tcPr>
            <w:tcW w:w="5386" w:type="dxa"/>
            <w:vAlign w:val="center"/>
          </w:tcPr>
          <w:p>
            <w:pPr>
              <w:pStyle w:val="13"/>
            </w:pPr>
            <w:r>
              <w:t>会计培训工作需要的资金</w:t>
            </w:r>
          </w:p>
        </w:tc>
        <w:tc>
          <w:tcPr>
            <w:tcW w:w="2268" w:type="dxa"/>
            <w:vAlign w:val="center"/>
          </w:tcPr>
          <w:p>
            <w:pPr>
              <w:pStyle w:val="13"/>
            </w:pPr>
            <w:r>
              <w:t>≤11万元</w:t>
            </w:r>
          </w:p>
        </w:tc>
        <w:tc>
          <w:tcPr>
            <w:tcW w:w="1276" w:type="dxa"/>
            <w:vAlign w:val="center"/>
          </w:tcPr>
          <w:p>
            <w:pPr>
              <w:pStyle w:val="13"/>
            </w:pPr>
            <w:r>
              <w:t>年初计划测算表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提高财务管理水平</w:t>
            </w:r>
          </w:p>
        </w:tc>
        <w:tc>
          <w:tcPr>
            <w:tcW w:w="5386" w:type="dxa"/>
            <w:vAlign w:val="center"/>
          </w:tcPr>
          <w:p>
            <w:pPr>
              <w:pStyle w:val="13"/>
            </w:pPr>
            <w:r>
              <w:t>通过各项会计培训工作，提升会计人员工作水平和综合素质，保障资金使用安全、规范、合理、合法。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满足社会经济需求</w:t>
            </w:r>
          </w:p>
        </w:tc>
        <w:tc>
          <w:tcPr>
            <w:tcW w:w="5386" w:type="dxa"/>
            <w:vAlign w:val="center"/>
          </w:tcPr>
          <w:p>
            <w:pPr>
              <w:pStyle w:val="13"/>
            </w:pPr>
            <w:r>
              <w:t>通过培训提高财务人员的财务管理水平，掌握最新政策法规，提高风险管理能力，增强创新能力，促进优化资源配置，提升经济效益，更好地扩大社会影响力。</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会计培训人员对会计培训工作的满意情况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9、央企招商工作经费绩效目标表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13043325P00007410002P</w:t>
            </w:r>
          </w:p>
        </w:tc>
        <w:tc>
          <w:tcPr>
            <w:tcW w:w="2835" w:type="dxa"/>
            <w:vAlign w:val="center"/>
          </w:tcPr>
          <w:p>
            <w:pPr>
              <w:pStyle w:val="11"/>
            </w:pPr>
            <w:r>
              <w:t>项目名称</w:t>
            </w:r>
          </w:p>
        </w:tc>
        <w:tc>
          <w:tcPr>
            <w:tcW w:w="6095" w:type="dxa"/>
            <w:gridSpan w:val="3"/>
            <w:vAlign w:val="center"/>
          </w:tcPr>
          <w:p>
            <w:pPr>
              <w:pStyle w:val="13"/>
            </w:pPr>
            <w:r>
              <w:t>央企招商工作经费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围绕现有优势产业，结合县域发展实际，加大与央企对接力度，争取引进央企三级子公司，提升已落户央企质效，推进县域经济高质量发展。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1.围绕现有优势产业，结合县域发展实际，加大与央企对接力度，争取引进央企三级子公司，提升已落户央企质效，推进县域经济高质量发展。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央企招商对接次数</w:t>
            </w:r>
          </w:p>
        </w:tc>
        <w:tc>
          <w:tcPr>
            <w:tcW w:w="5386" w:type="dxa"/>
            <w:vAlign w:val="center"/>
          </w:tcPr>
          <w:p>
            <w:pPr>
              <w:pStyle w:val="13"/>
            </w:pPr>
            <w:r>
              <w:t>与央企对接活动次数</w:t>
            </w:r>
          </w:p>
        </w:tc>
        <w:tc>
          <w:tcPr>
            <w:tcW w:w="2268" w:type="dxa"/>
            <w:vAlign w:val="center"/>
          </w:tcPr>
          <w:p>
            <w:pPr>
              <w:pStyle w:val="13"/>
            </w:pPr>
            <w:r>
              <w:t>≥30次</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落户央企质效</w:t>
            </w:r>
          </w:p>
        </w:tc>
        <w:tc>
          <w:tcPr>
            <w:tcW w:w="5386" w:type="dxa"/>
            <w:vAlign w:val="center"/>
          </w:tcPr>
          <w:p>
            <w:pPr>
              <w:pStyle w:val="13"/>
            </w:pPr>
            <w:r>
              <w:t>已落户央企利润、参保等质效提升数量</w:t>
            </w:r>
          </w:p>
        </w:tc>
        <w:tc>
          <w:tcPr>
            <w:tcW w:w="2268" w:type="dxa"/>
            <w:vAlign w:val="center"/>
          </w:tcPr>
          <w:p>
            <w:pPr>
              <w:pStyle w:val="13"/>
            </w:pPr>
            <w:r>
              <w:t>≥1家</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及时完成央企质效提升</w:t>
            </w:r>
          </w:p>
        </w:tc>
        <w:tc>
          <w:tcPr>
            <w:tcW w:w="5386" w:type="dxa"/>
            <w:vAlign w:val="center"/>
          </w:tcPr>
          <w:p>
            <w:pPr>
              <w:pStyle w:val="13"/>
            </w:pPr>
            <w:r>
              <w:t>及时完成央企质效提升</w:t>
            </w:r>
          </w:p>
        </w:tc>
        <w:tc>
          <w:tcPr>
            <w:tcW w:w="2268" w:type="dxa"/>
            <w:vAlign w:val="center"/>
          </w:tcPr>
          <w:p>
            <w:pPr>
              <w:pStyle w:val="13"/>
            </w:pPr>
            <w:r>
              <w:t>≤1年</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央企招商工作所需经费</w:t>
            </w:r>
          </w:p>
        </w:tc>
        <w:tc>
          <w:tcPr>
            <w:tcW w:w="2268" w:type="dxa"/>
            <w:vAlign w:val="center"/>
          </w:tcPr>
          <w:p>
            <w:pPr>
              <w:pStyle w:val="13"/>
            </w:pPr>
            <w:r>
              <w:t>≤50万元</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通过加大与央企对接力度，及时完成央企质效提升，推动本县经济发展。</w:t>
            </w:r>
          </w:p>
        </w:tc>
        <w:tc>
          <w:tcPr>
            <w:tcW w:w="2268" w:type="dxa"/>
            <w:vAlign w:val="center"/>
          </w:tcPr>
          <w:p>
            <w:pPr>
              <w:pStyle w:val="13"/>
            </w:pPr>
            <w:r>
              <w:t>≥1%</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推动本行业未来可持续发展</w:t>
            </w:r>
          </w:p>
        </w:tc>
        <w:tc>
          <w:tcPr>
            <w:tcW w:w="5386" w:type="dxa"/>
            <w:vAlign w:val="center"/>
          </w:tcPr>
          <w:p>
            <w:pPr>
              <w:pStyle w:val="13"/>
            </w:pPr>
            <w:r>
              <w:t>通过加大与央企对接力度，及时完成央企质效提升，推动本行业未来可持续发展。</w:t>
            </w:r>
          </w:p>
        </w:tc>
        <w:tc>
          <w:tcPr>
            <w:tcW w:w="2268" w:type="dxa"/>
            <w:vAlign w:val="center"/>
          </w:tcPr>
          <w:p>
            <w:pPr>
              <w:pStyle w:val="13"/>
            </w:pPr>
            <w:r>
              <w:t>≥1%</w:t>
            </w:r>
          </w:p>
        </w:tc>
        <w:tc>
          <w:tcPr>
            <w:tcW w:w="1276" w:type="dxa"/>
            <w:vAlign w:val="center"/>
          </w:tcPr>
          <w:p>
            <w:pPr>
              <w:pStyle w:val="13"/>
            </w:pPr>
            <w:r>
              <w:t>央企招商计划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央企满意度</w:t>
            </w:r>
          </w:p>
        </w:tc>
        <w:tc>
          <w:tcPr>
            <w:tcW w:w="5386" w:type="dxa"/>
            <w:vAlign w:val="center"/>
          </w:tcPr>
          <w:p>
            <w:pPr>
              <w:pStyle w:val="13"/>
            </w:pPr>
            <w:r>
              <w:t>央企对对接服务工作满意度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10、预算绩效改革经费绩效目标表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13043325P000118100017</w:t>
            </w:r>
          </w:p>
        </w:tc>
        <w:tc>
          <w:tcPr>
            <w:tcW w:w="2835" w:type="dxa"/>
            <w:vAlign w:val="center"/>
          </w:tcPr>
          <w:p>
            <w:pPr>
              <w:pStyle w:val="11"/>
            </w:pPr>
            <w:r>
              <w:t>项目名称</w:t>
            </w:r>
          </w:p>
        </w:tc>
        <w:tc>
          <w:tcPr>
            <w:tcW w:w="6095" w:type="dxa"/>
            <w:gridSpan w:val="3"/>
            <w:vAlign w:val="center"/>
          </w:tcPr>
          <w:p>
            <w:pPr>
              <w:pStyle w:val="13"/>
            </w:pPr>
            <w:r>
              <w:t>预算绩效改革经费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用于绩效管理业务培训，强化绩效目标管理，全面实行“双监控”，全面落实事前绩效评估制度，制定项目共性绩效指标框架。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1.用于绩效管理业务培训，强化绩效目标管理，全面实行“双监控”，全面落实事前绩效评估制度，制定项目共性绩效指标框架。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部门数量</w:t>
            </w:r>
          </w:p>
        </w:tc>
        <w:tc>
          <w:tcPr>
            <w:tcW w:w="5386" w:type="dxa"/>
            <w:vAlign w:val="center"/>
          </w:tcPr>
          <w:p>
            <w:pPr>
              <w:pStyle w:val="13"/>
            </w:pPr>
            <w:r>
              <w:t>开展预算绩效培训和绩效评价及绩效监控的部门数量</w:t>
            </w:r>
          </w:p>
        </w:tc>
        <w:tc>
          <w:tcPr>
            <w:tcW w:w="2268" w:type="dxa"/>
            <w:vAlign w:val="center"/>
          </w:tcPr>
          <w:p>
            <w:pPr>
              <w:pStyle w:val="13"/>
            </w:pPr>
            <w:r>
              <w:t>64个</w:t>
            </w:r>
          </w:p>
        </w:tc>
        <w:tc>
          <w:tcPr>
            <w:tcW w:w="1276" w:type="dxa"/>
            <w:vAlign w:val="center"/>
          </w:tcPr>
          <w:p>
            <w:pPr>
              <w:pStyle w:val="13"/>
            </w:pPr>
            <w:r>
              <w:t>预算单位名单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绩效工作覆盖率</w:t>
            </w:r>
          </w:p>
        </w:tc>
        <w:tc>
          <w:tcPr>
            <w:tcW w:w="5386" w:type="dxa"/>
            <w:vAlign w:val="center"/>
          </w:tcPr>
          <w:p>
            <w:pPr>
              <w:pStyle w:val="13"/>
            </w:pPr>
            <w:r>
              <w:t>已开展绩效评价、监控部门数量/应开展绩效评价、监控部门的总数*100%</w:t>
            </w:r>
          </w:p>
        </w:tc>
        <w:tc>
          <w:tcPr>
            <w:tcW w:w="2268" w:type="dxa"/>
            <w:vAlign w:val="center"/>
          </w:tcPr>
          <w:p>
            <w:pPr>
              <w:pStyle w:val="13"/>
            </w:pPr>
            <w:r>
              <w:t>100%</w:t>
            </w:r>
          </w:p>
        </w:tc>
        <w:tc>
          <w:tcPr>
            <w:tcW w:w="1276" w:type="dxa"/>
            <w:vAlign w:val="center"/>
          </w:tcPr>
          <w:p>
            <w:pPr>
              <w:pStyle w:val="13"/>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按照工作计划设定时间及时完成绩效评价、绩效培训工作</w:t>
            </w:r>
          </w:p>
        </w:tc>
        <w:tc>
          <w:tcPr>
            <w:tcW w:w="2268" w:type="dxa"/>
            <w:vAlign w:val="center"/>
          </w:tcPr>
          <w:p>
            <w:pPr>
              <w:pStyle w:val="13"/>
            </w:pPr>
            <w:r>
              <w:t>≤1年</w:t>
            </w:r>
          </w:p>
        </w:tc>
        <w:tc>
          <w:tcPr>
            <w:tcW w:w="1276" w:type="dxa"/>
            <w:vAlign w:val="center"/>
          </w:tcPr>
          <w:p>
            <w:pPr>
              <w:pStyle w:val="13"/>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预算绩效工作资金</w:t>
            </w:r>
          </w:p>
        </w:tc>
        <w:tc>
          <w:tcPr>
            <w:tcW w:w="5386" w:type="dxa"/>
            <w:vAlign w:val="center"/>
          </w:tcPr>
          <w:p>
            <w:pPr>
              <w:pStyle w:val="13"/>
            </w:pPr>
            <w:r>
              <w:t>预算绩效培训等各项工作资金</w:t>
            </w:r>
          </w:p>
        </w:tc>
        <w:tc>
          <w:tcPr>
            <w:tcW w:w="2268" w:type="dxa"/>
            <w:vAlign w:val="center"/>
          </w:tcPr>
          <w:p>
            <w:pPr>
              <w:pStyle w:val="13"/>
            </w:pPr>
            <w:r>
              <w:t>38万元</w:t>
            </w:r>
          </w:p>
        </w:tc>
        <w:tc>
          <w:tcPr>
            <w:tcW w:w="1276" w:type="dxa"/>
            <w:vAlign w:val="center"/>
          </w:tcPr>
          <w:p>
            <w:pPr>
              <w:pStyle w:val="13"/>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保障重点项目顺利实施，促进社会经济发展，提高财政资金利用率。</w:t>
            </w:r>
          </w:p>
        </w:tc>
        <w:tc>
          <w:tcPr>
            <w:tcW w:w="2268" w:type="dxa"/>
            <w:vAlign w:val="center"/>
          </w:tcPr>
          <w:p>
            <w:pPr>
              <w:pStyle w:val="13"/>
            </w:pPr>
            <w:r>
              <w:t>≥98%</w:t>
            </w:r>
          </w:p>
        </w:tc>
        <w:tc>
          <w:tcPr>
            <w:tcW w:w="1276" w:type="dxa"/>
            <w:vAlign w:val="center"/>
          </w:tcPr>
          <w:p>
            <w:pPr>
              <w:pStyle w:val="13"/>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增强部门绩效意识</w:t>
            </w:r>
          </w:p>
        </w:tc>
        <w:tc>
          <w:tcPr>
            <w:tcW w:w="5386" w:type="dxa"/>
            <w:vAlign w:val="center"/>
          </w:tcPr>
          <w:p>
            <w:pPr>
              <w:pStyle w:val="13"/>
            </w:pPr>
            <w:r>
              <w:t>通过预算绩效培训和绩效评价等各项工作开展，进一步增强全县各预算部门绩效意识。</w:t>
            </w:r>
          </w:p>
        </w:tc>
        <w:tc>
          <w:tcPr>
            <w:tcW w:w="2268" w:type="dxa"/>
            <w:vAlign w:val="center"/>
          </w:tcPr>
          <w:p>
            <w:pPr>
              <w:pStyle w:val="13"/>
            </w:pPr>
            <w:r>
              <w:t>≥98%</w:t>
            </w:r>
          </w:p>
        </w:tc>
        <w:tc>
          <w:tcPr>
            <w:tcW w:w="1276" w:type="dxa"/>
            <w:vAlign w:val="center"/>
          </w:tcPr>
          <w:p>
            <w:pPr>
              <w:pStyle w:val="13"/>
            </w:pPr>
            <w:r>
              <w:t>冀发【2018】54号文及工作计划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提高财政资金使用效益</w:t>
            </w:r>
          </w:p>
        </w:tc>
        <w:tc>
          <w:tcPr>
            <w:tcW w:w="5386" w:type="dxa"/>
            <w:vAlign w:val="center"/>
          </w:tcPr>
          <w:p>
            <w:pPr>
              <w:pStyle w:val="13"/>
            </w:pPr>
            <w:r>
              <w:t>通过预算绩效改革工作开展，增强预算绩效影响力，做到“讲绩效、重绩效、用绩效”。，进一步提高财政资金使用效益</w:t>
            </w:r>
          </w:p>
        </w:tc>
        <w:tc>
          <w:tcPr>
            <w:tcW w:w="2268" w:type="dxa"/>
            <w:vAlign w:val="center"/>
          </w:tcPr>
          <w:p>
            <w:pPr>
              <w:pStyle w:val="13"/>
            </w:pPr>
            <w:r>
              <w:t>≥95%</w:t>
            </w:r>
          </w:p>
        </w:tc>
        <w:tc>
          <w:tcPr>
            <w:tcW w:w="1276" w:type="dxa"/>
            <w:vAlign w:val="center"/>
          </w:tcPr>
          <w:p>
            <w:pPr>
              <w:pStyle w:val="13"/>
            </w:pPr>
            <w:r>
              <w:t>调查统计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接受培训的预算部门满意度</w:t>
            </w:r>
          </w:p>
        </w:tc>
        <w:tc>
          <w:tcPr>
            <w:tcW w:w="5386" w:type="dxa"/>
            <w:vAlign w:val="center"/>
          </w:tcPr>
          <w:p>
            <w:pPr>
              <w:pStyle w:val="13"/>
            </w:pPr>
            <w:r>
              <w:t>预算部门对预算绩效管理工作的满意度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11、]冀财农[2023]165号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关于提前下达2024年省级农村财会人员培训资金预算的通知绩效目标表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13043324P00012510002J</w:t>
            </w:r>
          </w:p>
        </w:tc>
        <w:tc>
          <w:tcPr>
            <w:tcW w:w="2835" w:type="dxa"/>
            <w:vAlign w:val="center"/>
          </w:tcPr>
          <w:p>
            <w:pPr>
              <w:pStyle w:val="11"/>
            </w:pPr>
            <w:r>
              <w:t>项目名称</w:t>
            </w:r>
          </w:p>
        </w:tc>
        <w:tc>
          <w:tcPr>
            <w:tcW w:w="6095" w:type="dxa"/>
            <w:gridSpan w:val="3"/>
            <w:vAlign w:val="center"/>
          </w:tcPr>
          <w:p>
            <w:pPr>
              <w:pStyle w:val="13"/>
            </w:pPr>
            <w:r>
              <w:t>]冀财农[2023]165号</w:t>
            </w:r>
            <w:r>
              <w:tab/>
            </w:r>
            <w:r>
              <w:t>关于提前下达2024年省级农村财会人员培训资金预算的通知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0.73</w:t>
            </w:r>
          </w:p>
        </w:tc>
        <w:tc>
          <w:tcPr>
            <w:tcW w:w="2835" w:type="dxa"/>
            <w:vAlign w:val="center"/>
          </w:tcPr>
          <w:p>
            <w:pPr>
              <w:pStyle w:val="11"/>
            </w:pPr>
            <w:r>
              <w:t>其中：财政    资金</w:t>
            </w:r>
          </w:p>
        </w:tc>
        <w:tc>
          <w:tcPr>
            <w:tcW w:w="2551" w:type="dxa"/>
            <w:vAlign w:val="center"/>
          </w:tcPr>
          <w:p>
            <w:pPr>
              <w:pStyle w:val="13"/>
            </w:pPr>
            <w:r>
              <w:t>0.73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重点用于支持做好农村财会人员财政支农政策培训工作，保障各项惠农资金及时全面落实，提升村级财务管理水平，促进农村经济发展。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计划培训不低于900人</w:t>
            </w:r>
          </w:p>
        </w:tc>
        <w:tc>
          <w:tcPr>
            <w:tcW w:w="2268" w:type="dxa"/>
            <w:vAlign w:val="center"/>
          </w:tcPr>
          <w:p>
            <w:pPr>
              <w:pStyle w:val="13"/>
            </w:pPr>
            <w:r>
              <w:t>≥900人</w:t>
            </w:r>
          </w:p>
        </w:tc>
        <w:tc>
          <w:tcPr>
            <w:tcW w:w="1276" w:type="dxa"/>
            <w:vAlign w:val="center"/>
          </w:tcPr>
          <w:p>
            <w:pPr>
              <w:pStyle w:val="13"/>
            </w:pPr>
            <w:r>
              <w:t>培训名单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培训达标率</w:t>
            </w:r>
          </w:p>
        </w:tc>
        <w:tc>
          <w:tcPr>
            <w:tcW w:w="5386" w:type="dxa"/>
            <w:vAlign w:val="center"/>
          </w:tcPr>
          <w:p>
            <w:pPr>
              <w:pStyle w:val="13"/>
            </w:pPr>
            <w:r>
              <w:t>培训达标人数/应参加培训总人数*100%</w:t>
            </w:r>
          </w:p>
        </w:tc>
        <w:tc>
          <w:tcPr>
            <w:tcW w:w="2268" w:type="dxa"/>
            <w:vAlign w:val="center"/>
          </w:tcPr>
          <w:p>
            <w:pPr>
              <w:pStyle w:val="13"/>
            </w:pPr>
            <w:r>
              <w:t>100%</w:t>
            </w:r>
          </w:p>
        </w:tc>
        <w:tc>
          <w:tcPr>
            <w:tcW w:w="1276" w:type="dxa"/>
            <w:vAlign w:val="center"/>
          </w:tcPr>
          <w:p>
            <w:pPr>
              <w:pStyle w:val="13"/>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按时培训</w:t>
            </w:r>
          </w:p>
        </w:tc>
        <w:tc>
          <w:tcPr>
            <w:tcW w:w="5386" w:type="dxa"/>
            <w:vAlign w:val="center"/>
          </w:tcPr>
          <w:p>
            <w:pPr>
              <w:pStyle w:val="13"/>
            </w:pPr>
            <w:r>
              <w:t>按要求时间及时完成农村财会人员培训</w:t>
            </w:r>
          </w:p>
        </w:tc>
        <w:tc>
          <w:tcPr>
            <w:tcW w:w="2268" w:type="dxa"/>
            <w:vAlign w:val="center"/>
          </w:tcPr>
          <w:p>
            <w:pPr>
              <w:pStyle w:val="13"/>
            </w:pPr>
            <w:r>
              <w:t>1年</w:t>
            </w:r>
          </w:p>
        </w:tc>
        <w:tc>
          <w:tcPr>
            <w:tcW w:w="1276" w:type="dxa"/>
            <w:vAlign w:val="center"/>
          </w:tcPr>
          <w:p>
            <w:pPr>
              <w:pStyle w:val="13"/>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开展农村财会人员培训工作的补助资金</w:t>
            </w:r>
          </w:p>
        </w:tc>
        <w:tc>
          <w:tcPr>
            <w:tcW w:w="2268" w:type="dxa"/>
            <w:vAlign w:val="center"/>
          </w:tcPr>
          <w:p>
            <w:pPr>
              <w:pStyle w:val="13"/>
            </w:pPr>
            <w:r>
              <w:t>9万元</w:t>
            </w:r>
          </w:p>
        </w:tc>
        <w:tc>
          <w:tcPr>
            <w:tcW w:w="1276" w:type="dxa"/>
            <w:vAlign w:val="center"/>
          </w:tcPr>
          <w:p>
            <w:pPr>
              <w:pStyle w:val="13"/>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保障惠农资金及时全面落实</w:t>
            </w:r>
          </w:p>
        </w:tc>
        <w:tc>
          <w:tcPr>
            <w:tcW w:w="5386" w:type="dxa"/>
            <w:vAlign w:val="center"/>
          </w:tcPr>
          <w:p>
            <w:pPr>
              <w:pStyle w:val="13"/>
            </w:pPr>
            <w:r>
              <w:t>以解决基层财务管理中存在的突出问题和支农惠农政策为重点，提高农村财会人员综合素质，保障各项惠农资金及时全面落实。</w:t>
            </w:r>
          </w:p>
        </w:tc>
        <w:tc>
          <w:tcPr>
            <w:tcW w:w="2268" w:type="dxa"/>
            <w:vAlign w:val="center"/>
          </w:tcPr>
          <w:p>
            <w:pPr>
              <w:pStyle w:val="13"/>
            </w:pPr>
            <w:r>
              <w:t>≥95%</w:t>
            </w:r>
          </w:p>
        </w:tc>
        <w:tc>
          <w:tcPr>
            <w:tcW w:w="1276" w:type="dxa"/>
            <w:vAlign w:val="center"/>
          </w:tcPr>
          <w:p>
            <w:pPr>
              <w:pStyle w:val="13"/>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促进农村社会稳定</w:t>
            </w:r>
          </w:p>
        </w:tc>
        <w:tc>
          <w:tcPr>
            <w:tcW w:w="5386" w:type="dxa"/>
            <w:vAlign w:val="center"/>
          </w:tcPr>
          <w:p>
            <w:pPr>
              <w:pStyle w:val="13"/>
            </w:pPr>
            <w:r>
              <w:t>培养合格的支农会计人员，提升村级财务管理水平，促进农村经济发展。</w:t>
            </w:r>
          </w:p>
        </w:tc>
        <w:tc>
          <w:tcPr>
            <w:tcW w:w="2268" w:type="dxa"/>
            <w:vAlign w:val="center"/>
          </w:tcPr>
          <w:p>
            <w:pPr>
              <w:pStyle w:val="13"/>
            </w:pPr>
            <w:r>
              <w:t>≥95%</w:t>
            </w:r>
          </w:p>
        </w:tc>
        <w:tc>
          <w:tcPr>
            <w:tcW w:w="1276" w:type="dxa"/>
            <w:vAlign w:val="center"/>
          </w:tcPr>
          <w:p>
            <w:pPr>
              <w:pStyle w:val="13"/>
            </w:pPr>
            <w:r>
              <w:t>冀财农【2023】156号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全县各乡镇财政所、村会计等培训人员的满意情况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12、冀财农[2024]108号关于提前下达2025年省级农村财会人员培训资金那预算的通知绩效目标表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13043325P000008100095</w:t>
            </w:r>
          </w:p>
        </w:tc>
        <w:tc>
          <w:tcPr>
            <w:tcW w:w="2835" w:type="dxa"/>
            <w:vAlign w:val="center"/>
          </w:tcPr>
          <w:p>
            <w:pPr>
              <w:pStyle w:val="11"/>
            </w:pPr>
            <w:r>
              <w:t>项目名称</w:t>
            </w:r>
          </w:p>
        </w:tc>
        <w:tc>
          <w:tcPr>
            <w:tcW w:w="6095" w:type="dxa"/>
            <w:gridSpan w:val="3"/>
            <w:vAlign w:val="center"/>
          </w:tcPr>
          <w:p>
            <w:pPr>
              <w:pStyle w:val="13"/>
            </w:pPr>
            <w:r>
              <w:t>冀财农[2024]108号关于提前下达2025年省级农村财会人员培训资金那预算的通知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重点用于支持做好农村财会人员财政支农政策培训工作，保障各项惠农资金及时全面落实，提升村级财务管理水平，促进农村经济发展。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1.重点用于支持做好农村财会人员财政支农政策培训工作，保障各项惠农资金及时全面落实，提升村级财务管理水平，促进农村经济发展。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培训人次</w:t>
            </w:r>
          </w:p>
        </w:tc>
        <w:tc>
          <w:tcPr>
            <w:tcW w:w="5386" w:type="dxa"/>
            <w:vAlign w:val="center"/>
          </w:tcPr>
          <w:p>
            <w:pPr>
              <w:pStyle w:val="13"/>
            </w:pPr>
            <w:r>
              <w:t>计划培训不低于850人次</w:t>
            </w:r>
          </w:p>
        </w:tc>
        <w:tc>
          <w:tcPr>
            <w:tcW w:w="2268" w:type="dxa"/>
            <w:vAlign w:val="center"/>
          </w:tcPr>
          <w:p>
            <w:pPr>
              <w:pStyle w:val="13"/>
            </w:pPr>
            <w:r>
              <w:t>≥850人次</w:t>
            </w:r>
          </w:p>
        </w:tc>
        <w:tc>
          <w:tcPr>
            <w:tcW w:w="1276" w:type="dxa"/>
            <w:vAlign w:val="center"/>
          </w:tcPr>
          <w:p>
            <w:pPr>
              <w:pStyle w:val="13"/>
            </w:pPr>
            <w:r>
              <w:t>培训名单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培训达标率</w:t>
            </w:r>
          </w:p>
        </w:tc>
        <w:tc>
          <w:tcPr>
            <w:tcW w:w="5386" w:type="dxa"/>
            <w:vAlign w:val="center"/>
          </w:tcPr>
          <w:p>
            <w:pPr>
              <w:pStyle w:val="13"/>
            </w:pPr>
            <w:r>
              <w:t>培训达标人数/参加培训总人数*100%</w:t>
            </w:r>
          </w:p>
        </w:tc>
        <w:tc>
          <w:tcPr>
            <w:tcW w:w="2268" w:type="dxa"/>
            <w:vAlign w:val="center"/>
          </w:tcPr>
          <w:p>
            <w:pPr>
              <w:pStyle w:val="13"/>
            </w:pPr>
            <w:r>
              <w:t>≥95%</w:t>
            </w:r>
          </w:p>
        </w:tc>
        <w:tc>
          <w:tcPr>
            <w:tcW w:w="1276" w:type="dxa"/>
            <w:vAlign w:val="center"/>
          </w:tcPr>
          <w:p>
            <w:pPr>
              <w:pStyle w:val="13"/>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按时培训</w:t>
            </w:r>
          </w:p>
        </w:tc>
        <w:tc>
          <w:tcPr>
            <w:tcW w:w="5386" w:type="dxa"/>
            <w:vAlign w:val="center"/>
          </w:tcPr>
          <w:p>
            <w:pPr>
              <w:pStyle w:val="13"/>
            </w:pPr>
            <w:r>
              <w:t>按要求时间及时完成农村财会人员培训</w:t>
            </w:r>
          </w:p>
        </w:tc>
        <w:tc>
          <w:tcPr>
            <w:tcW w:w="2268" w:type="dxa"/>
            <w:vAlign w:val="center"/>
          </w:tcPr>
          <w:p>
            <w:pPr>
              <w:pStyle w:val="13"/>
            </w:pPr>
            <w:r>
              <w:t>≤1年</w:t>
            </w:r>
          </w:p>
        </w:tc>
        <w:tc>
          <w:tcPr>
            <w:tcW w:w="1276" w:type="dxa"/>
            <w:vAlign w:val="center"/>
          </w:tcPr>
          <w:p>
            <w:pPr>
              <w:pStyle w:val="13"/>
            </w:pPr>
            <w:r>
              <w:t>培训实施方案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开展农村财会人员培训工作的补助资金</w:t>
            </w:r>
          </w:p>
        </w:tc>
        <w:tc>
          <w:tcPr>
            <w:tcW w:w="2268" w:type="dxa"/>
            <w:vAlign w:val="center"/>
          </w:tcPr>
          <w:p>
            <w:pPr>
              <w:pStyle w:val="13"/>
            </w:pPr>
            <w:r>
              <w:t>≤10万元</w:t>
            </w:r>
          </w:p>
        </w:tc>
        <w:tc>
          <w:tcPr>
            <w:tcW w:w="1276" w:type="dxa"/>
            <w:vAlign w:val="center"/>
          </w:tcPr>
          <w:p>
            <w:pPr>
              <w:pStyle w:val="13"/>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保障惠农资金及时全面落实</w:t>
            </w:r>
          </w:p>
        </w:tc>
        <w:tc>
          <w:tcPr>
            <w:tcW w:w="5386" w:type="dxa"/>
            <w:vAlign w:val="center"/>
          </w:tcPr>
          <w:p>
            <w:pPr>
              <w:pStyle w:val="13"/>
            </w:pPr>
            <w:r>
              <w:t>以解决基层财务管理中的突出问题和支农惠农政策为重点，提高农村财会人员综合素质，保障各项惠农资金及时全面落实。</w:t>
            </w:r>
          </w:p>
        </w:tc>
        <w:tc>
          <w:tcPr>
            <w:tcW w:w="2268" w:type="dxa"/>
            <w:vAlign w:val="center"/>
          </w:tcPr>
          <w:p>
            <w:pPr>
              <w:pStyle w:val="13"/>
            </w:pPr>
            <w:r>
              <w:t>≥95%</w:t>
            </w:r>
          </w:p>
        </w:tc>
        <w:tc>
          <w:tcPr>
            <w:tcW w:w="1276" w:type="dxa"/>
            <w:vAlign w:val="center"/>
          </w:tcPr>
          <w:p>
            <w:pPr>
              <w:pStyle w:val="13"/>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促进农村社会稳定</w:t>
            </w:r>
          </w:p>
        </w:tc>
        <w:tc>
          <w:tcPr>
            <w:tcW w:w="5386" w:type="dxa"/>
            <w:vAlign w:val="center"/>
          </w:tcPr>
          <w:p>
            <w:pPr>
              <w:pStyle w:val="13"/>
            </w:pPr>
            <w:r>
              <w:t>培养合格的支农会计人员，提升村级财务管理水平，促进农村经济发展。</w:t>
            </w:r>
          </w:p>
        </w:tc>
        <w:tc>
          <w:tcPr>
            <w:tcW w:w="2268" w:type="dxa"/>
            <w:vAlign w:val="center"/>
          </w:tcPr>
          <w:p>
            <w:pPr>
              <w:pStyle w:val="13"/>
            </w:pPr>
            <w:r>
              <w:t>≥95%</w:t>
            </w:r>
          </w:p>
        </w:tc>
        <w:tc>
          <w:tcPr>
            <w:tcW w:w="1276" w:type="dxa"/>
            <w:vAlign w:val="center"/>
          </w:tcPr>
          <w:p>
            <w:pPr>
              <w:pStyle w:val="13"/>
            </w:pPr>
            <w:r>
              <w:t>冀财农[2024]108号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培训人员满意度</w:t>
            </w:r>
          </w:p>
        </w:tc>
        <w:tc>
          <w:tcPr>
            <w:tcW w:w="5386" w:type="dxa"/>
            <w:vAlign w:val="center"/>
          </w:tcPr>
          <w:p>
            <w:pPr>
              <w:pStyle w:val="13"/>
            </w:pPr>
            <w:r>
              <w:t>全县各乡镇财政所、村会计等培训人员对培训工作的满意情况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13、政府投资项目财政评审资金绩效目标表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13043325P00000710015W</w:t>
            </w:r>
          </w:p>
        </w:tc>
        <w:tc>
          <w:tcPr>
            <w:tcW w:w="2835" w:type="dxa"/>
            <w:vAlign w:val="center"/>
          </w:tcPr>
          <w:p>
            <w:pPr>
              <w:pStyle w:val="11"/>
            </w:pPr>
            <w:r>
              <w:t>项目名称</w:t>
            </w:r>
          </w:p>
        </w:tc>
        <w:tc>
          <w:tcPr>
            <w:tcW w:w="6095" w:type="dxa"/>
            <w:gridSpan w:val="3"/>
            <w:vAlign w:val="center"/>
          </w:tcPr>
          <w:p>
            <w:pPr>
              <w:pStyle w:val="13"/>
            </w:pPr>
            <w:r>
              <w:t>政府投资项目财政评审资金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用于对财政性资金拟安排的建设项目预算进行评价审查，实现财政资金的最大化利用，改善政府投资评审环境。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1.用于对财政性资金拟安排的建设项目预算进行评价审查，实现财政资金的最大化利用，改善政府投资评审环境。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项目评审数量</w:t>
            </w:r>
          </w:p>
        </w:tc>
        <w:tc>
          <w:tcPr>
            <w:tcW w:w="5386" w:type="dxa"/>
            <w:vAlign w:val="center"/>
          </w:tcPr>
          <w:p>
            <w:pPr>
              <w:pStyle w:val="13"/>
            </w:pPr>
            <w:r>
              <w:t>政府投资的评审项目数量</w:t>
            </w:r>
          </w:p>
        </w:tc>
        <w:tc>
          <w:tcPr>
            <w:tcW w:w="2268" w:type="dxa"/>
            <w:vAlign w:val="center"/>
          </w:tcPr>
          <w:p>
            <w:pPr>
              <w:pStyle w:val="13"/>
            </w:pPr>
            <w:r>
              <w:t>≥150个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评审覆盖率</w:t>
            </w:r>
          </w:p>
        </w:tc>
        <w:tc>
          <w:tcPr>
            <w:tcW w:w="5386" w:type="dxa"/>
            <w:vAlign w:val="center"/>
          </w:tcPr>
          <w:p>
            <w:pPr>
              <w:pStyle w:val="13"/>
            </w:pPr>
            <w:r>
              <w:t>实际评审的项目数量占计划评审数量的比例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及时评审</w:t>
            </w:r>
          </w:p>
        </w:tc>
        <w:tc>
          <w:tcPr>
            <w:tcW w:w="5386" w:type="dxa"/>
            <w:vAlign w:val="center"/>
          </w:tcPr>
          <w:p>
            <w:pPr>
              <w:pStyle w:val="13"/>
            </w:pPr>
            <w:r>
              <w:t>在计划时间内完成政府投资评审工作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评审成本</w:t>
            </w:r>
          </w:p>
        </w:tc>
        <w:tc>
          <w:tcPr>
            <w:tcW w:w="5386" w:type="dxa"/>
            <w:vAlign w:val="center"/>
          </w:tcPr>
          <w:p>
            <w:pPr>
              <w:pStyle w:val="13"/>
            </w:pPr>
            <w:r>
              <w:t>开展政府投资的评审所需的资金</w:t>
            </w:r>
          </w:p>
        </w:tc>
        <w:tc>
          <w:tcPr>
            <w:tcW w:w="2268" w:type="dxa"/>
            <w:vAlign w:val="center"/>
          </w:tcPr>
          <w:p>
            <w:pPr>
              <w:pStyle w:val="13"/>
            </w:pPr>
            <w:r>
              <w:t>≤400万元</w:t>
            </w:r>
          </w:p>
        </w:tc>
        <w:tc>
          <w:tcPr>
            <w:tcW w:w="1276" w:type="dxa"/>
            <w:vAlign w:val="center"/>
          </w:tcPr>
          <w:p>
            <w:pPr>
              <w:pStyle w:val="13"/>
            </w:pPr>
            <w:r>
              <w:t>评审测算表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改善政府投资评审环境</w:t>
            </w:r>
          </w:p>
        </w:tc>
        <w:tc>
          <w:tcPr>
            <w:tcW w:w="5386" w:type="dxa"/>
            <w:vAlign w:val="center"/>
          </w:tcPr>
          <w:p>
            <w:pPr>
              <w:pStyle w:val="13"/>
            </w:pPr>
            <w:r>
              <w:t>通过财政评审工作，严关把守，节约财政资金，改善政府投资评审环境。</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促进社会公平稳定</w:t>
            </w:r>
          </w:p>
        </w:tc>
        <w:tc>
          <w:tcPr>
            <w:tcW w:w="5386" w:type="dxa"/>
            <w:vAlign w:val="center"/>
          </w:tcPr>
          <w:p>
            <w:pPr>
              <w:pStyle w:val="13"/>
            </w:pPr>
            <w:r>
              <w:t>加强财政投资评审工作，实现财政资金的最大化利用，为经济社会发展创造更好的条件，促进社会公平稳定。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评审单位的满意度</w:t>
            </w:r>
          </w:p>
        </w:tc>
        <w:tc>
          <w:tcPr>
            <w:tcW w:w="5386" w:type="dxa"/>
            <w:vAlign w:val="center"/>
          </w:tcPr>
          <w:p>
            <w:pPr>
              <w:pStyle w:val="13"/>
            </w:pPr>
            <w:r>
              <w:t>评审单位对评审工作的满意度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318馆陶县财政局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财政信息化建设工作经费</w:t>
            </w:r>
          </w:p>
        </w:tc>
        <w:tc>
          <w:tcPr>
            <w:tcW w:w="964" w:type="dxa"/>
            <w:vAlign w:val="center"/>
          </w:tcPr>
          <w:p>
            <w:pPr>
              <w:pStyle w:val="12"/>
            </w:pPr>
            <w:r>
              <w:t>30.00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18</w:t>
            </w:r>
          </w:p>
        </w:tc>
        <w:tc>
          <w:tcPr>
            <w:tcW w:w="850" w:type="dxa"/>
            <w:vAlign w:val="center"/>
          </w:tcPr>
          <w:p>
            <w:pPr>
              <w:pStyle w:val="12"/>
            </w:pPr>
            <w:r>
              <w:t>0.50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财政信息化建设工作经费</w:t>
            </w:r>
          </w:p>
        </w:tc>
        <w:tc>
          <w:tcPr>
            <w:tcW w:w="964" w:type="dxa"/>
            <w:vAlign w:val="center"/>
          </w:tcPr>
          <w:p>
            <w:pPr>
              <w:pStyle w:val="12"/>
            </w:pPr>
            <w:r>
              <w:t>30.00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0.60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财政信息化建设工作经费</w:t>
            </w:r>
          </w:p>
        </w:tc>
        <w:tc>
          <w:tcPr>
            <w:tcW w:w="964" w:type="dxa"/>
            <w:vAlign w:val="center"/>
          </w:tcPr>
          <w:p>
            <w:pPr>
              <w:pStyle w:val="12"/>
            </w:pPr>
            <w:r>
              <w:t>30.00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11</w:t>
            </w:r>
          </w:p>
        </w:tc>
        <w:tc>
          <w:tcPr>
            <w:tcW w:w="850" w:type="dxa"/>
            <w:vAlign w:val="center"/>
          </w:tcPr>
          <w:p>
            <w:pPr>
              <w:pStyle w:val="12"/>
            </w:pPr>
            <w:r>
              <w:t>0.20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财政信息化建设工作经费</w:t>
            </w:r>
          </w:p>
        </w:tc>
        <w:tc>
          <w:tcPr>
            <w:tcW w:w="964" w:type="dxa"/>
            <w:vAlign w:val="center"/>
          </w:tcPr>
          <w:p>
            <w:pPr>
              <w:pStyle w:val="12"/>
            </w:pPr>
            <w:r>
              <w:t>30.00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财政信息化建设工作经费</w:t>
            </w:r>
          </w:p>
        </w:tc>
        <w:tc>
          <w:tcPr>
            <w:tcW w:w="964" w:type="dxa"/>
            <w:vAlign w:val="center"/>
          </w:tcPr>
          <w:p>
            <w:pPr>
              <w:pStyle w:val="12"/>
            </w:pPr>
            <w:r>
              <w:t>30.00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馆陶县财政局（含所属单位）上年末固定资产金额为253.21万元（详见下表）。本年度拟购置固定资产总额为15.00万元，已按要求列入政府采购预算，详见政府采购预算表。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318馆陶县财政局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243</w:t>
            </w:r>
          </w:p>
        </w:tc>
        <w:tc>
          <w:tcPr>
            <w:tcW w:w="2835" w:type="dxa"/>
            <w:vAlign w:val="center"/>
          </w:tcPr>
          <w:p>
            <w:pPr>
              <w:pStyle w:val="12"/>
            </w:pPr>
            <w:r>
              <w:t>238.85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NlNTIzMTkzMmIyMzlmZWVmM2RlZWUyNThjYTQ5MWIifQ=="/>
  </w:docVars>
  <w:rsids>
    <w:rsidRoot w:val="00000000"/>
    <w:rsid w:val="12062D4C"/>
    <w:rsid w:val="3BD33BB4"/>
    <w:rsid w:val="46F46496"/>
    <w:rsid w:val="47BD69DE"/>
    <w:rsid w:val="5AE91079"/>
    <w:rsid w:val="656E2A04"/>
    <w:rsid w:val="712063D6"/>
    <w:rsid w:val="7E8A52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15058</Words>
  <Characters>17847</Characters>
  <TotalTime>0</TotalTime>
  <ScaleCrop>false</ScaleCrop>
  <LinksUpToDate>false</LinksUpToDate>
  <CharactersWithSpaces>18084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2025-02-17T11:21:00Z</dcterms:created>
  <dc:creator>Administrator</dc:creator>
  <cp:lastModifiedBy>Administrator</cp:lastModifiedBy>
  <dcterms:modified xsi:type="dcterms:W3CDTF">2025-03-03T06:55:36Z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4881524C7C6340CAB0E59851C8BDD16C_12</vt:lpwstr>
  </property>
</Properties>
</file>