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318馆陶县财政局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1397.99</w:t>
            </w:r>
          </w:p>
        </w:tc>
        <w:tc>
          <w:tcPr>
            <w:tcW w:w="4535" w:type="dxa"/>
            <w:vAlign w:val="center"/>
          </w:tcPr>
          <w:p>
            <w:pPr>
              <w:pStyle w:val="13"/>
            </w:pPr>
            <w:r>
              <w:t>一、一般公共服务支出</w:t>
            </w:r>
          </w:p>
        </w:tc>
        <w:tc>
          <w:tcPr>
            <w:tcW w:w="2126" w:type="dxa"/>
            <w:vAlign w:val="center"/>
          </w:tcPr>
          <w:p>
            <w:pPr>
              <w:pStyle w:val="12"/>
            </w:pPr>
            <w:r>
              <w:t>1294.68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1397.99</w:t>
            </w:r>
          </w:p>
        </w:tc>
        <w:tc>
          <w:tcPr>
            <w:tcW w:w="4535" w:type="dxa"/>
            <w:vAlign w:val="center"/>
          </w:tcPr>
          <w:p>
            <w:pPr>
              <w:pStyle w:val="15"/>
            </w:pPr>
            <w:r>
              <w:t>本年支出合计</w:t>
            </w:r>
          </w:p>
        </w:tc>
        <w:tc>
          <w:tcPr>
            <w:tcW w:w="2126" w:type="dxa"/>
            <w:vAlign w:val="center"/>
          </w:tcPr>
          <w:p>
            <w:pPr>
              <w:pStyle w:val="16"/>
            </w:pPr>
            <w:r>
              <w:t>1397.99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1397.99</w:t>
            </w:r>
          </w:p>
        </w:tc>
        <w:tc>
          <w:tcPr>
            <w:tcW w:w="4535" w:type="dxa"/>
            <w:vAlign w:val="center"/>
          </w:tcPr>
          <w:p>
            <w:pPr>
              <w:pStyle w:val="15"/>
            </w:pPr>
            <w:r>
              <w:t>支出总计</w:t>
            </w:r>
          </w:p>
        </w:tc>
        <w:tc>
          <w:tcPr>
            <w:tcW w:w="2126" w:type="dxa"/>
            <w:vAlign w:val="center"/>
          </w:tcPr>
          <w:p>
            <w:pPr>
              <w:pStyle w:val="16"/>
            </w:pPr>
            <w:r>
              <w:t>1397.99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318馆陶县财政局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1397.99</w:t>
            </w:r>
          </w:p>
        </w:tc>
        <w:tc>
          <w:tcPr>
            <w:tcW w:w="1134" w:type="dxa"/>
            <w:vAlign w:val="center"/>
          </w:tcPr>
          <w:p>
            <w:pPr>
              <w:pStyle w:val="16"/>
            </w:pPr>
            <w:r>
              <w:t>1397.99</w:t>
            </w:r>
          </w:p>
        </w:tc>
        <w:tc>
          <w:tcPr>
            <w:tcW w:w="1134" w:type="dxa"/>
            <w:vAlign w:val="center"/>
          </w:tcPr>
          <w:p>
            <w:pPr>
              <w:pStyle w:val="16"/>
            </w:pPr>
            <w:r>
              <w:t>1397.99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1294.68</w:t>
            </w:r>
          </w:p>
        </w:tc>
        <w:tc>
          <w:tcPr>
            <w:tcW w:w="1134" w:type="dxa"/>
            <w:vAlign w:val="center"/>
          </w:tcPr>
          <w:p>
            <w:pPr>
              <w:pStyle w:val="12"/>
            </w:pPr>
            <w:r>
              <w:t>1294.68</w:t>
            </w:r>
          </w:p>
        </w:tc>
        <w:tc>
          <w:tcPr>
            <w:tcW w:w="1134" w:type="dxa"/>
            <w:vAlign w:val="center"/>
          </w:tcPr>
          <w:p>
            <w:pPr>
              <w:pStyle w:val="12"/>
            </w:pPr>
            <w:r>
              <w:t>1294.68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1294.68</w:t>
            </w:r>
          </w:p>
        </w:tc>
        <w:tc>
          <w:tcPr>
            <w:tcW w:w="1134" w:type="dxa"/>
            <w:vAlign w:val="center"/>
          </w:tcPr>
          <w:p>
            <w:pPr>
              <w:pStyle w:val="12"/>
            </w:pPr>
            <w:r>
              <w:t>1294.68</w:t>
            </w:r>
          </w:p>
        </w:tc>
        <w:tc>
          <w:tcPr>
            <w:tcW w:w="1134" w:type="dxa"/>
            <w:vAlign w:val="center"/>
          </w:tcPr>
          <w:p>
            <w:pPr>
              <w:pStyle w:val="12"/>
            </w:pPr>
            <w:r>
              <w:t>1294.68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722.68</w:t>
            </w:r>
          </w:p>
        </w:tc>
        <w:tc>
          <w:tcPr>
            <w:tcW w:w="1134" w:type="dxa"/>
            <w:vAlign w:val="center"/>
          </w:tcPr>
          <w:p>
            <w:pPr>
              <w:pStyle w:val="12"/>
            </w:pPr>
            <w:r>
              <w:t>722.68</w:t>
            </w:r>
          </w:p>
        </w:tc>
        <w:tc>
          <w:tcPr>
            <w:tcW w:w="1134" w:type="dxa"/>
            <w:vAlign w:val="center"/>
          </w:tcPr>
          <w:p>
            <w:pPr>
              <w:pStyle w:val="12"/>
            </w:pPr>
            <w:r>
              <w:t>722.68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2010604</w:t>
            </w:r>
          </w:p>
        </w:tc>
        <w:tc>
          <w:tcPr>
            <w:tcW w:w="1559" w:type="dxa"/>
            <w:vAlign w:val="center"/>
          </w:tcPr>
          <w:p>
            <w:pPr>
              <w:pStyle w:val="13"/>
            </w:pPr>
            <w:r>
              <w:t>预算改革业务</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2010605</w:t>
            </w:r>
          </w:p>
        </w:tc>
        <w:tc>
          <w:tcPr>
            <w:tcW w:w="1559" w:type="dxa"/>
            <w:vAlign w:val="center"/>
          </w:tcPr>
          <w:p>
            <w:pPr>
              <w:pStyle w:val="13"/>
            </w:pPr>
            <w:r>
              <w:t>财政国库业务</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2010606</w:t>
            </w:r>
          </w:p>
        </w:tc>
        <w:tc>
          <w:tcPr>
            <w:tcW w:w="1559" w:type="dxa"/>
            <w:vAlign w:val="center"/>
          </w:tcPr>
          <w:p>
            <w:pPr>
              <w:pStyle w:val="13"/>
            </w:pPr>
            <w:r>
              <w:t>财政监察</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2010607</w:t>
            </w:r>
          </w:p>
        </w:tc>
        <w:tc>
          <w:tcPr>
            <w:tcW w:w="1559" w:type="dxa"/>
            <w:vAlign w:val="center"/>
          </w:tcPr>
          <w:p>
            <w:pPr>
              <w:pStyle w:val="13"/>
            </w:pPr>
            <w:r>
              <w:t>信息化建设</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2010608</w:t>
            </w:r>
          </w:p>
        </w:tc>
        <w:tc>
          <w:tcPr>
            <w:tcW w:w="1559" w:type="dxa"/>
            <w:vAlign w:val="center"/>
          </w:tcPr>
          <w:p>
            <w:pPr>
              <w:pStyle w:val="13"/>
            </w:pPr>
            <w:r>
              <w:t>财政委托业务支出</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36.61</w:t>
            </w:r>
          </w:p>
        </w:tc>
        <w:tc>
          <w:tcPr>
            <w:tcW w:w="1134" w:type="dxa"/>
            <w:vAlign w:val="center"/>
          </w:tcPr>
          <w:p>
            <w:pPr>
              <w:pStyle w:val="12"/>
            </w:pPr>
            <w:r>
              <w:t>36.61</w:t>
            </w:r>
          </w:p>
        </w:tc>
        <w:tc>
          <w:tcPr>
            <w:tcW w:w="1134" w:type="dxa"/>
            <w:vAlign w:val="center"/>
          </w:tcPr>
          <w:p>
            <w:pPr>
              <w:pStyle w:val="12"/>
            </w:pPr>
            <w:r>
              <w:t>36.61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18.30</w:t>
            </w:r>
          </w:p>
        </w:tc>
        <w:tc>
          <w:tcPr>
            <w:tcW w:w="1134" w:type="dxa"/>
            <w:vAlign w:val="center"/>
          </w:tcPr>
          <w:p>
            <w:pPr>
              <w:pStyle w:val="12"/>
            </w:pPr>
            <w:r>
              <w:t>18.30</w:t>
            </w:r>
          </w:p>
        </w:tc>
        <w:tc>
          <w:tcPr>
            <w:tcW w:w="1134" w:type="dxa"/>
            <w:vAlign w:val="center"/>
          </w:tcPr>
          <w:p>
            <w:pPr>
              <w:pStyle w:val="12"/>
            </w:pPr>
            <w:r>
              <w:t>18.30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18.30</w:t>
            </w:r>
          </w:p>
        </w:tc>
        <w:tc>
          <w:tcPr>
            <w:tcW w:w="1134" w:type="dxa"/>
            <w:vAlign w:val="center"/>
          </w:tcPr>
          <w:p>
            <w:pPr>
              <w:pStyle w:val="12"/>
            </w:pPr>
            <w:r>
              <w:t>18.30</w:t>
            </w:r>
          </w:p>
        </w:tc>
        <w:tc>
          <w:tcPr>
            <w:tcW w:w="1134" w:type="dxa"/>
            <w:vAlign w:val="center"/>
          </w:tcPr>
          <w:p>
            <w:pPr>
              <w:pStyle w:val="12"/>
            </w:pPr>
            <w:r>
              <w:t>18.30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18.30</w:t>
            </w:r>
          </w:p>
        </w:tc>
        <w:tc>
          <w:tcPr>
            <w:tcW w:w="1134" w:type="dxa"/>
            <w:vAlign w:val="center"/>
          </w:tcPr>
          <w:p>
            <w:pPr>
              <w:pStyle w:val="12"/>
            </w:pPr>
            <w:r>
              <w:t>18.30</w:t>
            </w:r>
          </w:p>
        </w:tc>
        <w:tc>
          <w:tcPr>
            <w:tcW w:w="1134" w:type="dxa"/>
            <w:vAlign w:val="center"/>
          </w:tcPr>
          <w:p>
            <w:pPr>
              <w:pStyle w:val="12"/>
            </w:pPr>
            <w:r>
              <w:t>18.30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1397.99</w:t>
            </w:r>
          </w:p>
        </w:tc>
        <w:tc>
          <w:tcPr>
            <w:tcW w:w="1361" w:type="dxa"/>
            <w:vAlign w:val="center"/>
          </w:tcPr>
          <w:p>
            <w:pPr>
              <w:pStyle w:val="16"/>
            </w:pPr>
            <w:r>
              <w:t>679.66</w:t>
            </w:r>
          </w:p>
        </w:tc>
        <w:tc>
          <w:tcPr>
            <w:tcW w:w="1361" w:type="dxa"/>
            <w:vAlign w:val="center"/>
          </w:tcPr>
          <w:p>
            <w:pPr>
              <w:pStyle w:val="16"/>
            </w:pPr>
            <w:r>
              <w:t>718.33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1294.68</w:t>
            </w:r>
          </w:p>
        </w:tc>
        <w:tc>
          <w:tcPr>
            <w:tcW w:w="1361" w:type="dxa"/>
            <w:vAlign w:val="center"/>
          </w:tcPr>
          <w:p>
            <w:pPr>
              <w:pStyle w:val="12"/>
            </w:pPr>
            <w:r>
              <w:t>585.35</w:t>
            </w:r>
          </w:p>
        </w:tc>
        <w:tc>
          <w:tcPr>
            <w:tcW w:w="1361" w:type="dxa"/>
            <w:vAlign w:val="center"/>
          </w:tcPr>
          <w:p>
            <w:pPr>
              <w:pStyle w:val="12"/>
            </w:pPr>
            <w:r>
              <w:t>709.33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1294.68</w:t>
            </w:r>
          </w:p>
        </w:tc>
        <w:tc>
          <w:tcPr>
            <w:tcW w:w="1361" w:type="dxa"/>
            <w:vAlign w:val="center"/>
          </w:tcPr>
          <w:p>
            <w:pPr>
              <w:pStyle w:val="12"/>
            </w:pPr>
            <w:r>
              <w:t>585.35</w:t>
            </w:r>
          </w:p>
        </w:tc>
        <w:tc>
          <w:tcPr>
            <w:tcW w:w="1361" w:type="dxa"/>
            <w:vAlign w:val="center"/>
          </w:tcPr>
          <w:p>
            <w:pPr>
              <w:pStyle w:val="12"/>
            </w:pPr>
            <w:r>
              <w:t>709.33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722.68</w:t>
            </w:r>
          </w:p>
        </w:tc>
        <w:tc>
          <w:tcPr>
            <w:tcW w:w="1361" w:type="dxa"/>
            <w:vAlign w:val="center"/>
          </w:tcPr>
          <w:p>
            <w:pPr>
              <w:pStyle w:val="12"/>
            </w:pPr>
            <w:r>
              <w:t>585.35</w:t>
            </w:r>
          </w:p>
        </w:tc>
        <w:tc>
          <w:tcPr>
            <w:tcW w:w="1361" w:type="dxa"/>
            <w:vAlign w:val="center"/>
          </w:tcPr>
          <w:p>
            <w:pPr>
              <w:pStyle w:val="12"/>
            </w:pPr>
            <w:r>
              <w:t>137.33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2010604</w:t>
            </w:r>
          </w:p>
        </w:tc>
        <w:tc>
          <w:tcPr>
            <w:tcW w:w="4535" w:type="dxa"/>
            <w:vAlign w:val="center"/>
          </w:tcPr>
          <w:p>
            <w:pPr>
              <w:pStyle w:val="13"/>
            </w:pPr>
            <w:r>
              <w:t>预算改革业务</w:t>
            </w: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2010605</w:t>
            </w:r>
          </w:p>
        </w:tc>
        <w:tc>
          <w:tcPr>
            <w:tcW w:w="4535" w:type="dxa"/>
            <w:vAlign w:val="center"/>
          </w:tcPr>
          <w:p>
            <w:pPr>
              <w:pStyle w:val="13"/>
            </w:pPr>
            <w:r>
              <w:t>财政国库业务</w:t>
            </w: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2010606</w:t>
            </w:r>
          </w:p>
        </w:tc>
        <w:tc>
          <w:tcPr>
            <w:tcW w:w="4535" w:type="dxa"/>
            <w:vAlign w:val="center"/>
          </w:tcPr>
          <w:p>
            <w:pPr>
              <w:pStyle w:val="13"/>
            </w:pPr>
            <w:r>
              <w:t>财政监察</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2010607</w:t>
            </w:r>
          </w:p>
        </w:tc>
        <w:tc>
          <w:tcPr>
            <w:tcW w:w="4535" w:type="dxa"/>
            <w:vAlign w:val="center"/>
          </w:tcPr>
          <w:p>
            <w:pPr>
              <w:pStyle w:val="13"/>
            </w:pPr>
            <w:r>
              <w:t>信息化建设</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2010608</w:t>
            </w:r>
          </w:p>
        </w:tc>
        <w:tc>
          <w:tcPr>
            <w:tcW w:w="4535" w:type="dxa"/>
            <w:vAlign w:val="center"/>
          </w:tcPr>
          <w:p>
            <w:pPr>
              <w:pStyle w:val="13"/>
            </w:pPr>
            <w:r>
              <w:t>财政委托业务支出</w:t>
            </w: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46.61</w:t>
            </w:r>
          </w:p>
        </w:tc>
        <w:tc>
          <w:tcPr>
            <w:tcW w:w="1361" w:type="dxa"/>
            <w:vAlign w:val="center"/>
          </w:tcPr>
          <w:p>
            <w:pPr>
              <w:pStyle w:val="12"/>
            </w:pPr>
            <w:r>
              <w:t>46.61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46.61</w:t>
            </w:r>
          </w:p>
        </w:tc>
        <w:tc>
          <w:tcPr>
            <w:tcW w:w="1361" w:type="dxa"/>
            <w:vAlign w:val="center"/>
          </w:tcPr>
          <w:p>
            <w:pPr>
              <w:pStyle w:val="12"/>
            </w:pPr>
            <w:r>
              <w:t>46.61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36.61</w:t>
            </w:r>
          </w:p>
        </w:tc>
        <w:tc>
          <w:tcPr>
            <w:tcW w:w="1361" w:type="dxa"/>
            <w:vAlign w:val="center"/>
          </w:tcPr>
          <w:p>
            <w:pPr>
              <w:pStyle w:val="12"/>
            </w:pPr>
            <w:r>
              <w:t>36.61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10.00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18.30</w:t>
            </w:r>
          </w:p>
        </w:tc>
        <w:tc>
          <w:tcPr>
            <w:tcW w:w="1361" w:type="dxa"/>
            <w:vAlign w:val="center"/>
          </w:tcPr>
          <w:p>
            <w:pPr>
              <w:pStyle w:val="12"/>
            </w:pPr>
            <w:r>
              <w:t>18.30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18.30</w:t>
            </w:r>
          </w:p>
        </w:tc>
        <w:tc>
          <w:tcPr>
            <w:tcW w:w="1361" w:type="dxa"/>
            <w:vAlign w:val="center"/>
          </w:tcPr>
          <w:p>
            <w:pPr>
              <w:pStyle w:val="12"/>
            </w:pPr>
            <w:r>
              <w:t>18.30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18.30</w:t>
            </w:r>
          </w:p>
        </w:tc>
        <w:tc>
          <w:tcPr>
            <w:tcW w:w="1361" w:type="dxa"/>
            <w:vAlign w:val="center"/>
          </w:tcPr>
          <w:p>
            <w:pPr>
              <w:pStyle w:val="12"/>
            </w:pPr>
            <w:r>
              <w:t>18.30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29.40</w:t>
            </w:r>
          </w:p>
        </w:tc>
        <w:tc>
          <w:tcPr>
            <w:tcW w:w="1361" w:type="dxa"/>
            <w:vAlign w:val="center"/>
          </w:tcPr>
          <w:p>
            <w:pPr>
              <w:pStyle w:val="12"/>
            </w:pPr>
            <w:r>
              <w:t>29.40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29.40</w:t>
            </w:r>
          </w:p>
        </w:tc>
        <w:tc>
          <w:tcPr>
            <w:tcW w:w="1361" w:type="dxa"/>
            <w:vAlign w:val="center"/>
          </w:tcPr>
          <w:p>
            <w:pPr>
              <w:pStyle w:val="12"/>
            </w:pPr>
            <w:r>
              <w:t>29.40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29.40</w:t>
            </w:r>
          </w:p>
        </w:tc>
        <w:tc>
          <w:tcPr>
            <w:tcW w:w="1361" w:type="dxa"/>
            <w:vAlign w:val="center"/>
          </w:tcPr>
          <w:p>
            <w:pPr>
              <w:pStyle w:val="12"/>
            </w:pPr>
            <w:r>
              <w:t>29.40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1397.99</w:t>
            </w:r>
          </w:p>
        </w:tc>
        <w:tc>
          <w:tcPr>
            <w:tcW w:w="3402" w:type="dxa"/>
            <w:vAlign w:val="center"/>
          </w:tcPr>
          <w:p>
            <w:pPr>
              <w:pStyle w:val="13"/>
            </w:pPr>
            <w:r>
              <w:t>一、一般公共服务支出</w:t>
            </w:r>
          </w:p>
        </w:tc>
        <w:tc>
          <w:tcPr>
            <w:tcW w:w="1474" w:type="dxa"/>
            <w:vAlign w:val="center"/>
          </w:tcPr>
          <w:p>
            <w:pPr>
              <w:pStyle w:val="12"/>
            </w:pPr>
            <w:r>
              <w:t>1294.68</w:t>
            </w:r>
          </w:p>
        </w:tc>
        <w:tc>
          <w:tcPr>
            <w:tcW w:w="1474" w:type="dxa"/>
            <w:vAlign w:val="center"/>
          </w:tcPr>
          <w:p>
            <w:pPr>
              <w:pStyle w:val="12"/>
            </w:pPr>
            <w:r>
              <w:t>1294.68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46.61</w:t>
            </w:r>
          </w:p>
        </w:tc>
        <w:tc>
          <w:tcPr>
            <w:tcW w:w="1474" w:type="dxa"/>
            <w:vAlign w:val="center"/>
          </w:tcPr>
          <w:p>
            <w:pPr>
              <w:pStyle w:val="12"/>
            </w:pPr>
            <w:r>
              <w:t>46.61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18.30</w:t>
            </w:r>
          </w:p>
        </w:tc>
        <w:tc>
          <w:tcPr>
            <w:tcW w:w="1474" w:type="dxa"/>
            <w:vAlign w:val="center"/>
          </w:tcPr>
          <w:p>
            <w:pPr>
              <w:pStyle w:val="12"/>
            </w:pPr>
            <w:r>
              <w:t>18.30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9.00</w:t>
            </w:r>
          </w:p>
        </w:tc>
        <w:tc>
          <w:tcPr>
            <w:tcW w:w="1474" w:type="dxa"/>
            <w:vAlign w:val="center"/>
          </w:tcPr>
          <w:p>
            <w:pPr>
              <w:pStyle w:val="12"/>
            </w:pPr>
            <w:r>
              <w:t>9.00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29.40</w:t>
            </w:r>
          </w:p>
        </w:tc>
        <w:tc>
          <w:tcPr>
            <w:tcW w:w="1474" w:type="dxa"/>
            <w:vAlign w:val="center"/>
          </w:tcPr>
          <w:p>
            <w:pPr>
              <w:pStyle w:val="12"/>
            </w:pPr>
            <w:r>
              <w:t>29.40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1397.99</w:t>
            </w:r>
          </w:p>
        </w:tc>
        <w:tc>
          <w:tcPr>
            <w:tcW w:w="3402" w:type="dxa"/>
            <w:vAlign w:val="center"/>
          </w:tcPr>
          <w:p>
            <w:pPr>
              <w:pStyle w:val="15"/>
            </w:pPr>
            <w:r>
              <w:t>本年支出合计</w:t>
            </w:r>
          </w:p>
        </w:tc>
        <w:tc>
          <w:tcPr>
            <w:tcW w:w="1474" w:type="dxa"/>
            <w:vAlign w:val="center"/>
          </w:tcPr>
          <w:p>
            <w:pPr>
              <w:pStyle w:val="16"/>
            </w:pPr>
            <w:r>
              <w:t>1397.99</w:t>
            </w:r>
          </w:p>
        </w:tc>
        <w:tc>
          <w:tcPr>
            <w:tcW w:w="1474" w:type="dxa"/>
            <w:vAlign w:val="center"/>
          </w:tcPr>
          <w:p>
            <w:pPr>
              <w:pStyle w:val="16"/>
            </w:pPr>
            <w:r>
              <w:t>1397.99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1397.99</w:t>
            </w:r>
          </w:p>
        </w:tc>
        <w:tc>
          <w:tcPr>
            <w:tcW w:w="3402" w:type="dxa"/>
            <w:vAlign w:val="center"/>
          </w:tcPr>
          <w:p>
            <w:pPr>
              <w:pStyle w:val="15"/>
            </w:pPr>
            <w:r>
              <w:t>支出总计</w:t>
            </w:r>
          </w:p>
        </w:tc>
        <w:tc>
          <w:tcPr>
            <w:tcW w:w="1474" w:type="dxa"/>
            <w:vAlign w:val="center"/>
          </w:tcPr>
          <w:p>
            <w:pPr>
              <w:pStyle w:val="16"/>
            </w:pPr>
            <w:r>
              <w:t>1397.99</w:t>
            </w:r>
          </w:p>
        </w:tc>
        <w:tc>
          <w:tcPr>
            <w:tcW w:w="1474" w:type="dxa"/>
            <w:vAlign w:val="center"/>
          </w:tcPr>
          <w:p>
            <w:pPr>
              <w:pStyle w:val="16"/>
            </w:pPr>
            <w:r>
              <w:t>1397.99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1397.99</w:t>
            </w:r>
          </w:p>
        </w:tc>
        <w:tc>
          <w:tcPr>
            <w:tcW w:w="2551" w:type="dxa"/>
            <w:vAlign w:val="center"/>
          </w:tcPr>
          <w:p>
            <w:pPr>
              <w:pStyle w:val="16"/>
            </w:pPr>
            <w:r>
              <w:t>679.66</w:t>
            </w:r>
          </w:p>
        </w:tc>
        <w:tc>
          <w:tcPr>
            <w:tcW w:w="2551" w:type="dxa"/>
            <w:vAlign w:val="center"/>
          </w:tcPr>
          <w:p>
            <w:pPr>
              <w:pStyle w:val="16"/>
            </w:pPr>
            <w:r>
              <w:t>718.33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1294.68</w:t>
            </w:r>
          </w:p>
        </w:tc>
        <w:tc>
          <w:tcPr>
            <w:tcW w:w="2551" w:type="dxa"/>
            <w:vAlign w:val="center"/>
          </w:tcPr>
          <w:p>
            <w:pPr>
              <w:pStyle w:val="12"/>
            </w:pPr>
            <w:r>
              <w:t>585.35</w:t>
            </w:r>
          </w:p>
        </w:tc>
        <w:tc>
          <w:tcPr>
            <w:tcW w:w="2551" w:type="dxa"/>
            <w:vAlign w:val="center"/>
          </w:tcPr>
          <w:p>
            <w:pPr>
              <w:pStyle w:val="12"/>
            </w:pPr>
            <w:r>
              <w:t>709.33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1294.68</w:t>
            </w:r>
          </w:p>
        </w:tc>
        <w:tc>
          <w:tcPr>
            <w:tcW w:w="2551" w:type="dxa"/>
            <w:vAlign w:val="center"/>
          </w:tcPr>
          <w:p>
            <w:pPr>
              <w:pStyle w:val="12"/>
            </w:pPr>
            <w:r>
              <w:t>585.35</w:t>
            </w:r>
          </w:p>
        </w:tc>
        <w:tc>
          <w:tcPr>
            <w:tcW w:w="2551" w:type="dxa"/>
            <w:vAlign w:val="center"/>
          </w:tcPr>
          <w:p>
            <w:pPr>
              <w:pStyle w:val="12"/>
            </w:pPr>
            <w:r>
              <w:t>709.33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722.68</w:t>
            </w:r>
          </w:p>
        </w:tc>
        <w:tc>
          <w:tcPr>
            <w:tcW w:w="2551" w:type="dxa"/>
            <w:vAlign w:val="center"/>
          </w:tcPr>
          <w:p>
            <w:pPr>
              <w:pStyle w:val="12"/>
            </w:pPr>
            <w:r>
              <w:t>585.35</w:t>
            </w:r>
          </w:p>
        </w:tc>
        <w:tc>
          <w:tcPr>
            <w:tcW w:w="2551" w:type="dxa"/>
            <w:vAlign w:val="center"/>
          </w:tcPr>
          <w:p>
            <w:pPr>
              <w:pStyle w:val="12"/>
            </w:pPr>
            <w:r>
              <w:t>137.33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2010604</w:t>
            </w:r>
          </w:p>
        </w:tc>
        <w:tc>
          <w:tcPr>
            <w:tcW w:w="4535" w:type="dxa"/>
            <w:vAlign w:val="center"/>
          </w:tcPr>
          <w:p>
            <w:pPr>
              <w:pStyle w:val="13"/>
            </w:pPr>
            <w:r>
              <w:t>预算改革业务</w:t>
            </w:r>
          </w:p>
        </w:tc>
        <w:tc>
          <w:tcPr>
            <w:tcW w:w="2551" w:type="dxa"/>
            <w:vAlign w:val="center"/>
          </w:tcPr>
          <w:p>
            <w:pPr>
              <w:pStyle w:val="12"/>
            </w:pPr>
            <w:r>
              <w:t>48.00</w:t>
            </w:r>
          </w:p>
        </w:tc>
        <w:tc>
          <w:tcPr>
            <w:tcW w:w="2551" w:type="dxa"/>
            <w:vAlign w:val="center"/>
          </w:tcPr>
          <w:p>
            <w:pPr>
              <w:pStyle w:val="12"/>
            </w:pPr>
          </w:p>
        </w:tc>
        <w:tc>
          <w:tcPr>
            <w:tcW w:w="2551" w:type="dxa"/>
            <w:vAlign w:val="center"/>
          </w:tcPr>
          <w:p>
            <w:pPr>
              <w:pStyle w:val="12"/>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2010605</w:t>
            </w:r>
          </w:p>
        </w:tc>
        <w:tc>
          <w:tcPr>
            <w:tcW w:w="4535" w:type="dxa"/>
            <w:vAlign w:val="center"/>
          </w:tcPr>
          <w:p>
            <w:pPr>
              <w:pStyle w:val="13"/>
            </w:pPr>
            <w:r>
              <w:t>财政国库业务</w:t>
            </w:r>
          </w:p>
        </w:tc>
        <w:tc>
          <w:tcPr>
            <w:tcW w:w="2551" w:type="dxa"/>
            <w:vAlign w:val="center"/>
          </w:tcPr>
          <w:p>
            <w:pPr>
              <w:pStyle w:val="12"/>
            </w:pPr>
            <w:r>
              <w:t>48.00</w:t>
            </w:r>
          </w:p>
        </w:tc>
        <w:tc>
          <w:tcPr>
            <w:tcW w:w="2551" w:type="dxa"/>
            <w:vAlign w:val="center"/>
          </w:tcPr>
          <w:p>
            <w:pPr>
              <w:pStyle w:val="12"/>
            </w:pPr>
          </w:p>
        </w:tc>
        <w:tc>
          <w:tcPr>
            <w:tcW w:w="2551" w:type="dxa"/>
            <w:vAlign w:val="center"/>
          </w:tcPr>
          <w:p>
            <w:pPr>
              <w:pStyle w:val="12"/>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2010606</w:t>
            </w:r>
          </w:p>
        </w:tc>
        <w:tc>
          <w:tcPr>
            <w:tcW w:w="4535" w:type="dxa"/>
            <w:vAlign w:val="center"/>
          </w:tcPr>
          <w:p>
            <w:pPr>
              <w:pStyle w:val="13"/>
            </w:pPr>
            <w:r>
              <w:t>财政监察</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2010607</w:t>
            </w:r>
          </w:p>
        </w:tc>
        <w:tc>
          <w:tcPr>
            <w:tcW w:w="4535" w:type="dxa"/>
            <w:vAlign w:val="center"/>
          </w:tcPr>
          <w:p>
            <w:pPr>
              <w:pStyle w:val="13"/>
            </w:pPr>
            <w:r>
              <w:t>信息化建设</w:t>
            </w:r>
          </w:p>
        </w:tc>
        <w:tc>
          <w:tcPr>
            <w:tcW w:w="2551" w:type="dxa"/>
            <w:vAlign w:val="center"/>
          </w:tcPr>
          <w:p>
            <w:pPr>
              <w:pStyle w:val="12"/>
            </w:pPr>
            <w:r>
              <w:t>36.00</w:t>
            </w:r>
          </w:p>
        </w:tc>
        <w:tc>
          <w:tcPr>
            <w:tcW w:w="2551" w:type="dxa"/>
            <w:vAlign w:val="center"/>
          </w:tcPr>
          <w:p>
            <w:pPr>
              <w:pStyle w:val="12"/>
            </w:pPr>
          </w:p>
        </w:tc>
        <w:tc>
          <w:tcPr>
            <w:tcW w:w="2551"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2010608</w:t>
            </w:r>
          </w:p>
        </w:tc>
        <w:tc>
          <w:tcPr>
            <w:tcW w:w="4535" w:type="dxa"/>
            <w:vAlign w:val="center"/>
          </w:tcPr>
          <w:p>
            <w:pPr>
              <w:pStyle w:val="13"/>
            </w:pPr>
            <w:r>
              <w:t>财政委托业务支出</w:t>
            </w:r>
          </w:p>
        </w:tc>
        <w:tc>
          <w:tcPr>
            <w:tcW w:w="2551" w:type="dxa"/>
            <w:vAlign w:val="center"/>
          </w:tcPr>
          <w:p>
            <w:pPr>
              <w:pStyle w:val="12"/>
            </w:pPr>
            <w:r>
              <w:t>400.00</w:t>
            </w:r>
          </w:p>
        </w:tc>
        <w:tc>
          <w:tcPr>
            <w:tcW w:w="2551" w:type="dxa"/>
            <w:vAlign w:val="center"/>
          </w:tcPr>
          <w:p>
            <w:pPr>
              <w:pStyle w:val="12"/>
            </w:pPr>
          </w:p>
        </w:tc>
        <w:tc>
          <w:tcPr>
            <w:tcW w:w="2551" w:type="dxa"/>
            <w:vAlign w:val="center"/>
          </w:tcPr>
          <w:p>
            <w:pPr>
              <w:pStyle w:val="12"/>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46.61</w:t>
            </w:r>
          </w:p>
        </w:tc>
        <w:tc>
          <w:tcPr>
            <w:tcW w:w="2551" w:type="dxa"/>
            <w:vAlign w:val="center"/>
          </w:tcPr>
          <w:p>
            <w:pPr>
              <w:pStyle w:val="12"/>
            </w:pPr>
            <w:r>
              <w:t>46.61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46.61</w:t>
            </w:r>
          </w:p>
        </w:tc>
        <w:tc>
          <w:tcPr>
            <w:tcW w:w="2551" w:type="dxa"/>
            <w:vAlign w:val="center"/>
          </w:tcPr>
          <w:p>
            <w:pPr>
              <w:pStyle w:val="12"/>
            </w:pPr>
            <w:r>
              <w:t>46.61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36.61</w:t>
            </w:r>
          </w:p>
        </w:tc>
        <w:tc>
          <w:tcPr>
            <w:tcW w:w="2551" w:type="dxa"/>
            <w:vAlign w:val="center"/>
          </w:tcPr>
          <w:p>
            <w:pPr>
              <w:pStyle w:val="12"/>
            </w:pPr>
            <w:r>
              <w:t>36.61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18.30</w:t>
            </w:r>
          </w:p>
        </w:tc>
        <w:tc>
          <w:tcPr>
            <w:tcW w:w="2551" w:type="dxa"/>
            <w:vAlign w:val="center"/>
          </w:tcPr>
          <w:p>
            <w:pPr>
              <w:pStyle w:val="12"/>
            </w:pPr>
            <w:r>
              <w:t>18.30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18.30</w:t>
            </w:r>
          </w:p>
        </w:tc>
        <w:tc>
          <w:tcPr>
            <w:tcW w:w="2551" w:type="dxa"/>
            <w:vAlign w:val="center"/>
          </w:tcPr>
          <w:p>
            <w:pPr>
              <w:pStyle w:val="12"/>
            </w:pPr>
            <w:r>
              <w:t>18.30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18.30</w:t>
            </w:r>
          </w:p>
        </w:tc>
        <w:tc>
          <w:tcPr>
            <w:tcW w:w="2551" w:type="dxa"/>
            <w:vAlign w:val="center"/>
          </w:tcPr>
          <w:p>
            <w:pPr>
              <w:pStyle w:val="12"/>
            </w:pPr>
            <w:r>
              <w:t>18.30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29.40</w:t>
            </w:r>
          </w:p>
        </w:tc>
        <w:tc>
          <w:tcPr>
            <w:tcW w:w="2551" w:type="dxa"/>
            <w:vAlign w:val="center"/>
          </w:tcPr>
          <w:p>
            <w:pPr>
              <w:pStyle w:val="12"/>
            </w:pPr>
            <w:r>
              <w:t>29.40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29.40</w:t>
            </w:r>
          </w:p>
        </w:tc>
        <w:tc>
          <w:tcPr>
            <w:tcW w:w="2551" w:type="dxa"/>
            <w:vAlign w:val="center"/>
          </w:tcPr>
          <w:p>
            <w:pPr>
              <w:pStyle w:val="12"/>
            </w:pPr>
            <w:r>
              <w:t>29.40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29.40</w:t>
            </w:r>
          </w:p>
        </w:tc>
        <w:tc>
          <w:tcPr>
            <w:tcW w:w="2551" w:type="dxa"/>
            <w:vAlign w:val="center"/>
          </w:tcPr>
          <w:p>
            <w:pPr>
              <w:pStyle w:val="12"/>
            </w:pPr>
            <w:r>
              <w:t>29.40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679.66</w:t>
            </w:r>
          </w:p>
        </w:tc>
        <w:tc>
          <w:tcPr>
            <w:tcW w:w="2551" w:type="dxa"/>
            <w:vAlign w:val="center"/>
          </w:tcPr>
          <w:p>
            <w:pPr>
              <w:pStyle w:val="16"/>
            </w:pPr>
            <w:r>
              <w:t>663.36</w:t>
            </w:r>
          </w:p>
        </w:tc>
        <w:tc>
          <w:tcPr>
            <w:tcW w:w="2551" w:type="dxa"/>
            <w:vAlign w:val="center"/>
          </w:tcPr>
          <w:p>
            <w:pPr>
              <w:pStyle w:val="16"/>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662.97</w:t>
            </w:r>
          </w:p>
        </w:tc>
        <w:tc>
          <w:tcPr>
            <w:tcW w:w="2551" w:type="dxa"/>
            <w:vAlign w:val="center"/>
          </w:tcPr>
          <w:p>
            <w:pPr>
              <w:pStyle w:val="12"/>
            </w:pPr>
            <w:r>
              <w:t>662.97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463.30</w:t>
            </w:r>
          </w:p>
        </w:tc>
        <w:tc>
          <w:tcPr>
            <w:tcW w:w="2551" w:type="dxa"/>
            <w:vAlign w:val="center"/>
          </w:tcPr>
          <w:p>
            <w:pPr>
              <w:pStyle w:val="12"/>
            </w:pPr>
            <w:r>
              <w:t>463.30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33.13</w:t>
            </w:r>
          </w:p>
        </w:tc>
        <w:tc>
          <w:tcPr>
            <w:tcW w:w="2551" w:type="dxa"/>
            <w:vAlign w:val="center"/>
          </w:tcPr>
          <w:p>
            <w:pPr>
              <w:pStyle w:val="12"/>
            </w:pPr>
            <w:r>
              <w:t>33.13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25.65</w:t>
            </w:r>
          </w:p>
        </w:tc>
        <w:tc>
          <w:tcPr>
            <w:tcW w:w="2551" w:type="dxa"/>
            <w:vAlign w:val="center"/>
          </w:tcPr>
          <w:p>
            <w:pPr>
              <w:pStyle w:val="12"/>
            </w:pPr>
            <w:r>
              <w:t>25.65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45.44</w:t>
            </w:r>
          </w:p>
        </w:tc>
        <w:tc>
          <w:tcPr>
            <w:tcW w:w="2551" w:type="dxa"/>
            <w:vAlign w:val="center"/>
          </w:tcPr>
          <w:p>
            <w:pPr>
              <w:pStyle w:val="12"/>
            </w:pPr>
            <w:r>
              <w:t>45.44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36.61</w:t>
            </w:r>
          </w:p>
        </w:tc>
        <w:tc>
          <w:tcPr>
            <w:tcW w:w="2551" w:type="dxa"/>
            <w:vAlign w:val="center"/>
          </w:tcPr>
          <w:p>
            <w:pPr>
              <w:pStyle w:val="12"/>
            </w:pPr>
            <w:r>
              <w:t>36.61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18.30</w:t>
            </w:r>
          </w:p>
        </w:tc>
        <w:tc>
          <w:tcPr>
            <w:tcW w:w="2551" w:type="dxa"/>
            <w:vAlign w:val="center"/>
          </w:tcPr>
          <w:p>
            <w:pPr>
              <w:pStyle w:val="12"/>
            </w:pPr>
            <w:r>
              <w:t>18.30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1.14</w:t>
            </w:r>
          </w:p>
        </w:tc>
        <w:tc>
          <w:tcPr>
            <w:tcW w:w="2551" w:type="dxa"/>
            <w:vAlign w:val="center"/>
          </w:tcPr>
          <w:p>
            <w:pPr>
              <w:pStyle w:val="12"/>
            </w:pPr>
            <w:r>
              <w:t>1.14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29.40</w:t>
            </w:r>
          </w:p>
        </w:tc>
        <w:tc>
          <w:tcPr>
            <w:tcW w:w="2551" w:type="dxa"/>
            <w:vAlign w:val="center"/>
          </w:tcPr>
          <w:p>
            <w:pPr>
              <w:pStyle w:val="12"/>
            </w:pPr>
            <w:r>
              <w:t>29.40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16.30</w:t>
            </w:r>
          </w:p>
        </w:tc>
        <w:tc>
          <w:tcPr>
            <w:tcW w:w="2551" w:type="dxa"/>
            <w:vAlign w:val="center"/>
          </w:tcPr>
          <w:p>
            <w:pPr>
              <w:pStyle w:val="12"/>
            </w:pPr>
          </w:p>
        </w:tc>
        <w:tc>
          <w:tcPr>
            <w:tcW w:w="2551" w:type="dxa"/>
            <w:vAlign w:val="center"/>
          </w:tcPr>
          <w:p>
            <w:pPr>
              <w:pStyle w:val="12"/>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6.30</w:t>
            </w:r>
          </w:p>
        </w:tc>
        <w:tc>
          <w:tcPr>
            <w:tcW w:w="2551" w:type="dxa"/>
            <w:vAlign w:val="center"/>
          </w:tcPr>
          <w:p>
            <w:pPr>
              <w:pStyle w:val="12"/>
            </w:pPr>
          </w:p>
        </w:tc>
        <w:tc>
          <w:tcPr>
            <w:tcW w:w="2551" w:type="dxa"/>
            <w:vAlign w:val="center"/>
          </w:tcPr>
          <w:p>
            <w:pPr>
              <w:pStyle w:val="12"/>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3.80</w:t>
            </w:r>
          </w:p>
        </w:tc>
        <w:tc>
          <w:tcPr>
            <w:tcW w:w="2381" w:type="dxa"/>
            <w:vAlign w:val="center"/>
          </w:tcPr>
          <w:p>
            <w:pPr>
              <w:pStyle w:val="16"/>
            </w:pPr>
            <w:r>
              <w:t>3.80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3.80</w:t>
            </w:r>
          </w:p>
        </w:tc>
        <w:tc>
          <w:tcPr>
            <w:tcW w:w="2381" w:type="dxa"/>
            <w:vAlign w:val="center"/>
          </w:tcPr>
          <w:p>
            <w:pPr>
              <w:pStyle w:val="12"/>
            </w:pPr>
            <w:r>
              <w:t>3.80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馆陶县财政局2024年部门预算信息公开情况说明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馆陶县财政局2024年部门预算信息公开情况说明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w:t>
      </w:r>
      <w:bookmarkStart w:id="20" w:name="_GoBack"/>
      <w:bookmarkEnd w:id="20"/>
      <w:r>
        <w:rPr>
          <w:rFonts w:ascii="Times New Roman" w:hAnsi="Times New Roman" w:eastAsia="方正仿宋_GBK" w:cs="Times New Roman"/>
          <w:color w:val="000000"/>
          <w:sz w:val="28"/>
        </w:rPr>
        <w:t>预算法》、《地方预决算公开操作规程》和《关于进一步推进预算公开工作的实施意见》规定，现将馆陶县财政局2024年部门预算公开如下：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财政收入管理：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规范税收优惠政策，监督检查税政政策执行情况。确保彩票公益金及时，足额入库。</w:t>
      </w:r>
    </w:p>
    <w:p>
      <w:pPr>
        <w:pStyle w:val="18"/>
      </w:pPr>
      <w:r>
        <w:t>（二）财政资源配置管理：通过对上级级财政收支以及相应的财政税收政策，调整和引导现有社会经济资源的流向和流量，以达到资源的优化配置和充分利用，实现最大的经济效益和社会效益的功能。达到资源的优化配置和充分利用，实现最大的经济效益和社会效益的功能。</w:t>
      </w:r>
    </w:p>
    <w:p>
      <w:pPr>
        <w:pStyle w:val="18"/>
      </w:pPr>
      <w:r>
        <w:t>（三）财政体制管理：执行国家预算管理体制和管理体制，制定地方预算管理体制、管理制度。及时发现实现财政运行中存在的问题，提出针对性的意见建议。</w:t>
      </w:r>
    </w:p>
    <w:p>
      <w:pPr>
        <w:pStyle w:val="18"/>
      </w:pPr>
      <w:r>
        <w:t>（四）预算管理：研究制定完善的预算政策体系，提高预算管理的科学化水平。统筹县级财力，强化绩效管理，科学编制政府绩效预算。规范预算执行，合理组织财政各项支出，促进社会事业发展。推进预算公开，实施全面规范、公开透明的预算制度。规范预算执行，合理组织财政各项支出，促进社会事业发展。推进预算公开，实施全面规范、公开透明的预算制度。</w:t>
      </w:r>
    </w:p>
    <w:p>
      <w:pPr>
        <w:pStyle w:val="18"/>
      </w:pPr>
      <w:r>
        <w:t>（五）国库管理：县级预算单位用款计划及额度审核下达；财政专户资金审核拨付；全县预算执行分析；县本级财政总预算会计，全县和县本级决算；国债、地方债和国库现金管理；管理县本级预算单位银行账户。县本级财政总预算会计，全县和县本级决算；国债、地方债和国库现金管理；管理县本级预算单位银行账户。</w:t>
      </w:r>
    </w:p>
    <w:p>
      <w:pPr>
        <w:pStyle w:val="18"/>
      </w:pPr>
      <w:r>
        <w:t>（六）财政监督管理：负责监督检查财税法规、政策的执行情况，以及财政性资金使用情况，反映财政收支管理中的重大问题。监督和规范会计行为，监督注册会计师和会计师事务所的业务。监督检查财税法规、政策的执行情况，监督和规范会计行为，监督注册会计师和会计师事务所的业务。</w:t>
      </w:r>
    </w:p>
    <w:p>
      <w:pPr>
        <w:pStyle w:val="18"/>
      </w:pPr>
      <w:r>
        <w:t>（七）财务会计管理：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管理全县会计工作，监督和规范会计行为，组织实施国家统一的会计制度、财务制度；按规定承担会计专业技术资格管理。</w:t>
      </w:r>
    </w:p>
    <w:p>
      <w:pPr>
        <w:pStyle w:val="18"/>
      </w:pPr>
      <w:r>
        <w:t>（八）国有资产管理：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对行政事业单位资产配置、使用、处置事项进行管理，负责县属金融企业国有资产保值增值、国有资产转让管理、产权登记、评估监督、年金审核、负责人职务消费管理等工作。</w:t>
      </w:r>
    </w:p>
    <w:p>
      <w:pPr>
        <w:pStyle w:val="18"/>
      </w:pPr>
      <w:r>
        <w:t>（九）政府专项工作服务与管理：政府采购、农村综合改革、政府债务、综合治税、地下水超采、政府购买服务、规范津补贴等政府专项工作的服务与管理。规范政府专项工作的服务与管理。</w:t>
      </w:r>
    </w:p>
    <w:p>
      <w:pPr>
        <w:pStyle w:val="18"/>
      </w:pPr>
      <w:r>
        <w:t>（十）财政政务管理：负责财政系统综合业务管理和机关综合事务管理。负责财政系统综合业务管理和机关综合事务管理。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按照预算管理有关规定，目前部门预算的编制实行综合预算管理，即全部收入和支出都反映在预算中。馆陶县财政局机关及所属事业单位的收支包含在部门预算中。</w:t>
      </w:r>
    </w:p>
    <w:p>
      <w:pPr>
        <w:pStyle w:val="19"/>
      </w:pPr>
      <w:r>
        <w:t>1、收入说明</w:t>
      </w:r>
    </w:p>
    <w:p>
      <w:pPr>
        <w:pStyle w:val="19"/>
      </w:pPr>
      <w:r>
        <w:t>反映本部门当年全部收入。2024年预算收入1397.99万元，其中：一般公共预算收入1397.99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财政局年度部门预算中支出预算的总体情况。2024年支出预算1397.99万元，其中基本支出679.66万元，包括人员经费663.36万元和日常公用经费16.30万元；项目支出718.33万元，主要为</w:t>
      </w:r>
      <w:r>
        <w:rPr>
          <w:rFonts w:hint="eastAsia"/>
          <w:lang w:eastAsia="zh-CN"/>
        </w:rPr>
        <w:t>：</w:t>
      </w:r>
      <w:r>
        <w:t>财政监督工作经费40万元，国有资产管理工作经费32万元，财政信息化建设工作经费36万元，档案管理工作经费8万元，会计培训经费16万元，财政专项工作经费17.33万元，财政收入征管经费64万元，预算绩效改革经费48万元，国库电子支付工作经费48万元，政府投资项目财政评审资金400万元，冀财农[2023]165号 关于提前下达2024年省级农村财会人员培训资金9万元。</w:t>
      </w:r>
    </w:p>
    <w:p>
      <w:pPr>
        <w:pStyle w:val="19"/>
      </w:pPr>
      <w:r>
        <w:t>3、比上年增减情况</w:t>
      </w:r>
    </w:p>
    <w:p>
      <w:pPr>
        <w:pStyle w:val="19"/>
      </w:pPr>
      <w:r>
        <w:t>2024年预算收支安排1397.99万元，较2023年预算减少321.76万元，其中：基本支出减少146.94万元，主要为人员经费减少。项目支出减少174.82万元，主要为票据管理工作经费、政府投资项目评审资金减少。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2024年，我部门机关运行经费共计安排16.30万元，主要用于日常维修、办公用房水电费、办公用房取暖费、办公用房物业管理费等日常运行支出。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3.80万元，其中因公出国（境）费0.00万元；公务用车购置及运维费1.80万元（其中：公务用车购置费为0.00万元，公务用车运维费1.80万元)；公务接待费2.00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深化税收制度改革，研究完善和规范地方性税收法规，规范税收优惠政策，监督检查税政政策执行情况。对财政性资金拟安排的建设项目预算进行评价审查；对已安排建设项目、建设项目竣工财务结（决）算以及建设类项目投资效果进行评价审查；对县本级财政专项资金安排的项目进行追踪问效和核查。研究制定完善的预算政策体系，提高预算管理的科学化水平。统筹县级财力，强化绩效预算管理，科学编制政府绩效预算。规范预算执行，合理组织财政各项支出，促进社会事业发展。推进预算公开，实施全面规范、公开透明。加大绩效预算的执行力度和信息化建设平台，规范预算执行，合理组织财政各项支出，促进社会事业发展。推进预算公开，实施全面规范、公开透明的预算制度。2024年着力保障民生,支持全县经济发展,建设一批新的项目进行投产运行,保障地方财力后劲持续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1、绩效目标：制定完善的预算政策体系</w:t>
      </w:r>
    </w:p>
    <w:p>
      <w:pPr>
        <w:pStyle w:val="23"/>
      </w:pPr>
      <w:r>
        <w:t>绩效指标：支出完成率、执行完成率</w:t>
      </w:r>
    </w:p>
    <w:p>
      <w:pPr>
        <w:pStyle w:val="23"/>
      </w:pPr>
      <w:r>
        <w:t>2、绩效目标：研究完善地方性行政法规</w:t>
      </w:r>
    </w:p>
    <w:p>
      <w:pPr>
        <w:pStyle w:val="23"/>
      </w:pPr>
      <w:r>
        <w:t>绩效指标：税收改革效果、群众满意度</w:t>
      </w:r>
    </w:p>
    <w:p>
      <w:pPr>
        <w:pStyle w:val="23"/>
      </w:pPr>
      <w:r>
        <w:t>3、绩效目标：对财政性资金拟安排的项目进行审查</w:t>
      </w:r>
    </w:p>
    <w:p>
      <w:pPr>
        <w:pStyle w:val="23"/>
      </w:pPr>
      <w:r>
        <w:t>绩效指标：项目评审数量、审减金额</w:t>
      </w:r>
    </w:p>
    <w:p>
      <w:pPr>
        <w:pStyle w:val="23"/>
      </w:pPr>
      <w:r>
        <w:t>4、绩效目标：加强国库电子化支付的管理和规范</w:t>
      </w:r>
    </w:p>
    <w:p>
      <w:pPr>
        <w:pStyle w:val="23"/>
      </w:pPr>
      <w:r>
        <w:t>绩效指标：电子支付覆盖率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1、加强日常监控工作。及时发现项目运行中出现的问题，明确责任人，定期开展内部检查，出现不可抗拒因素，及时按程序进行调整和变更。</w:t>
      </w:r>
    </w:p>
    <w:p>
      <w:pPr>
        <w:pStyle w:val="24"/>
      </w:pPr>
      <w:r>
        <w:t>2、做好各项目支出绩效目标执行中的控制管理，确保资金对应绩效目标执行。</w:t>
      </w:r>
    </w:p>
    <w:p>
      <w:pPr>
        <w:pStyle w:val="24"/>
        <w:sectPr>
          <w:pgSz w:w="16840" w:h="11900" w:orient="landscape"/>
          <w:pgMar w:top="1361" w:right="1020" w:bottom="1361" w:left="1020" w:header="720" w:footer="720" w:gutter="0"/>
          <w:cols w:space="720" w:num="1"/>
        </w:sectPr>
      </w:pPr>
      <w:r>
        <w:t>3、强化项目推进过程管理，确保项目按计划推进，加强财务人员培训。</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1、财政监督工作经费绩效目标表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13043324P00006410003M</w:t>
            </w:r>
          </w:p>
        </w:tc>
        <w:tc>
          <w:tcPr>
            <w:tcW w:w="2835" w:type="dxa"/>
            <w:vAlign w:val="center"/>
          </w:tcPr>
          <w:p>
            <w:pPr>
              <w:pStyle w:val="11"/>
            </w:pPr>
            <w:r>
              <w:t>项目名称</w:t>
            </w:r>
          </w:p>
        </w:tc>
        <w:tc>
          <w:tcPr>
            <w:tcW w:w="6094" w:type="dxa"/>
            <w:gridSpan w:val="3"/>
            <w:vAlign w:val="center"/>
          </w:tcPr>
          <w:p>
            <w:pPr>
              <w:pStyle w:val="13"/>
            </w:pPr>
            <w:r>
              <w:t>财政监督工作经费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用于财政监督工作开展，保障各项财政政策按规定执行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1.用于财政监督工作开展，保障各项财政政策按规定执行，检查督导各单位各项财政政策执行情况。2024年计划搞好预算部门的会计信息质量检查和绩效评价评估工作。</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会计信息质量检查单位</w:t>
            </w:r>
          </w:p>
        </w:tc>
        <w:tc>
          <w:tcPr>
            <w:tcW w:w="5386" w:type="dxa"/>
            <w:vAlign w:val="center"/>
          </w:tcPr>
          <w:p>
            <w:pPr>
              <w:pStyle w:val="13"/>
            </w:pPr>
            <w:r>
              <w:t>全年完成会计信息质量检查单位4个</w:t>
            </w:r>
          </w:p>
        </w:tc>
        <w:tc>
          <w:tcPr>
            <w:tcW w:w="2268" w:type="dxa"/>
            <w:vAlign w:val="center"/>
          </w:tcPr>
          <w:p>
            <w:pPr>
              <w:pStyle w:val="13"/>
            </w:pPr>
            <w:r>
              <w:t>4个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整改完成率</w:t>
            </w:r>
          </w:p>
        </w:tc>
        <w:tc>
          <w:tcPr>
            <w:tcW w:w="5386" w:type="dxa"/>
            <w:vAlign w:val="center"/>
          </w:tcPr>
          <w:p>
            <w:pPr>
              <w:pStyle w:val="13"/>
            </w:pPr>
            <w:r>
              <w:t>已整改单位数量/开展监督检查工作单位数量*100%</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按照工作计划设定时间及时完成监督检查各项工作</w:t>
            </w:r>
          </w:p>
        </w:tc>
        <w:tc>
          <w:tcPr>
            <w:tcW w:w="2268" w:type="dxa"/>
            <w:vAlign w:val="center"/>
          </w:tcPr>
          <w:p>
            <w:pPr>
              <w:pStyle w:val="13"/>
            </w:pPr>
            <w:r>
              <w:t>≤1年</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监督检查工作资金</w:t>
            </w:r>
          </w:p>
        </w:tc>
        <w:tc>
          <w:tcPr>
            <w:tcW w:w="5386" w:type="dxa"/>
            <w:vAlign w:val="center"/>
          </w:tcPr>
          <w:p>
            <w:pPr>
              <w:pStyle w:val="13"/>
            </w:pPr>
            <w:r>
              <w:t>开展监督检查工作资金</w:t>
            </w:r>
          </w:p>
        </w:tc>
        <w:tc>
          <w:tcPr>
            <w:tcW w:w="2268" w:type="dxa"/>
            <w:vAlign w:val="center"/>
          </w:tcPr>
          <w:p>
            <w:pPr>
              <w:pStyle w:val="13"/>
            </w:pPr>
            <w:r>
              <w:t>≤50万元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健全财务监督机制，保障各项财政政策按规定执行，保证经济秩序合理运行。</w:t>
            </w:r>
          </w:p>
        </w:tc>
        <w:tc>
          <w:tcPr>
            <w:tcW w:w="2268" w:type="dxa"/>
            <w:vAlign w:val="center"/>
          </w:tcPr>
          <w:p>
            <w:pPr>
              <w:pStyle w:val="13"/>
            </w:pPr>
            <w:r>
              <w:t>≥98%</w:t>
            </w:r>
          </w:p>
        </w:tc>
        <w:tc>
          <w:tcPr>
            <w:tcW w:w="1276" w:type="dxa"/>
            <w:vAlign w:val="center"/>
          </w:tcPr>
          <w:p>
            <w:pPr>
              <w:pStyle w:val="13"/>
            </w:pPr>
            <w:r>
              <w:t>检查执行完成情况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提高财政资金使用效益</w:t>
            </w:r>
          </w:p>
        </w:tc>
        <w:tc>
          <w:tcPr>
            <w:tcW w:w="5386" w:type="dxa"/>
            <w:vAlign w:val="center"/>
          </w:tcPr>
          <w:p>
            <w:pPr>
              <w:pStyle w:val="13"/>
            </w:pPr>
            <w:r>
              <w:t>通过财政监督工作开展，保障各项财政政策按规定执行，为促进社会健康发展作出贡献。</w:t>
            </w:r>
          </w:p>
        </w:tc>
        <w:tc>
          <w:tcPr>
            <w:tcW w:w="2268" w:type="dxa"/>
            <w:vAlign w:val="center"/>
          </w:tcPr>
          <w:p>
            <w:pPr>
              <w:pStyle w:val="13"/>
            </w:pPr>
            <w:r>
              <w:t>≥95%</w:t>
            </w:r>
          </w:p>
        </w:tc>
        <w:tc>
          <w:tcPr>
            <w:tcW w:w="1276" w:type="dxa"/>
            <w:vAlign w:val="center"/>
          </w:tcPr>
          <w:p>
            <w:pPr>
              <w:pStyle w:val="13"/>
            </w:pPr>
            <w:r>
              <w:t>财政监督检查职能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接受监督检查部门的满意度</w:t>
            </w:r>
          </w:p>
        </w:tc>
        <w:tc>
          <w:tcPr>
            <w:tcW w:w="5386" w:type="dxa"/>
            <w:vAlign w:val="center"/>
          </w:tcPr>
          <w:p>
            <w:pPr>
              <w:pStyle w:val="13"/>
            </w:pPr>
            <w:r>
              <w:t>预算部门对监督检查工作的满意度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2、财政收入征收经费绩效目标表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13043324P00006110003L</w:t>
            </w:r>
          </w:p>
        </w:tc>
        <w:tc>
          <w:tcPr>
            <w:tcW w:w="2835" w:type="dxa"/>
            <w:vAlign w:val="center"/>
          </w:tcPr>
          <w:p>
            <w:pPr>
              <w:pStyle w:val="11"/>
            </w:pPr>
            <w:r>
              <w:t>项目名称</w:t>
            </w:r>
          </w:p>
        </w:tc>
        <w:tc>
          <w:tcPr>
            <w:tcW w:w="6094" w:type="dxa"/>
            <w:gridSpan w:val="3"/>
            <w:vAlign w:val="center"/>
          </w:tcPr>
          <w:p>
            <w:pPr>
              <w:pStyle w:val="13"/>
            </w:pPr>
            <w:r>
              <w:t>财政收入征收经费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64.00</w:t>
            </w:r>
          </w:p>
        </w:tc>
        <w:tc>
          <w:tcPr>
            <w:tcW w:w="2835" w:type="dxa"/>
            <w:vAlign w:val="center"/>
          </w:tcPr>
          <w:p>
            <w:pPr>
              <w:pStyle w:val="11"/>
            </w:pPr>
            <w:r>
              <w:t>其中：财政    资金</w:t>
            </w:r>
          </w:p>
        </w:tc>
        <w:tc>
          <w:tcPr>
            <w:tcW w:w="2551" w:type="dxa"/>
            <w:vAlign w:val="center"/>
          </w:tcPr>
          <w:p>
            <w:pPr>
              <w:pStyle w:val="13"/>
            </w:pPr>
            <w:r>
              <w:t>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开展财政收入征收工作，深化财税制度改革，组织税收收入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1.开展财政收入征收工作，深化财税制度改革，组织税收收入，规范税收政策，监督检查财税政策的执行情况，完成财税征收任务，促进县域经济发展。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征收次数</w:t>
            </w:r>
          </w:p>
        </w:tc>
        <w:tc>
          <w:tcPr>
            <w:tcW w:w="5386" w:type="dxa"/>
            <w:vAlign w:val="center"/>
          </w:tcPr>
          <w:p>
            <w:pPr>
              <w:pStyle w:val="13"/>
            </w:pPr>
            <w:r>
              <w:t>全县组织税收按季度征收的次数</w:t>
            </w:r>
          </w:p>
        </w:tc>
        <w:tc>
          <w:tcPr>
            <w:tcW w:w="2268" w:type="dxa"/>
            <w:vAlign w:val="center"/>
          </w:tcPr>
          <w:p>
            <w:pPr>
              <w:pStyle w:val="13"/>
            </w:pPr>
            <w:r>
              <w:t>4次</w:t>
            </w:r>
          </w:p>
        </w:tc>
        <w:tc>
          <w:tcPr>
            <w:tcW w:w="1276" w:type="dxa"/>
            <w:vAlign w:val="center"/>
          </w:tcPr>
          <w:p>
            <w:pPr>
              <w:pStyle w:val="13"/>
            </w:pPr>
            <w:r>
              <w:rPr>
                <w:rFonts w:hint="eastAsia"/>
              </w:rPr>
              <w:t>《中华人民共和国预算法》</w:t>
            </w:r>
            <w:r>
              <w:t>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收入征收达标率</w:t>
            </w:r>
          </w:p>
        </w:tc>
        <w:tc>
          <w:tcPr>
            <w:tcW w:w="5386" w:type="dxa"/>
            <w:vAlign w:val="center"/>
          </w:tcPr>
          <w:p>
            <w:pPr>
              <w:pStyle w:val="13"/>
            </w:pPr>
            <w:r>
              <w:t>实际收入完成数占计划征收的数比例</w:t>
            </w:r>
          </w:p>
        </w:tc>
        <w:tc>
          <w:tcPr>
            <w:tcW w:w="2268" w:type="dxa"/>
            <w:vAlign w:val="center"/>
          </w:tcPr>
          <w:p>
            <w:pPr>
              <w:pStyle w:val="13"/>
            </w:pPr>
            <w:r>
              <w:t>100%</w:t>
            </w:r>
          </w:p>
        </w:tc>
        <w:tc>
          <w:tcPr>
            <w:tcW w:w="1276" w:type="dxa"/>
            <w:vAlign w:val="center"/>
          </w:tcPr>
          <w:p>
            <w:pPr>
              <w:pStyle w:val="13"/>
            </w:pPr>
            <w:r>
              <w:t>财政系统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及时入库</w:t>
            </w:r>
          </w:p>
        </w:tc>
        <w:tc>
          <w:tcPr>
            <w:tcW w:w="5386" w:type="dxa"/>
            <w:vAlign w:val="center"/>
          </w:tcPr>
          <w:p>
            <w:pPr>
              <w:pStyle w:val="13"/>
            </w:pPr>
            <w:r>
              <w:t>财政收入按季度及时均衡入库</w:t>
            </w:r>
          </w:p>
        </w:tc>
        <w:tc>
          <w:tcPr>
            <w:tcW w:w="2268" w:type="dxa"/>
            <w:vAlign w:val="center"/>
          </w:tcPr>
          <w:p>
            <w:pPr>
              <w:pStyle w:val="13"/>
            </w:pPr>
            <w:r>
              <w:t>100%</w:t>
            </w:r>
          </w:p>
        </w:tc>
        <w:tc>
          <w:tcPr>
            <w:tcW w:w="1276" w:type="dxa"/>
            <w:vAlign w:val="center"/>
          </w:tcPr>
          <w:p>
            <w:pPr>
              <w:pStyle w:val="13"/>
            </w:pPr>
            <w:r>
              <w:t>财政系统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征收资金</w:t>
            </w:r>
          </w:p>
        </w:tc>
        <w:tc>
          <w:tcPr>
            <w:tcW w:w="5386" w:type="dxa"/>
            <w:vAlign w:val="center"/>
          </w:tcPr>
          <w:p>
            <w:pPr>
              <w:pStyle w:val="13"/>
            </w:pPr>
            <w:r>
              <w:t>开展收入征收工作所需的资金成本</w:t>
            </w:r>
          </w:p>
        </w:tc>
        <w:tc>
          <w:tcPr>
            <w:tcW w:w="2268" w:type="dxa"/>
            <w:vAlign w:val="center"/>
          </w:tcPr>
          <w:p>
            <w:pPr>
              <w:pStyle w:val="13"/>
            </w:pPr>
            <w:r>
              <w:t>80万元</w:t>
            </w:r>
          </w:p>
        </w:tc>
        <w:tc>
          <w:tcPr>
            <w:tcW w:w="1276" w:type="dxa"/>
            <w:vAlign w:val="center"/>
          </w:tcPr>
          <w:p>
            <w:pPr>
              <w:pStyle w:val="13"/>
            </w:pPr>
            <w:r>
              <w:t>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完成财税征收任务，促进县域经济发展</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提升社会效益</w:t>
            </w:r>
          </w:p>
        </w:tc>
        <w:tc>
          <w:tcPr>
            <w:tcW w:w="5386" w:type="dxa"/>
            <w:vAlign w:val="center"/>
          </w:tcPr>
          <w:p>
            <w:pPr>
              <w:pStyle w:val="13"/>
            </w:pPr>
            <w:r>
              <w:t>提高财税改革成功程度，提升社会效益</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单位对象的满意率</w:t>
            </w:r>
          </w:p>
        </w:tc>
        <w:tc>
          <w:tcPr>
            <w:tcW w:w="5386" w:type="dxa"/>
            <w:vAlign w:val="center"/>
          </w:tcPr>
          <w:p>
            <w:pPr>
              <w:pStyle w:val="13"/>
            </w:pPr>
            <w:r>
              <w:t>单位对财税征管工作的满意程度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3、财政信息化建设工作经费绩效目标表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13043324P000066100031</w:t>
            </w:r>
          </w:p>
        </w:tc>
        <w:tc>
          <w:tcPr>
            <w:tcW w:w="2835" w:type="dxa"/>
            <w:vAlign w:val="center"/>
          </w:tcPr>
          <w:p>
            <w:pPr>
              <w:pStyle w:val="11"/>
            </w:pPr>
            <w:r>
              <w:t>项目名称</w:t>
            </w:r>
          </w:p>
        </w:tc>
        <w:tc>
          <w:tcPr>
            <w:tcW w:w="6094" w:type="dxa"/>
            <w:gridSpan w:val="3"/>
            <w:vAlign w:val="center"/>
          </w:tcPr>
          <w:p>
            <w:pPr>
              <w:pStyle w:val="13"/>
            </w:pPr>
            <w:r>
              <w:t>财政信息化建设工作经费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用于财政信息化建设工作，实现财政信息网络一体化平台的正常运行和普及，提高各预算部门工作效率。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1.用于财政信息化建设工作，实现财政信息网络一体化平台的正常运行和普及，提高各预算部门工作效率。</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一体化平台安装率</w:t>
            </w:r>
          </w:p>
        </w:tc>
        <w:tc>
          <w:tcPr>
            <w:tcW w:w="5386" w:type="dxa"/>
            <w:vAlign w:val="center"/>
          </w:tcPr>
          <w:p>
            <w:pPr>
              <w:pStyle w:val="13"/>
            </w:pPr>
            <w:r>
              <w:t>已安装平台单位数/全部预算单位数*100%</w:t>
            </w:r>
          </w:p>
        </w:tc>
        <w:tc>
          <w:tcPr>
            <w:tcW w:w="2268" w:type="dxa"/>
            <w:vAlign w:val="center"/>
          </w:tcPr>
          <w:p>
            <w:pPr>
              <w:pStyle w:val="13"/>
            </w:pPr>
            <w:r>
              <w:t>100%</w:t>
            </w:r>
          </w:p>
        </w:tc>
        <w:tc>
          <w:tcPr>
            <w:tcW w:w="1276" w:type="dxa"/>
            <w:vAlign w:val="center"/>
          </w:tcPr>
          <w:p>
            <w:pPr>
              <w:pStyle w:val="13"/>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一体化平台使用成功率</w:t>
            </w:r>
          </w:p>
        </w:tc>
        <w:tc>
          <w:tcPr>
            <w:tcW w:w="5386" w:type="dxa"/>
            <w:vAlign w:val="center"/>
          </w:tcPr>
          <w:p>
            <w:pPr>
              <w:pStyle w:val="13"/>
            </w:pPr>
            <w:r>
              <w:t>已成功使用平台单位数/全部预算单位数*100%</w:t>
            </w:r>
          </w:p>
        </w:tc>
        <w:tc>
          <w:tcPr>
            <w:tcW w:w="2268" w:type="dxa"/>
            <w:vAlign w:val="center"/>
          </w:tcPr>
          <w:p>
            <w:pPr>
              <w:pStyle w:val="13"/>
            </w:pPr>
            <w:r>
              <w:t>100%</w:t>
            </w:r>
          </w:p>
        </w:tc>
        <w:tc>
          <w:tcPr>
            <w:tcW w:w="1276" w:type="dxa"/>
            <w:vAlign w:val="center"/>
          </w:tcPr>
          <w:p>
            <w:pPr>
              <w:pStyle w:val="13"/>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成功使用平台日常运行畅通无卡顿现象</w:t>
            </w:r>
          </w:p>
        </w:tc>
        <w:tc>
          <w:tcPr>
            <w:tcW w:w="2268" w:type="dxa"/>
            <w:vAlign w:val="center"/>
          </w:tcPr>
          <w:p>
            <w:pPr>
              <w:pStyle w:val="13"/>
            </w:pPr>
            <w:r>
              <w:t>≤1年</w:t>
            </w:r>
          </w:p>
        </w:tc>
        <w:tc>
          <w:tcPr>
            <w:tcW w:w="1276" w:type="dxa"/>
            <w:vAlign w:val="center"/>
          </w:tcPr>
          <w:p>
            <w:pPr>
              <w:pStyle w:val="13"/>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财政信息化建设工作资金</w:t>
            </w:r>
          </w:p>
        </w:tc>
        <w:tc>
          <w:tcPr>
            <w:tcW w:w="5386" w:type="dxa"/>
            <w:vAlign w:val="center"/>
          </w:tcPr>
          <w:p>
            <w:pPr>
              <w:pStyle w:val="13"/>
            </w:pPr>
            <w:r>
              <w:t>财政信息化建设各项工作资金</w:t>
            </w:r>
          </w:p>
        </w:tc>
        <w:tc>
          <w:tcPr>
            <w:tcW w:w="2268" w:type="dxa"/>
            <w:vAlign w:val="center"/>
          </w:tcPr>
          <w:p>
            <w:pPr>
              <w:pStyle w:val="13"/>
            </w:pPr>
            <w:r>
              <w:t>≤45万元</w:t>
            </w:r>
          </w:p>
        </w:tc>
        <w:tc>
          <w:tcPr>
            <w:tcW w:w="1276" w:type="dxa"/>
            <w:vAlign w:val="center"/>
          </w:tcPr>
          <w:p>
            <w:pPr>
              <w:pStyle w:val="13"/>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提升信息化建设普及</w:t>
            </w:r>
          </w:p>
        </w:tc>
        <w:tc>
          <w:tcPr>
            <w:tcW w:w="5386" w:type="dxa"/>
            <w:vAlign w:val="center"/>
          </w:tcPr>
          <w:p>
            <w:pPr>
              <w:pStyle w:val="13"/>
            </w:pPr>
            <w:r>
              <w:t>运用先进的网络和信息技能，整合资源，构建先进、高效、实用的信息化系统，提升单位整体经济效益。</w:t>
            </w:r>
          </w:p>
        </w:tc>
        <w:tc>
          <w:tcPr>
            <w:tcW w:w="2268" w:type="dxa"/>
            <w:vAlign w:val="center"/>
          </w:tcPr>
          <w:p>
            <w:pPr>
              <w:pStyle w:val="13"/>
            </w:pPr>
            <w:r>
              <w:t>≥95%</w:t>
            </w:r>
          </w:p>
        </w:tc>
        <w:tc>
          <w:tcPr>
            <w:tcW w:w="1276" w:type="dxa"/>
            <w:vAlign w:val="center"/>
          </w:tcPr>
          <w:p>
            <w:pPr>
              <w:pStyle w:val="13"/>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增强部门信息化建设意识</w:t>
            </w:r>
          </w:p>
        </w:tc>
        <w:tc>
          <w:tcPr>
            <w:tcW w:w="5386" w:type="dxa"/>
            <w:vAlign w:val="center"/>
          </w:tcPr>
          <w:p>
            <w:pPr>
              <w:pStyle w:val="13"/>
            </w:pPr>
            <w:r>
              <w:t>实现财政信息网络一体化平台的日常正常运行，提高各预算部门工作效率，从而明显提升社会效益。</w:t>
            </w:r>
          </w:p>
        </w:tc>
        <w:tc>
          <w:tcPr>
            <w:tcW w:w="2268" w:type="dxa"/>
            <w:vAlign w:val="center"/>
          </w:tcPr>
          <w:p>
            <w:pPr>
              <w:pStyle w:val="13"/>
            </w:pPr>
            <w:r>
              <w:t>≥95%</w:t>
            </w:r>
          </w:p>
        </w:tc>
        <w:tc>
          <w:tcPr>
            <w:tcW w:w="1276" w:type="dxa"/>
            <w:vAlign w:val="center"/>
          </w:tcPr>
          <w:p>
            <w:pPr>
              <w:pStyle w:val="13"/>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预算部门使用满意度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4、财政专项工作经费绩效目标表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13043324P00002810005N</w:t>
            </w:r>
          </w:p>
        </w:tc>
        <w:tc>
          <w:tcPr>
            <w:tcW w:w="2835" w:type="dxa"/>
            <w:vAlign w:val="center"/>
          </w:tcPr>
          <w:p>
            <w:pPr>
              <w:pStyle w:val="11"/>
            </w:pPr>
            <w:r>
              <w:t>项目名称</w:t>
            </w:r>
          </w:p>
        </w:tc>
        <w:tc>
          <w:tcPr>
            <w:tcW w:w="6094" w:type="dxa"/>
            <w:gridSpan w:val="3"/>
            <w:vAlign w:val="center"/>
          </w:tcPr>
          <w:p>
            <w:pPr>
              <w:pStyle w:val="13"/>
            </w:pPr>
            <w:r>
              <w:t>财政专项工作经费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17.33</w:t>
            </w:r>
          </w:p>
        </w:tc>
        <w:tc>
          <w:tcPr>
            <w:tcW w:w="2835" w:type="dxa"/>
            <w:vAlign w:val="center"/>
          </w:tcPr>
          <w:p>
            <w:pPr>
              <w:pStyle w:val="11"/>
            </w:pPr>
            <w:r>
              <w:t>其中：财政    资金</w:t>
            </w:r>
          </w:p>
        </w:tc>
        <w:tc>
          <w:tcPr>
            <w:tcW w:w="2551" w:type="dxa"/>
            <w:vAlign w:val="center"/>
          </w:tcPr>
          <w:p>
            <w:pPr>
              <w:pStyle w:val="13"/>
            </w:pPr>
            <w:r>
              <w:t>17.33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用于管理财政事务支出，深化税收制度改革，研究完善和规范地方性财政法规，监督检查财政政策执行情况。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1.用于管理财政事务支出，深化税收制度改革，研究完善和规范地方性财政法规，监督检查财政政策执行情况。</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支出完成率</w:t>
            </w:r>
          </w:p>
        </w:tc>
        <w:tc>
          <w:tcPr>
            <w:tcW w:w="5386" w:type="dxa"/>
            <w:vAlign w:val="center"/>
          </w:tcPr>
          <w:p>
            <w:pPr>
              <w:pStyle w:val="13"/>
            </w:pPr>
            <w:r>
              <w:t>完成2024年单位保运转各项指标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支出完成标准率</w:t>
            </w:r>
          </w:p>
        </w:tc>
        <w:tc>
          <w:tcPr>
            <w:tcW w:w="5386" w:type="dxa"/>
            <w:vAlign w:val="center"/>
          </w:tcPr>
          <w:p>
            <w:pPr>
              <w:pStyle w:val="13"/>
            </w:pPr>
            <w:r>
              <w:t>支出按标准圆满完成</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按照年度计划稳步推进、及时完成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工作资金</w:t>
            </w:r>
          </w:p>
        </w:tc>
        <w:tc>
          <w:tcPr>
            <w:tcW w:w="5386" w:type="dxa"/>
            <w:vAlign w:val="center"/>
          </w:tcPr>
          <w:p>
            <w:pPr>
              <w:pStyle w:val="13"/>
            </w:pPr>
            <w:r>
              <w:t>完成财政日常工作需要的资金</w:t>
            </w:r>
          </w:p>
        </w:tc>
        <w:tc>
          <w:tcPr>
            <w:tcW w:w="2268" w:type="dxa"/>
            <w:vAlign w:val="center"/>
          </w:tcPr>
          <w:p>
            <w:pPr>
              <w:pStyle w:val="13"/>
            </w:pPr>
            <w:r>
              <w:t>≤17.33万元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完成财政日常公用经费支出</w:t>
            </w:r>
          </w:p>
        </w:tc>
        <w:tc>
          <w:tcPr>
            <w:tcW w:w="5386" w:type="dxa"/>
            <w:vAlign w:val="center"/>
          </w:tcPr>
          <w:p>
            <w:pPr>
              <w:pStyle w:val="13"/>
            </w:pPr>
            <w:r>
              <w:t>管理财政事务支出，深化税收制度改革，研究完善和规范地方性财政法规，监督检查财政政策执行情况，保障财政日常工作正常运转。</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提升社会效益</w:t>
            </w:r>
          </w:p>
        </w:tc>
        <w:tc>
          <w:tcPr>
            <w:tcW w:w="5386" w:type="dxa"/>
            <w:vAlign w:val="center"/>
          </w:tcPr>
          <w:p>
            <w:pPr>
              <w:pStyle w:val="13"/>
            </w:pPr>
            <w:r>
              <w:t>财政专项资金的运用可以推动经济发展，改善民生，推动社会进步。</w:t>
            </w:r>
          </w:p>
        </w:tc>
        <w:tc>
          <w:tcPr>
            <w:tcW w:w="2268" w:type="dxa"/>
            <w:vAlign w:val="center"/>
          </w:tcPr>
          <w:p>
            <w:pPr>
              <w:pStyle w:val="13"/>
            </w:pPr>
            <w:r>
              <w:t>≥90%</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服务对象满意程度</w:t>
            </w:r>
          </w:p>
        </w:tc>
        <w:tc>
          <w:tcPr>
            <w:tcW w:w="2268" w:type="dxa"/>
            <w:vAlign w:val="center"/>
          </w:tcPr>
          <w:p>
            <w:pPr>
              <w:pStyle w:val="13"/>
            </w:pPr>
            <w:r>
              <w:t xml:space="preserve">≥90 </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5、档案管理工作经费绩效目标表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13043324P00006810002Q</w:t>
            </w:r>
          </w:p>
        </w:tc>
        <w:tc>
          <w:tcPr>
            <w:tcW w:w="2835" w:type="dxa"/>
            <w:vAlign w:val="center"/>
          </w:tcPr>
          <w:p>
            <w:pPr>
              <w:pStyle w:val="11"/>
            </w:pPr>
            <w:r>
              <w:t>项目名称</w:t>
            </w:r>
          </w:p>
        </w:tc>
        <w:tc>
          <w:tcPr>
            <w:tcW w:w="6094" w:type="dxa"/>
            <w:gridSpan w:val="3"/>
            <w:vAlign w:val="center"/>
          </w:tcPr>
          <w:p>
            <w:pPr>
              <w:pStyle w:val="13"/>
            </w:pPr>
            <w:r>
              <w:t>档案管理工作经费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用于规范档案管理，达到省级规定的档案管理要求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1.用于规范档案管理，达到省级规定的档案管理要求，确保单位正常运行，节约资源、提高效率，保证档案的质量与安全。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档案归档率</w:t>
            </w:r>
          </w:p>
        </w:tc>
        <w:tc>
          <w:tcPr>
            <w:tcW w:w="5386" w:type="dxa"/>
            <w:vAlign w:val="center"/>
          </w:tcPr>
          <w:p>
            <w:pPr>
              <w:pStyle w:val="13"/>
            </w:pPr>
            <w:r>
              <w:t>应归档档案/全部归档资料*100</w:t>
            </w:r>
          </w:p>
        </w:tc>
        <w:tc>
          <w:tcPr>
            <w:tcW w:w="2268" w:type="dxa"/>
            <w:vAlign w:val="center"/>
          </w:tcPr>
          <w:p>
            <w:pPr>
              <w:pStyle w:val="13"/>
            </w:pPr>
            <w:r>
              <w:t>100%</w:t>
            </w:r>
          </w:p>
        </w:tc>
        <w:tc>
          <w:tcPr>
            <w:tcW w:w="1276" w:type="dxa"/>
            <w:vAlign w:val="center"/>
          </w:tcPr>
          <w:p>
            <w:pPr>
              <w:pStyle w:val="13"/>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档案保存完好程度</w:t>
            </w:r>
          </w:p>
        </w:tc>
        <w:tc>
          <w:tcPr>
            <w:tcW w:w="5386" w:type="dxa"/>
            <w:vAlign w:val="center"/>
          </w:tcPr>
          <w:p>
            <w:pPr>
              <w:pStyle w:val="13"/>
            </w:pPr>
            <w:r>
              <w:t>档案保存完整、完好、规范</w:t>
            </w:r>
          </w:p>
        </w:tc>
        <w:tc>
          <w:tcPr>
            <w:tcW w:w="2268" w:type="dxa"/>
            <w:vAlign w:val="center"/>
          </w:tcPr>
          <w:p>
            <w:pPr>
              <w:pStyle w:val="13"/>
            </w:pPr>
            <w:r>
              <w:t>100%</w:t>
            </w:r>
          </w:p>
        </w:tc>
        <w:tc>
          <w:tcPr>
            <w:tcW w:w="1276" w:type="dxa"/>
            <w:vAlign w:val="center"/>
          </w:tcPr>
          <w:p>
            <w:pPr>
              <w:pStyle w:val="13"/>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及时归档</w:t>
            </w:r>
          </w:p>
        </w:tc>
        <w:tc>
          <w:tcPr>
            <w:tcW w:w="5386" w:type="dxa"/>
            <w:vAlign w:val="center"/>
          </w:tcPr>
          <w:p>
            <w:pPr>
              <w:pStyle w:val="13"/>
            </w:pPr>
            <w:r>
              <w:t>按计划按规定及时归档</w:t>
            </w:r>
          </w:p>
        </w:tc>
        <w:tc>
          <w:tcPr>
            <w:tcW w:w="2268" w:type="dxa"/>
            <w:vAlign w:val="center"/>
          </w:tcPr>
          <w:p>
            <w:pPr>
              <w:pStyle w:val="13"/>
            </w:pPr>
            <w:r>
              <w:t>≤1年</w:t>
            </w:r>
          </w:p>
        </w:tc>
        <w:tc>
          <w:tcPr>
            <w:tcW w:w="1276" w:type="dxa"/>
            <w:vAlign w:val="center"/>
          </w:tcPr>
          <w:p>
            <w:pPr>
              <w:pStyle w:val="13"/>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档案管理工作资金</w:t>
            </w:r>
          </w:p>
        </w:tc>
        <w:tc>
          <w:tcPr>
            <w:tcW w:w="5386" w:type="dxa"/>
            <w:vAlign w:val="center"/>
          </w:tcPr>
          <w:p>
            <w:pPr>
              <w:pStyle w:val="13"/>
            </w:pPr>
            <w:r>
              <w:t>档案管理工作资金</w:t>
            </w:r>
          </w:p>
        </w:tc>
        <w:tc>
          <w:tcPr>
            <w:tcW w:w="2268" w:type="dxa"/>
            <w:vAlign w:val="center"/>
          </w:tcPr>
          <w:p>
            <w:pPr>
              <w:pStyle w:val="13"/>
            </w:pPr>
            <w:r>
              <w:t>≤10万元</w:t>
            </w:r>
          </w:p>
        </w:tc>
        <w:tc>
          <w:tcPr>
            <w:tcW w:w="1276"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规范档案管理</w:t>
            </w:r>
          </w:p>
        </w:tc>
        <w:tc>
          <w:tcPr>
            <w:tcW w:w="5386" w:type="dxa"/>
            <w:vAlign w:val="center"/>
          </w:tcPr>
          <w:p>
            <w:pPr>
              <w:pStyle w:val="13"/>
            </w:pPr>
            <w:r>
              <w:t>按规定规范各种工作档案，使单位更加有效地使用单位资源，保证档案的质量与安全，节省人工费和档案复印费，切实提升经济效益。</w:t>
            </w:r>
          </w:p>
        </w:tc>
        <w:tc>
          <w:tcPr>
            <w:tcW w:w="2268" w:type="dxa"/>
            <w:vAlign w:val="center"/>
          </w:tcPr>
          <w:p>
            <w:pPr>
              <w:pStyle w:val="13"/>
            </w:pPr>
            <w:r>
              <w:t>≥95%</w:t>
            </w:r>
          </w:p>
        </w:tc>
        <w:tc>
          <w:tcPr>
            <w:tcW w:w="1276" w:type="dxa"/>
            <w:vAlign w:val="center"/>
          </w:tcPr>
          <w:p>
            <w:pPr>
              <w:pStyle w:val="13"/>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增强档案规范管理意识</w:t>
            </w:r>
          </w:p>
        </w:tc>
        <w:tc>
          <w:tcPr>
            <w:tcW w:w="5386" w:type="dxa"/>
            <w:vAlign w:val="center"/>
          </w:tcPr>
          <w:p>
            <w:pPr>
              <w:pStyle w:val="13"/>
            </w:pPr>
            <w:r>
              <w:t>通过做好档案管理工作，对保障单位正常运行，实施国家法律法规、维护单位声誉及节约资源等方面有积极作用。</w:t>
            </w:r>
          </w:p>
        </w:tc>
        <w:tc>
          <w:tcPr>
            <w:tcW w:w="2268" w:type="dxa"/>
            <w:vAlign w:val="center"/>
          </w:tcPr>
          <w:p>
            <w:pPr>
              <w:pStyle w:val="13"/>
            </w:pPr>
            <w:r>
              <w:t>≥95%</w:t>
            </w:r>
          </w:p>
        </w:tc>
        <w:tc>
          <w:tcPr>
            <w:tcW w:w="1276" w:type="dxa"/>
            <w:vAlign w:val="center"/>
          </w:tcPr>
          <w:p>
            <w:pPr>
              <w:pStyle w:val="13"/>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使用对象满意率</w:t>
            </w:r>
          </w:p>
        </w:tc>
        <w:tc>
          <w:tcPr>
            <w:tcW w:w="5386" w:type="dxa"/>
            <w:vAlign w:val="center"/>
          </w:tcPr>
          <w:p>
            <w:pPr>
              <w:pStyle w:val="13"/>
            </w:pPr>
            <w:r>
              <w:t>使用对象对档案管理工作的满意程度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6、国库电子支付经费绩效目标表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13043324P000063100082</w:t>
            </w:r>
          </w:p>
        </w:tc>
        <w:tc>
          <w:tcPr>
            <w:tcW w:w="2835" w:type="dxa"/>
            <w:vAlign w:val="center"/>
          </w:tcPr>
          <w:p>
            <w:pPr>
              <w:pStyle w:val="11"/>
            </w:pPr>
            <w:r>
              <w:t>项目名称</w:t>
            </w:r>
          </w:p>
        </w:tc>
        <w:tc>
          <w:tcPr>
            <w:tcW w:w="6094" w:type="dxa"/>
            <w:gridSpan w:val="3"/>
            <w:vAlign w:val="center"/>
          </w:tcPr>
          <w:p>
            <w:pPr>
              <w:pStyle w:val="13"/>
            </w:pPr>
            <w:r>
              <w:t>国库电子支付经费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加强国库电子化支付的管理和规范，保障网络平台的正常运行，维护县级财政资金的有效使用和资金拨付。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1.加强国库电子化支付的管理和规范，保障网络平台的正常运行，维护县级财政资金的有效使用和资金拨付。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部门数量</w:t>
            </w:r>
          </w:p>
        </w:tc>
        <w:tc>
          <w:tcPr>
            <w:tcW w:w="5386" w:type="dxa"/>
            <w:vAlign w:val="center"/>
          </w:tcPr>
          <w:p>
            <w:pPr>
              <w:pStyle w:val="13"/>
            </w:pPr>
            <w:r>
              <w:t>开展国库电子支付的部门数量</w:t>
            </w:r>
          </w:p>
        </w:tc>
        <w:tc>
          <w:tcPr>
            <w:tcW w:w="2268" w:type="dxa"/>
            <w:vAlign w:val="center"/>
          </w:tcPr>
          <w:p>
            <w:pPr>
              <w:pStyle w:val="13"/>
            </w:pPr>
            <w:r>
              <w:t>64个</w:t>
            </w:r>
          </w:p>
        </w:tc>
        <w:tc>
          <w:tcPr>
            <w:tcW w:w="1276" w:type="dxa"/>
            <w:vAlign w:val="center"/>
          </w:tcPr>
          <w:p>
            <w:pPr>
              <w:pStyle w:val="13"/>
            </w:pPr>
            <w:r>
              <w:t>预算部门名单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电子支付覆盖率</w:t>
            </w:r>
          </w:p>
        </w:tc>
        <w:tc>
          <w:tcPr>
            <w:tcW w:w="5386" w:type="dxa"/>
            <w:vAlign w:val="center"/>
          </w:tcPr>
          <w:p>
            <w:pPr>
              <w:pStyle w:val="13"/>
            </w:pPr>
            <w:r>
              <w:t>已开展国库电子支付部门数量/应开展国库电子支付部门的总数*100%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按时完成电子支付工作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国库电子支付工作资金</w:t>
            </w:r>
          </w:p>
        </w:tc>
        <w:tc>
          <w:tcPr>
            <w:tcW w:w="5386" w:type="dxa"/>
            <w:vAlign w:val="center"/>
          </w:tcPr>
          <w:p>
            <w:pPr>
              <w:pStyle w:val="13"/>
            </w:pPr>
            <w:r>
              <w:t>开展国库电子支付各项工作资金</w:t>
            </w:r>
          </w:p>
        </w:tc>
        <w:tc>
          <w:tcPr>
            <w:tcW w:w="2268" w:type="dxa"/>
            <w:vAlign w:val="center"/>
          </w:tcPr>
          <w:p>
            <w:pPr>
              <w:pStyle w:val="13"/>
            </w:pPr>
            <w:r>
              <w:t>≤60万元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完善预算单位资金管理</w:t>
            </w:r>
          </w:p>
        </w:tc>
        <w:tc>
          <w:tcPr>
            <w:tcW w:w="5386" w:type="dxa"/>
            <w:vAlign w:val="center"/>
          </w:tcPr>
          <w:p>
            <w:pPr>
              <w:pStyle w:val="13"/>
            </w:pPr>
            <w:r>
              <w:t>通过国库集中支付电子化，保障各预算单位的资金安全，使单位的内控明确资金流向，利用网络资源共享，管理更加完善。</w:t>
            </w:r>
          </w:p>
        </w:tc>
        <w:tc>
          <w:tcPr>
            <w:tcW w:w="2268" w:type="dxa"/>
            <w:vAlign w:val="center"/>
          </w:tcPr>
          <w:p>
            <w:pPr>
              <w:pStyle w:val="13"/>
            </w:pPr>
            <w:r>
              <w:t>≥98%</w:t>
            </w:r>
          </w:p>
        </w:tc>
        <w:tc>
          <w:tcPr>
            <w:tcW w:w="1276" w:type="dxa"/>
            <w:vAlign w:val="center"/>
          </w:tcPr>
          <w:p>
            <w:pPr>
              <w:pStyle w:val="13"/>
            </w:pPr>
            <w:r>
              <w:t>国库支付电子系统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增强部门电子支付意识</w:t>
            </w:r>
          </w:p>
        </w:tc>
        <w:tc>
          <w:tcPr>
            <w:tcW w:w="5386" w:type="dxa"/>
            <w:vAlign w:val="center"/>
          </w:tcPr>
          <w:p>
            <w:pPr>
              <w:pStyle w:val="13"/>
            </w:pPr>
            <w:r>
              <w:t>通过国库电子支付，进一步增强预算单位电子支付意识，减少资金管理的风险和成本，提高资金的周转效率，促进社会发展。</w:t>
            </w:r>
          </w:p>
        </w:tc>
        <w:tc>
          <w:tcPr>
            <w:tcW w:w="2268" w:type="dxa"/>
            <w:vAlign w:val="center"/>
          </w:tcPr>
          <w:p>
            <w:pPr>
              <w:pStyle w:val="13"/>
            </w:pPr>
            <w:r>
              <w:t>≥98%</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预算部门对国库电子支付工作的满意程度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7、国有资产管理经费绩效目标表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13043324P00006510004Y</w:t>
            </w:r>
          </w:p>
        </w:tc>
        <w:tc>
          <w:tcPr>
            <w:tcW w:w="2835" w:type="dxa"/>
            <w:vAlign w:val="center"/>
          </w:tcPr>
          <w:p>
            <w:pPr>
              <w:pStyle w:val="11"/>
            </w:pPr>
            <w:r>
              <w:t>项目名称</w:t>
            </w:r>
          </w:p>
        </w:tc>
        <w:tc>
          <w:tcPr>
            <w:tcW w:w="6094" w:type="dxa"/>
            <w:gridSpan w:val="3"/>
            <w:vAlign w:val="center"/>
          </w:tcPr>
          <w:p>
            <w:pPr>
              <w:pStyle w:val="13"/>
            </w:pPr>
            <w:r>
              <w:t>国有资产管理经费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进一步加强国有资产管理，规范行政、事业单位国有资产产权登记、资产清查等工作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1.进一步加强国有资产管理，规范行政、事业单位国有资产产权登记、资产清查等工作，查清底数，夯实资产，确保国有资产保值增值不流失。执行国有资产向人大报告制度，完善国有资产管理。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资产管理数量</w:t>
            </w:r>
          </w:p>
        </w:tc>
        <w:tc>
          <w:tcPr>
            <w:tcW w:w="5386" w:type="dxa"/>
            <w:vAlign w:val="center"/>
          </w:tcPr>
          <w:p>
            <w:pPr>
              <w:pStyle w:val="13"/>
            </w:pPr>
            <w:r>
              <w:t>加强全县147个行政事业单位国有资产管理，规范行政、事业单位国有资产产权登记、资产清查等工作，查清底数，夯实资产，确保国有资产保值增值不流失。</w:t>
            </w:r>
          </w:p>
        </w:tc>
        <w:tc>
          <w:tcPr>
            <w:tcW w:w="2268" w:type="dxa"/>
            <w:vAlign w:val="center"/>
          </w:tcPr>
          <w:p>
            <w:pPr>
              <w:pStyle w:val="13"/>
            </w:pPr>
            <w:r>
              <w:t>147个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管理执行到位率</w:t>
            </w:r>
          </w:p>
        </w:tc>
        <w:tc>
          <w:tcPr>
            <w:tcW w:w="5386" w:type="dxa"/>
            <w:vAlign w:val="center"/>
          </w:tcPr>
          <w:p>
            <w:pPr>
              <w:pStyle w:val="13"/>
            </w:pPr>
            <w:r>
              <w:t>实施国有资产系统化管理单位数/全部预算部门单位数*100%</w:t>
            </w:r>
          </w:p>
        </w:tc>
        <w:tc>
          <w:tcPr>
            <w:tcW w:w="2268" w:type="dxa"/>
            <w:vAlign w:val="center"/>
          </w:tcPr>
          <w:p>
            <w:pPr>
              <w:pStyle w:val="13"/>
            </w:pPr>
            <w:r>
              <w:t>100%</w:t>
            </w:r>
          </w:p>
        </w:tc>
        <w:tc>
          <w:tcPr>
            <w:tcW w:w="1276" w:type="dxa"/>
            <w:vAlign w:val="center"/>
          </w:tcPr>
          <w:p>
            <w:pPr>
              <w:pStyle w:val="13"/>
            </w:pPr>
            <w:r>
              <w:t>国有资产管理系统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资产月报及时率</w:t>
            </w:r>
          </w:p>
        </w:tc>
        <w:tc>
          <w:tcPr>
            <w:tcW w:w="5386" w:type="dxa"/>
            <w:vAlign w:val="center"/>
          </w:tcPr>
          <w:p>
            <w:pPr>
              <w:pStyle w:val="13"/>
            </w:pPr>
            <w:r>
              <w:t>按省厅计划安排按时上报</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资产管理资金</w:t>
            </w:r>
          </w:p>
        </w:tc>
        <w:tc>
          <w:tcPr>
            <w:tcW w:w="5386" w:type="dxa"/>
            <w:vAlign w:val="center"/>
          </w:tcPr>
          <w:p>
            <w:pPr>
              <w:pStyle w:val="13"/>
            </w:pPr>
            <w:r>
              <w:t>开展国有资产管理，规范行政、事业单位国有资产产权登记、资产清查等工作资金</w:t>
            </w:r>
          </w:p>
        </w:tc>
        <w:tc>
          <w:tcPr>
            <w:tcW w:w="2268" w:type="dxa"/>
            <w:vAlign w:val="center"/>
          </w:tcPr>
          <w:p>
            <w:pPr>
              <w:pStyle w:val="13"/>
            </w:pPr>
            <w:r>
              <w:t>≤40万元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管理效率提升</w:t>
            </w:r>
          </w:p>
        </w:tc>
        <w:tc>
          <w:tcPr>
            <w:tcW w:w="5386" w:type="dxa"/>
            <w:vAlign w:val="center"/>
          </w:tcPr>
          <w:p>
            <w:pPr>
              <w:pStyle w:val="13"/>
            </w:pPr>
            <w:r>
              <w:t>通过规范行政事业单位国有资产管理，查清底数，夯实资产，确保国有资产保值增值不流失，管理效率得到明显提升。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管理规范有序</w:t>
            </w:r>
          </w:p>
        </w:tc>
        <w:tc>
          <w:tcPr>
            <w:tcW w:w="5386" w:type="dxa"/>
            <w:vAlign w:val="center"/>
          </w:tcPr>
          <w:p>
            <w:pPr>
              <w:pStyle w:val="13"/>
            </w:pPr>
            <w:r>
              <w:t>加强国有资产管理，使单位资产管理规范有序，防止贪腐和腐败现象发生，保障国家利益和社会公平。</w:t>
            </w:r>
          </w:p>
        </w:tc>
        <w:tc>
          <w:tcPr>
            <w:tcW w:w="2268" w:type="dxa"/>
            <w:vAlign w:val="center"/>
          </w:tcPr>
          <w:p>
            <w:pPr>
              <w:pStyle w:val="13"/>
            </w:pPr>
            <w:r>
              <w:t>≥95%</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管理对象满意率</w:t>
            </w:r>
          </w:p>
        </w:tc>
        <w:tc>
          <w:tcPr>
            <w:tcW w:w="5386" w:type="dxa"/>
            <w:vAlign w:val="center"/>
          </w:tcPr>
          <w:p>
            <w:pPr>
              <w:pStyle w:val="13"/>
            </w:pPr>
            <w:r>
              <w:t>管理对象满意度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8、会计培训经费绩效目标表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13043324P000069100032</w:t>
            </w:r>
          </w:p>
        </w:tc>
        <w:tc>
          <w:tcPr>
            <w:tcW w:w="2835" w:type="dxa"/>
            <w:vAlign w:val="center"/>
          </w:tcPr>
          <w:p>
            <w:pPr>
              <w:pStyle w:val="11"/>
            </w:pPr>
            <w:r>
              <w:t>项目名称</w:t>
            </w:r>
          </w:p>
        </w:tc>
        <w:tc>
          <w:tcPr>
            <w:tcW w:w="6094" w:type="dxa"/>
            <w:gridSpan w:val="3"/>
            <w:vAlign w:val="center"/>
          </w:tcPr>
          <w:p>
            <w:pPr>
              <w:pStyle w:val="13"/>
            </w:pPr>
            <w:r>
              <w:t>会计培训经费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加强全县会计工作管理，提升会计人员工作水平和综合素质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全县会计工作管理，提升会计人员工作水平和综合素质，保障资金使用安全、规范、合理、合法，严格依照《会计法》及各项会计制度规定办理财务手续，搞好会计人员培训工作，加大培训力度和广度及操作的深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计划培训人数</w:t>
            </w:r>
          </w:p>
        </w:tc>
        <w:tc>
          <w:tcPr>
            <w:tcW w:w="5386" w:type="dxa"/>
            <w:vAlign w:val="center"/>
          </w:tcPr>
          <w:p>
            <w:pPr>
              <w:pStyle w:val="13"/>
            </w:pPr>
            <w:r>
              <w:t>计划培训900人</w:t>
            </w:r>
          </w:p>
        </w:tc>
        <w:tc>
          <w:tcPr>
            <w:tcW w:w="2268" w:type="dxa"/>
            <w:vAlign w:val="center"/>
          </w:tcPr>
          <w:p>
            <w:pPr>
              <w:pStyle w:val="13"/>
            </w:pPr>
            <w:r>
              <w:t>≥900人</w:t>
            </w:r>
          </w:p>
        </w:tc>
        <w:tc>
          <w:tcPr>
            <w:tcW w:w="1276"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培训达标率</w:t>
            </w:r>
          </w:p>
        </w:tc>
        <w:tc>
          <w:tcPr>
            <w:tcW w:w="5386" w:type="dxa"/>
            <w:vAlign w:val="center"/>
          </w:tcPr>
          <w:p>
            <w:pPr>
              <w:pStyle w:val="13"/>
            </w:pPr>
            <w:r>
              <w:t>已达标人数/应培训总人数*100%</w:t>
            </w:r>
          </w:p>
        </w:tc>
        <w:tc>
          <w:tcPr>
            <w:tcW w:w="2268" w:type="dxa"/>
            <w:vAlign w:val="center"/>
          </w:tcPr>
          <w:p>
            <w:pPr>
              <w:pStyle w:val="13"/>
            </w:pPr>
            <w:r>
              <w:t>100%</w:t>
            </w:r>
          </w:p>
        </w:tc>
        <w:tc>
          <w:tcPr>
            <w:tcW w:w="1276" w:type="dxa"/>
            <w:vAlign w:val="center"/>
          </w:tcPr>
          <w:p>
            <w:pPr>
              <w:pStyle w:val="13"/>
            </w:pPr>
            <w:r>
              <w:t>培训人员名单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培训按计划设定时间及时完成</w:t>
            </w:r>
          </w:p>
        </w:tc>
        <w:tc>
          <w:tcPr>
            <w:tcW w:w="2268" w:type="dxa"/>
            <w:vAlign w:val="center"/>
          </w:tcPr>
          <w:p>
            <w:pPr>
              <w:pStyle w:val="13"/>
            </w:pPr>
            <w:r>
              <w:t>≤1年</w:t>
            </w:r>
          </w:p>
        </w:tc>
        <w:tc>
          <w:tcPr>
            <w:tcW w:w="1276"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会计培训工作资金</w:t>
            </w:r>
          </w:p>
        </w:tc>
        <w:tc>
          <w:tcPr>
            <w:tcW w:w="5386" w:type="dxa"/>
            <w:vAlign w:val="center"/>
          </w:tcPr>
          <w:p>
            <w:pPr>
              <w:pStyle w:val="13"/>
            </w:pPr>
            <w:r>
              <w:t>会计培训工作需要的资金</w:t>
            </w:r>
          </w:p>
        </w:tc>
        <w:tc>
          <w:tcPr>
            <w:tcW w:w="2268" w:type="dxa"/>
            <w:vAlign w:val="center"/>
          </w:tcPr>
          <w:p>
            <w:pPr>
              <w:pStyle w:val="13"/>
            </w:pPr>
            <w:r>
              <w:t>≤20万元</w:t>
            </w:r>
          </w:p>
        </w:tc>
        <w:tc>
          <w:tcPr>
            <w:tcW w:w="1276" w:type="dxa"/>
            <w:vAlign w:val="center"/>
          </w:tcPr>
          <w:p>
            <w:pPr>
              <w:pStyle w:val="13"/>
            </w:pPr>
            <w:r>
              <w:t>年初计划测算表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提高财务管理水平</w:t>
            </w:r>
          </w:p>
        </w:tc>
        <w:tc>
          <w:tcPr>
            <w:tcW w:w="5386" w:type="dxa"/>
            <w:vAlign w:val="center"/>
          </w:tcPr>
          <w:p>
            <w:pPr>
              <w:pStyle w:val="13"/>
            </w:pPr>
            <w:r>
              <w:t>通过各项会计培训工作，提升会计人员工作水平和综合素质，保障资金使用安全、规范、合理、合法。</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满足社会经济需求</w:t>
            </w:r>
          </w:p>
        </w:tc>
        <w:tc>
          <w:tcPr>
            <w:tcW w:w="5386" w:type="dxa"/>
            <w:vAlign w:val="center"/>
          </w:tcPr>
          <w:p>
            <w:pPr>
              <w:pStyle w:val="13"/>
            </w:pPr>
            <w:r>
              <w:t>通过培训提高财务人员的财务管理水平，掌握最新政策法规，提高风险管理能力，增强创新能力，促进优化资源配置，提升经济效益，更好地扩大社会影响力。</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培训人员满意度</w:t>
            </w:r>
          </w:p>
        </w:tc>
        <w:tc>
          <w:tcPr>
            <w:tcW w:w="5386" w:type="dxa"/>
            <w:vAlign w:val="center"/>
          </w:tcPr>
          <w:p>
            <w:pPr>
              <w:pStyle w:val="13"/>
            </w:pPr>
            <w:r>
              <w:t>会计培训人员的满意情况</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9、预算绩效改革经费绩效目标表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13043324P00006210004X</w:t>
            </w:r>
          </w:p>
        </w:tc>
        <w:tc>
          <w:tcPr>
            <w:tcW w:w="2835" w:type="dxa"/>
            <w:vAlign w:val="center"/>
          </w:tcPr>
          <w:p>
            <w:pPr>
              <w:pStyle w:val="11"/>
            </w:pPr>
            <w:r>
              <w:t>项目名称</w:t>
            </w:r>
          </w:p>
        </w:tc>
        <w:tc>
          <w:tcPr>
            <w:tcW w:w="6094" w:type="dxa"/>
            <w:gridSpan w:val="3"/>
            <w:vAlign w:val="center"/>
          </w:tcPr>
          <w:p>
            <w:pPr>
              <w:pStyle w:val="13"/>
            </w:pPr>
            <w:r>
              <w:t>预算绩效改革经费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用于绩效管理业务培训，强化绩效目标管理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1.用于绩效管理业务培训，强化绩效目标管理，全面实行“双监控”，全面落实事前绩效评估制度，制定项目共性绩效指标框架。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部门数量</w:t>
            </w:r>
          </w:p>
        </w:tc>
        <w:tc>
          <w:tcPr>
            <w:tcW w:w="5386" w:type="dxa"/>
            <w:vAlign w:val="center"/>
          </w:tcPr>
          <w:p>
            <w:pPr>
              <w:pStyle w:val="13"/>
            </w:pPr>
            <w:r>
              <w:t>开展预算绩效培训和绩效评价及绩效监控的部门数量</w:t>
            </w:r>
          </w:p>
        </w:tc>
        <w:tc>
          <w:tcPr>
            <w:tcW w:w="2268" w:type="dxa"/>
            <w:vAlign w:val="center"/>
          </w:tcPr>
          <w:p>
            <w:pPr>
              <w:pStyle w:val="13"/>
            </w:pPr>
            <w:r>
              <w:t>64个</w:t>
            </w:r>
          </w:p>
        </w:tc>
        <w:tc>
          <w:tcPr>
            <w:tcW w:w="1276" w:type="dxa"/>
            <w:vAlign w:val="center"/>
          </w:tcPr>
          <w:p>
            <w:pPr>
              <w:pStyle w:val="13"/>
            </w:pPr>
            <w:r>
              <w:t>预算单位名单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绩效工作覆盖率</w:t>
            </w:r>
          </w:p>
        </w:tc>
        <w:tc>
          <w:tcPr>
            <w:tcW w:w="5386" w:type="dxa"/>
            <w:vAlign w:val="center"/>
          </w:tcPr>
          <w:p>
            <w:pPr>
              <w:pStyle w:val="13"/>
            </w:pPr>
            <w:r>
              <w:t>已开展绩效评价、监控部门数量/应开展绩效评价、监控部门的总数*100%</w:t>
            </w:r>
          </w:p>
        </w:tc>
        <w:tc>
          <w:tcPr>
            <w:tcW w:w="2268" w:type="dxa"/>
            <w:vAlign w:val="center"/>
          </w:tcPr>
          <w:p>
            <w:pPr>
              <w:pStyle w:val="13"/>
            </w:pPr>
            <w:r>
              <w:t>100%</w:t>
            </w:r>
          </w:p>
        </w:tc>
        <w:tc>
          <w:tcPr>
            <w:tcW w:w="1276" w:type="dxa"/>
            <w:vAlign w:val="center"/>
          </w:tcPr>
          <w:p>
            <w:pPr>
              <w:pStyle w:val="13"/>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按照工作计划设定时间及时完成绩效评价、绩效培训工作</w:t>
            </w:r>
          </w:p>
        </w:tc>
        <w:tc>
          <w:tcPr>
            <w:tcW w:w="2268" w:type="dxa"/>
            <w:vAlign w:val="center"/>
          </w:tcPr>
          <w:p>
            <w:pPr>
              <w:pStyle w:val="13"/>
            </w:pPr>
            <w:r>
              <w:t>≤1年</w:t>
            </w:r>
          </w:p>
        </w:tc>
        <w:tc>
          <w:tcPr>
            <w:tcW w:w="1276" w:type="dxa"/>
            <w:vAlign w:val="center"/>
          </w:tcPr>
          <w:p>
            <w:pPr>
              <w:pStyle w:val="13"/>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预算绩效工作资金</w:t>
            </w:r>
          </w:p>
        </w:tc>
        <w:tc>
          <w:tcPr>
            <w:tcW w:w="5386" w:type="dxa"/>
            <w:vAlign w:val="center"/>
          </w:tcPr>
          <w:p>
            <w:pPr>
              <w:pStyle w:val="13"/>
            </w:pPr>
            <w:r>
              <w:t>预算绩效培训等各项工作资金</w:t>
            </w:r>
          </w:p>
        </w:tc>
        <w:tc>
          <w:tcPr>
            <w:tcW w:w="2268" w:type="dxa"/>
            <w:vAlign w:val="center"/>
          </w:tcPr>
          <w:p>
            <w:pPr>
              <w:pStyle w:val="13"/>
            </w:pPr>
            <w:r>
              <w:t>≤60万元</w:t>
            </w:r>
          </w:p>
        </w:tc>
        <w:tc>
          <w:tcPr>
            <w:tcW w:w="1276" w:type="dxa"/>
            <w:vAlign w:val="center"/>
          </w:tcPr>
          <w:p>
            <w:pPr>
              <w:pStyle w:val="13"/>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保障重点项目顺利实施，促进社会经济发展，提高财政资金利用率。</w:t>
            </w:r>
          </w:p>
        </w:tc>
        <w:tc>
          <w:tcPr>
            <w:tcW w:w="2268" w:type="dxa"/>
            <w:vAlign w:val="center"/>
          </w:tcPr>
          <w:p>
            <w:pPr>
              <w:pStyle w:val="13"/>
            </w:pPr>
            <w:r>
              <w:t>≥98%</w:t>
            </w:r>
          </w:p>
        </w:tc>
        <w:tc>
          <w:tcPr>
            <w:tcW w:w="1276" w:type="dxa"/>
            <w:vAlign w:val="center"/>
          </w:tcPr>
          <w:p>
            <w:pPr>
              <w:pStyle w:val="13"/>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增强部门绩效意识</w:t>
            </w:r>
          </w:p>
        </w:tc>
        <w:tc>
          <w:tcPr>
            <w:tcW w:w="5386" w:type="dxa"/>
            <w:vAlign w:val="center"/>
          </w:tcPr>
          <w:p>
            <w:pPr>
              <w:pStyle w:val="13"/>
            </w:pPr>
            <w:r>
              <w:t>通过预算绩效培训和绩效评价等各项工作开展，进一步增强全县各预算部门绩效意识。</w:t>
            </w:r>
          </w:p>
        </w:tc>
        <w:tc>
          <w:tcPr>
            <w:tcW w:w="2268" w:type="dxa"/>
            <w:vAlign w:val="center"/>
          </w:tcPr>
          <w:p>
            <w:pPr>
              <w:pStyle w:val="13"/>
            </w:pPr>
            <w:r>
              <w:t>≥98%</w:t>
            </w:r>
          </w:p>
        </w:tc>
        <w:tc>
          <w:tcPr>
            <w:tcW w:w="1276" w:type="dxa"/>
            <w:vAlign w:val="center"/>
          </w:tcPr>
          <w:p>
            <w:pPr>
              <w:pStyle w:val="13"/>
            </w:pPr>
            <w:r>
              <w:t>冀发【2018】54号文及工作计划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提高财政资金使用效益</w:t>
            </w:r>
          </w:p>
        </w:tc>
        <w:tc>
          <w:tcPr>
            <w:tcW w:w="5386" w:type="dxa"/>
            <w:vAlign w:val="center"/>
          </w:tcPr>
          <w:p>
            <w:pPr>
              <w:pStyle w:val="13"/>
            </w:pPr>
            <w:r>
              <w:t>通过预算绩效改革工作开展，增强预算绩效影响力，做到“讲绩效、重绩效、用绩效”。，进一步提高财政资金使用效益</w:t>
            </w:r>
          </w:p>
        </w:tc>
        <w:tc>
          <w:tcPr>
            <w:tcW w:w="2268" w:type="dxa"/>
            <w:vAlign w:val="center"/>
          </w:tcPr>
          <w:p>
            <w:pPr>
              <w:pStyle w:val="13"/>
            </w:pPr>
            <w:r>
              <w:t>≥95%</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接受培训的预算部门满意度</w:t>
            </w:r>
          </w:p>
        </w:tc>
        <w:tc>
          <w:tcPr>
            <w:tcW w:w="5386" w:type="dxa"/>
            <w:vAlign w:val="center"/>
          </w:tcPr>
          <w:p>
            <w:pPr>
              <w:pStyle w:val="13"/>
            </w:pPr>
            <w:r>
              <w:t>预算部门对预算绩效管理工作的满意度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10、]冀财农[2023]165号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关于提前下达2024年省级农村财会人员培训资金预算的通知绩效目标表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13043324P00012510002J</w:t>
            </w:r>
          </w:p>
        </w:tc>
        <w:tc>
          <w:tcPr>
            <w:tcW w:w="2835" w:type="dxa"/>
            <w:vAlign w:val="center"/>
          </w:tcPr>
          <w:p>
            <w:pPr>
              <w:pStyle w:val="11"/>
            </w:pPr>
            <w:r>
              <w:t>项目名称</w:t>
            </w:r>
          </w:p>
        </w:tc>
        <w:tc>
          <w:tcPr>
            <w:tcW w:w="6094" w:type="dxa"/>
            <w:gridSpan w:val="3"/>
            <w:vAlign w:val="center"/>
          </w:tcPr>
          <w:p>
            <w:pPr>
              <w:pStyle w:val="13"/>
            </w:pPr>
            <w:r>
              <w:t>]冀财农[2023]165号</w:t>
            </w:r>
            <w:r>
              <w:tab/>
            </w:r>
            <w:r>
              <w:t>关于提前下达2024年省级农村财会人员培训资金预算的通知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重点用于支持做好农村财会人员财政支农政策培训工作，保障各项惠农资金及时全面落实，提升村级财务管理水平，促进农村经济发展。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1.重点用于支持做好农村财会人员财政支农政策培训工作，保障各项惠农资金及时全面落实，提升村级财务管理水平，促进农村经济发展。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计划培训不低于900人</w:t>
            </w:r>
          </w:p>
        </w:tc>
        <w:tc>
          <w:tcPr>
            <w:tcW w:w="2268" w:type="dxa"/>
            <w:vAlign w:val="center"/>
          </w:tcPr>
          <w:p>
            <w:pPr>
              <w:pStyle w:val="13"/>
            </w:pPr>
            <w:r>
              <w:t>≥900人</w:t>
            </w:r>
          </w:p>
        </w:tc>
        <w:tc>
          <w:tcPr>
            <w:tcW w:w="1276" w:type="dxa"/>
            <w:vAlign w:val="center"/>
          </w:tcPr>
          <w:p>
            <w:pPr>
              <w:pStyle w:val="13"/>
            </w:pPr>
            <w:r>
              <w:t>培训名单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培训达标率</w:t>
            </w:r>
          </w:p>
        </w:tc>
        <w:tc>
          <w:tcPr>
            <w:tcW w:w="5386" w:type="dxa"/>
            <w:vAlign w:val="center"/>
          </w:tcPr>
          <w:p>
            <w:pPr>
              <w:pStyle w:val="13"/>
            </w:pPr>
            <w:r>
              <w:t>培训达标人数/应参加培训总人数*100%</w:t>
            </w:r>
          </w:p>
        </w:tc>
        <w:tc>
          <w:tcPr>
            <w:tcW w:w="2268" w:type="dxa"/>
            <w:vAlign w:val="center"/>
          </w:tcPr>
          <w:p>
            <w:pPr>
              <w:pStyle w:val="13"/>
            </w:pPr>
            <w:r>
              <w:t>100%</w:t>
            </w:r>
          </w:p>
        </w:tc>
        <w:tc>
          <w:tcPr>
            <w:tcW w:w="1276" w:type="dxa"/>
            <w:vAlign w:val="center"/>
          </w:tcPr>
          <w:p>
            <w:pPr>
              <w:pStyle w:val="13"/>
            </w:pPr>
            <w:r>
              <w:t>培训实施方案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按时培训</w:t>
            </w:r>
          </w:p>
        </w:tc>
        <w:tc>
          <w:tcPr>
            <w:tcW w:w="5386" w:type="dxa"/>
            <w:vAlign w:val="center"/>
          </w:tcPr>
          <w:p>
            <w:pPr>
              <w:pStyle w:val="13"/>
            </w:pPr>
            <w:r>
              <w:t>按要求时间及时完成农村财会人员培训</w:t>
            </w:r>
          </w:p>
        </w:tc>
        <w:tc>
          <w:tcPr>
            <w:tcW w:w="2268" w:type="dxa"/>
            <w:vAlign w:val="center"/>
          </w:tcPr>
          <w:p>
            <w:pPr>
              <w:pStyle w:val="13"/>
            </w:pPr>
            <w:r>
              <w:t>1年</w:t>
            </w:r>
          </w:p>
        </w:tc>
        <w:tc>
          <w:tcPr>
            <w:tcW w:w="1276" w:type="dxa"/>
            <w:vAlign w:val="center"/>
          </w:tcPr>
          <w:p>
            <w:pPr>
              <w:pStyle w:val="13"/>
            </w:pPr>
            <w:r>
              <w:t>培训实施方案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开展农村财会人员培训工作的补助资金</w:t>
            </w:r>
          </w:p>
        </w:tc>
        <w:tc>
          <w:tcPr>
            <w:tcW w:w="2268" w:type="dxa"/>
            <w:vAlign w:val="center"/>
          </w:tcPr>
          <w:p>
            <w:pPr>
              <w:pStyle w:val="13"/>
            </w:pPr>
            <w:r>
              <w:t>9万元</w:t>
            </w:r>
          </w:p>
        </w:tc>
        <w:tc>
          <w:tcPr>
            <w:tcW w:w="1276" w:type="dxa"/>
            <w:vAlign w:val="center"/>
          </w:tcPr>
          <w:p>
            <w:pPr>
              <w:pStyle w:val="13"/>
            </w:pPr>
            <w:r>
              <w:t>冀财农【2023】156号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保障惠农资金及时全面落实</w:t>
            </w:r>
          </w:p>
        </w:tc>
        <w:tc>
          <w:tcPr>
            <w:tcW w:w="5386" w:type="dxa"/>
            <w:vAlign w:val="center"/>
          </w:tcPr>
          <w:p>
            <w:pPr>
              <w:pStyle w:val="13"/>
            </w:pPr>
            <w:r>
              <w:t>以解决基层财务管理中存在的突出问题和支农惠农政策为重点，提高农村财会人员综合素质，保障各项惠农资金及时全面落实。</w:t>
            </w:r>
          </w:p>
        </w:tc>
        <w:tc>
          <w:tcPr>
            <w:tcW w:w="2268" w:type="dxa"/>
            <w:vAlign w:val="center"/>
          </w:tcPr>
          <w:p>
            <w:pPr>
              <w:pStyle w:val="13"/>
            </w:pPr>
            <w:r>
              <w:t>≥95%</w:t>
            </w:r>
          </w:p>
        </w:tc>
        <w:tc>
          <w:tcPr>
            <w:tcW w:w="1276" w:type="dxa"/>
            <w:vAlign w:val="center"/>
          </w:tcPr>
          <w:p>
            <w:pPr>
              <w:pStyle w:val="13"/>
            </w:pPr>
            <w:r>
              <w:t>冀财农【2023】156号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促进农村社会稳定</w:t>
            </w:r>
          </w:p>
        </w:tc>
        <w:tc>
          <w:tcPr>
            <w:tcW w:w="5386" w:type="dxa"/>
            <w:vAlign w:val="center"/>
          </w:tcPr>
          <w:p>
            <w:pPr>
              <w:pStyle w:val="13"/>
            </w:pPr>
            <w:r>
              <w:t>培养合格的支农会计人员，提升村级财务管理水平，促进农村经济发展。</w:t>
            </w:r>
          </w:p>
        </w:tc>
        <w:tc>
          <w:tcPr>
            <w:tcW w:w="2268" w:type="dxa"/>
            <w:vAlign w:val="center"/>
          </w:tcPr>
          <w:p>
            <w:pPr>
              <w:pStyle w:val="13"/>
            </w:pPr>
            <w:r>
              <w:t>≥95%</w:t>
            </w:r>
          </w:p>
        </w:tc>
        <w:tc>
          <w:tcPr>
            <w:tcW w:w="1276" w:type="dxa"/>
            <w:vAlign w:val="center"/>
          </w:tcPr>
          <w:p>
            <w:pPr>
              <w:pStyle w:val="13"/>
            </w:pPr>
            <w:r>
              <w:t>冀财农【2023】156号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培训人员满意度</w:t>
            </w:r>
          </w:p>
        </w:tc>
        <w:tc>
          <w:tcPr>
            <w:tcW w:w="5386" w:type="dxa"/>
            <w:vAlign w:val="center"/>
          </w:tcPr>
          <w:p>
            <w:pPr>
              <w:pStyle w:val="13"/>
            </w:pPr>
            <w:r>
              <w:t>全县各乡镇财政所、村会计等培训人员的满意情况</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11、政府投资项目财政评审资金绩效目标表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13043324P000067100023</w:t>
            </w:r>
          </w:p>
        </w:tc>
        <w:tc>
          <w:tcPr>
            <w:tcW w:w="2835" w:type="dxa"/>
            <w:vAlign w:val="center"/>
          </w:tcPr>
          <w:p>
            <w:pPr>
              <w:pStyle w:val="11"/>
            </w:pPr>
            <w:r>
              <w:t>项目名称</w:t>
            </w:r>
          </w:p>
        </w:tc>
        <w:tc>
          <w:tcPr>
            <w:tcW w:w="6094" w:type="dxa"/>
            <w:gridSpan w:val="3"/>
            <w:vAlign w:val="center"/>
          </w:tcPr>
          <w:p>
            <w:pPr>
              <w:pStyle w:val="13"/>
            </w:pPr>
            <w:r>
              <w:t>政府投资项目财政评审资金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用于对财政性资金拟安排的建设项目预算进行评价审查，实现财政资金的最大化利用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1.用于对财政性资金拟安排的建设项目预算进行评价审查，实现财政资金的最大化利用，改善政府投资评审环境。</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项目评审数量</w:t>
            </w:r>
          </w:p>
        </w:tc>
        <w:tc>
          <w:tcPr>
            <w:tcW w:w="5386" w:type="dxa"/>
            <w:vAlign w:val="center"/>
          </w:tcPr>
          <w:p>
            <w:pPr>
              <w:pStyle w:val="13"/>
            </w:pPr>
            <w:r>
              <w:t>政府投资的评审项目数量</w:t>
            </w:r>
          </w:p>
        </w:tc>
        <w:tc>
          <w:tcPr>
            <w:tcW w:w="2268" w:type="dxa"/>
            <w:vAlign w:val="center"/>
          </w:tcPr>
          <w:p>
            <w:pPr>
              <w:pStyle w:val="13"/>
            </w:pPr>
            <w:r>
              <w:t>150个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评审覆盖率</w:t>
            </w:r>
          </w:p>
        </w:tc>
        <w:tc>
          <w:tcPr>
            <w:tcW w:w="5386" w:type="dxa"/>
            <w:vAlign w:val="center"/>
          </w:tcPr>
          <w:p>
            <w:pPr>
              <w:pStyle w:val="13"/>
            </w:pPr>
            <w:r>
              <w:t>实际评审的项目数量占计划评审数量的比例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及时评审</w:t>
            </w:r>
          </w:p>
        </w:tc>
        <w:tc>
          <w:tcPr>
            <w:tcW w:w="5386" w:type="dxa"/>
            <w:vAlign w:val="center"/>
          </w:tcPr>
          <w:p>
            <w:pPr>
              <w:pStyle w:val="13"/>
            </w:pPr>
            <w:r>
              <w:t>在计划时间内完成政府投资评审工作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评审成本</w:t>
            </w:r>
          </w:p>
        </w:tc>
        <w:tc>
          <w:tcPr>
            <w:tcW w:w="5386" w:type="dxa"/>
            <w:vAlign w:val="center"/>
          </w:tcPr>
          <w:p>
            <w:pPr>
              <w:pStyle w:val="13"/>
            </w:pPr>
            <w:r>
              <w:t>开展政府投资的评审所需的资金</w:t>
            </w:r>
          </w:p>
        </w:tc>
        <w:tc>
          <w:tcPr>
            <w:tcW w:w="2268" w:type="dxa"/>
            <w:vAlign w:val="center"/>
          </w:tcPr>
          <w:p>
            <w:pPr>
              <w:pStyle w:val="13"/>
            </w:pPr>
            <w:r>
              <w:t>≤400万元</w:t>
            </w:r>
          </w:p>
        </w:tc>
        <w:tc>
          <w:tcPr>
            <w:tcW w:w="1276" w:type="dxa"/>
            <w:vAlign w:val="center"/>
          </w:tcPr>
          <w:p>
            <w:pPr>
              <w:pStyle w:val="13"/>
            </w:pPr>
            <w:r>
              <w:t>评审测算表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改善政府投资评审环境</w:t>
            </w:r>
          </w:p>
        </w:tc>
        <w:tc>
          <w:tcPr>
            <w:tcW w:w="5386" w:type="dxa"/>
            <w:vAlign w:val="center"/>
          </w:tcPr>
          <w:p>
            <w:pPr>
              <w:pStyle w:val="13"/>
            </w:pPr>
            <w:r>
              <w:t>通过财政评审工作，严关把守，节约财政资金，改善政府投资评审环境。</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促进社会公平稳定</w:t>
            </w:r>
          </w:p>
        </w:tc>
        <w:tc>
          <w:tcPr>
            <w:tcW w:w="5386" w:type="dxa"/>
            <w:vAlign w:val="center"/>
          </w:tcPr>
          <w:p>
            <w:pPr>
              <w:pStyle w:val="13"/>
            </w:pPr>
            <w:r>
              <w:t>加强财政投资评审工作，实现财政资金的最大化利用，为经济社会发展创造更好的条件，促进社会公平稳定。</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评审单位的满意度</w:t>
            </w:r>
          </w:p>
        </w:tc>
        <w:tc>
          <w:tcPr>
            <w:tcW w:w="5386" w:type="dxa"/>
            <w:vAlign w:val="center"/>
          </w:tcPr>
          <w:p>
            <w:pPr>
              <w:pStyle w:val="13"/>
            </w:pPr>
            <w:r>
              <w:t>评审单位对评审工作的满意度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318馆陶县财政局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15.00</w:t>
            </w:r>
          </w:p>
        </w:tc>
        <w:tc>
          <w:tcPr>
            <w:tcW w:w="964" w:type="dxa"/>
            <w:vAlign w:val="center"/>
          </w:tcPr>
          <w:p>
            <w:pPr>
              <w:pStyle w:val="16"/>
            </w:pPr>
            <w:r>
              <w:t>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馆陶县财政局本级小计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15.00</w:t>
            </w:r>
          </w:p>
        </w:tc>
        <w:tc>
          <w:tcPr>
            <w:tcW w:w="964" w:type="dxa"/>
            <w:vAlign w:val="center"/>
          </w:tcPr>
          <w:p>
            <w:pPr>
              <w:pStyle w:val="16"/>
            </w:pPr>
            <w:r>
              <w:t>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财政信息化建设工作经费</w:t>
            </w:r>
          </w:p>
        </w:tc>
        <w:tc>
          <w:tcPr>
            <w:tcW w:w="964" w:type="dxa"/>
            <w:vAlign w:val="center"/>
          </w:tcPr>
          <w:p>
            <w:pPr>
              <w:pStyle w:val="12"/>
            </w:pPr>
            <w:r>
              <w:t>36.00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13</w:t>
            </w:r>
          </w:p>
        </w:tc>
        <w:tc>
          <w:tcPr>
            <w:tcW w:w="850" w:type="dxa"/>
            <w:vAlign w:val="center"/>
          </w:tcPr>
          <w:p>
            <w:pPr>
              <w:pStyle w:val="12"/>
            </w:pPr>
            <w:r>
              <w:t>0.50</w:t>
            </w:r>
          </w:p>
        </w:tc>
        <w:tc>
          <w:tcPr>
            <w:tcW w:w="964" w:type="dxa"/>
            <w:vAlign w:val="center"/>
          </w:tcPr>
          <w:p>
            <w:pPr>
              <w:pStyle w:val="12"/>
            </w:pPr>
            <w:r>
              <w:t>6.50</w:t>
            </w:r>
          </w:p>
        </w:tc>
        <w:tc>
          <w:tcPr>
            <w:tcW w:w="964" w:type="dxa"/>
            <w:vAlign w:val="center"/>
          </w:tcPr>
          <w:p>
            <w:pPr>
              <w:pStyle w:val="12"/>
            </w:pPr>
            <w:r>
              <w:t>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财政信息化建设工作经费</w:t>
            </w:r>
          </w:p>
        </w:tc>
        <w:tc>
          <w:tcPr>
            <w:tcW w:w="964" w:type="dxa"/>
            <w:vAlign w:val="center"/>
          </w:tcPr>
          <w:p>
            <w:pPr>
              <w:pStyle w:val="12"/>
            </w:pPr>
            <w:r>
              <w:t>36.00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0.60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财政信息化建设工作经费</w:t>
            </w:r>
          </w:p>
        </w:tc>
        <w:tc>
          <w:tcPr>
            <w:tcW w:w="964" w:type="dxa"/>
            <w:vAlign w:val="center"/>
          </w:tcPr>
          <w:p>
            <w:pPr>
              <w:pStyle w:val="12"/>
            </w:pPr>
            <w:r>
              <w:t>36.00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0.25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财政信息化建设工作经费</w:t>
            </w:r>
          </w:p>
        </w:tc>
        <w:tc>
          <w:tcPr>
            <w:tcW w:w="964" w:type="dxa"/>
            <w:vAlign w:val="center"/>
          </w:tcPr>
          <w:p>
            <w:pPr>
              <w:pStyle w:val="12"/>
            </w:pPr>
            <w:r>
              <w:t>36.00</w:t>
            </w:r>
          </w:p>
        </w:tc>
        <w:tc>
          <w:tcPr>
            <w:tcW w:w="1134" w:type="dxa"/>
            <w:vAlign w:val="center"/>
          </w:tcPr>
          <w:p>
            <w:pPr>
              <w:pStyle w:val="13"/>
            </w:pPr>
            <w:r>
              <w:t>装订机</w:t>
            </w:r>
          </w:p>
        </w:tc>
        <w:tc>
          <w:tcPr>
            <w:tcW w:w="1134" w:type="dxa"/>
            <w:vAlign w:val="center"/>
          </w:tcPr>
          <w:p>
            <w:pPr>
              <w:pStyle w:val="13"/>
            </w:pPr>
            <w:r>
              <w:t>A02021203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馆陶县财政局（含所属单位）上年末固定资产金额为</w:t>
      </w:r>
      <w:r>
        <w:rPr>
          <w:rFonts w:hint="eastAsia" w:ascii="Times New Roman" w:hAnsi="Times New Roman" w:eastAsia="方正仿宋_GBK" w:cs="Times New Roman"/>
          <w:b w:val="0"/>
          <w:color w:val="000000"/>
          <w:sz w:val="28"/>
          <w:lang w:val="en-US" w:eastAsia="zh-CN"/>
        </w:rPr>
        <w:t>172.76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318馆陶县财政局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172.76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pPr>
            <w:r>
              <w:t>2、车辆（台、辆）</w:t>
            </w:r>
          </w:p>
        </w:tc>
        <w:tc>
          <w:tcPr>
            <w:tcW w:w="2835" w:type="dxa"/>
            <w:vAlign w:val="center"/>
          </w:tcPr>
          <w:p>
            <w:pPr>
              <w:pStyle w:val="14"/>
              <w:rPr>
                <w:rFonts w:hint="eastAsia" w:eastAsia="方正书宋_GBK"/>
                <w:lang w:val="en-US" w:eastAsia="zh-CN"/>
              </w:rPr>
            </w:pPr>
            <w:r>
              <w:rPr>
                <w:rFonts w:hint="eastAsia"/>
                <w:lang w:val="en-US" w:eastAsia="zh-CN"/>
              </w:rPr>
              <w:t>1</w:t>
            </w:r>
          </w:p>
        </w:tc>
        <w:tc>
          <w:tcPr>
            <w:tcW w:w="2835" w:type="dxa"/>
            <w:vAlign w:val="center"/>
          </w:tcPr>
          <w:p>
            <w:pPr>
              <w:pStyle w:val="12"/>
              <w:rPr>
                <w:rFonts w:hint="default" w:eastAsia="方正书宋_GBK"/>
                <w:lang w:val="en-US" w:eastAsia="zh-CN"/>
              </w:rPr>
            </w:pPr>
            <w:r>
              <w:rPr>
                <w:rFonts w:hint="eastAsia"/>
                <w:lang w:val="en-US" w:eastAsia="zh-CN"/>
              </w:rPr>
              <w:t>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pPr>
            <w:r>
              <w:t>4、其他固定资产</w:t>
            </w:r>
          </w:p>
        </w:tc>
        <w:tc>
          <w:tcPr>
            <w:tcW w:w="2835" w:type="dxa"/>
            <w:vAlign w:val="center"/>
          </w:tcPr>
          <w:p>
            <w:pPr>
              <w:pStyle w:val="14"/>
              <w:rPr>
                <w:rFonts w:hint="default" w:eastAsia="方正书宋_GBK"/>
                <w:lang w:val="en-US" w:eastAsia="zh-CN"/>
              </w:rPr>
            </w:pPr>
            <w:r>
              <w:rPr>
                <w:rFonts w:hint="eastAsia"/>
                <w:lang w:val="en-US" w:eastAsia="zh-CN"/>
              </w:rPr>
              <w:t>312</w:t>
            </w:r>
          </w:p>
        </w:tc>
        <w:tc>
          <w:tcPr>
            <w:tcW w:w="2835" w:type="dxa"/>
            <w:vAlign w:val="center"/>
          </w:tcPr>
          <w:p>
            <w:pPr>
              <w:pStyle w:val="12"/>
              <w:rPr>
                <w:rFonts w:hint="default" w:eastAsia="方正书宋_GBK"/>
                <w:lang w:val="en-US" w:eastAsia="zh-CN"/>
              </w:rPr>
            </w:pPr>
            <w:r>
              <w:rPr>
                <w:rFonts w:hint="eastAsia"/>
                <w:lang w:val="en-US" w:eastAsia="zh-CN"/>
              </w:rPr>
              <w:t>158.40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59A0019"/>
    <w:rsid w:val="539043A2"/>
    <w:rsid w:val="58CA0623"/>
    <w:rsid w:val="6591152F"/>
    <w:rsid w:val="66250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2024-02-26T17:36:35Z</dcterms:created>
  <dcterms:modified xsi:type="dcterms:W3CDTF">2024-02-26T09:36:35Z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2024-02-26T17:36:35Z</dcterms:created>
  <dcterms:modified xsi:type="dcterms:W3CDTF">2024-02-26T09:36:35Z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2024-02-26T17:36:36Z</dcterms:created>
  <dcterms:modified xsi:type="dcterms:W3CDTF">2024-02-26T09:36:36Z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2024-02-26T17:36:36Z</dcterms:created>
  <dcterms:modified xsi:type="dcterms:W3CDTF">2024-02-26T09:36:36Z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2024-02-26T17:36:34Z</dcterms:created>
  <dcterms:modified xsi:type="dcterms:W3CDTF">2024-02-26T09:36:34Z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2024-02-26T17:36:36Z</dcterms:created>
  <dcterms:modified xsi:type="dcterms:W3CDTF">2024-02-26T09:36:36Z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2024-02-26T17:36:36Z</dcterms:created>
  <dcterms:modified xsi:type="dcterms:W3CDTF">2024-02-26T09:36:36Z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2024-02-26T17:36:37Z</dcterms:created>
  <dcterms:modified xsi:type="dcterms:W3CDTF">2024-02-26T09:36:37Z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2024-02-26T17:36:38Z</dcterms:created>
  <dcterms:modified xsi:type="dcterms:W3CDTF">2024-02-26T09:36:38Z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2024-02-26T17:36:34Z</dcterms:created>
  <dcterms:modified xsi:type="dcterms:W3CDTF">2024-02-26T09:36:34Z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2024-02-26T17:36:34Z</dcterms:created>
  <dcterms:modified xsi:type="dcterms:W3CDTF">2024-02-26T09:36:34Z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2024-02-26T17:36:34Z</dcterms:created>
  <dcterms:modified xsi:type="dcterms:W3CDTF">2024-02-26T09:36:34Z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2024-02-26T17:36:32Z</dcterms:created>
  <dcterms:modified xsi:type="dcterms:W3CDTF">2024-02-26T09:36:32Z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2024-02-26T17:36:35Z</dcterms:created>
  <dcterms:modified xsi:type="dcterms:W3CDTF">2024-02-26T09:36:34Z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2024-02-26T17:36:35Z</dcterms:created>
  <dcterms:modified xsi:type="dcterms:W3CDTF">2024-02-26T09:36:35Z</dcterms:modified>
</cp:coreProperties>
</file>

<file path=customXml/itemProps1.xml><?xml version="1.0" encoding="utf-8"?>
<ds:datastoreItem xmlns:ds="http://schemas.openxmlformats.org/officeDocument/2006/customXml" ds:itemID="{324db87b-3aa5-4f97-9310-e540aca8336e}">
  <ds:schemaRefs/>
</ds:datastoreItem>
</file>

<file path=customXml/itemProps10.xml><?xml version="1.0" encoding="utf-8"?>
<ds:datastoreItem xmlns:ds="http://schemas.openxmlformats.org/officeDocument/2006/customXml" ds:itemID="{e0669b11-2494-40bd-9b2e-265623a39d37}">
  <ds:schemaRefs/>
</ds:datastoreItem>
</file>

<file path=customXml/itemProps11.xml><?xml version="1.0" encoding="utf-8"?>
<ds:datastoreItem xmlns:ds="http://schemas.openxmlformats.org/officeDocument/2006/customXml" ds:itemID="{b4a160a7-a7ae-4cb2-baff-91c00657c8b2}">
  <ds:schemaRefs/>
</ds:datastoreItem>
</file>

<file path=customXml/itemProps12.xml><?xml version="1.0" encoding="utf-8"?>
<ds:datastoreItem xmlns:ds="http://schemas.openxmlformats.org/officeDocument/2006/customXml" ds:itemID="{a3f52486-b946-476f-958d-ae478b1d2b75}">
  <ds:schemaRefs/>
</ds:datastoreItem>
</file>

<file path=customXml/itemProps13.xml><?xml version="1.0" encoding="utf-8"?>
<ds:datastoreItem xmlns:ds="http://schemas.openxmlformats.org/officeDocument/2006/customXml" ds:itemID="{4ff9fe77-0cac-4a66-a40d-b4775558588d}">
  <ds:schemaRefs/>
</ds:datastoreItem>
</file>

<file path=customXml/itemProps14.xml><?xml version="1.0" encoding="utf-8"?>
<ds:datastoreItem xmlns:ds="http://schemas.openxmlformats.org/officeDocument/2006/customXml" ds:itemID="{a8610614-dbe7-44e4-ba98-a2968f25a2b6}">
  <ds:schemaRefs/>
</ds:datastoreItem>
</file>

<file path=customXml/itemProps15.xml><?xml version="1.0" encoding="utf-8"?>
<ds:datastoreItem xmlns:ds="http://schemas.openxmlformats.org/officeDocument/2006/customXml" ds:itemID="{7381d65f-1b22-4a46-9b8a-b94c280af71f}">
  <ds:schemaRefs/>
</ds:datastoreItem>
</file>

<file path=customXml/itemProps16.xml><?xml version="1.0" encoding="utf-8"?>
<ds:datastoreItem xmlns:ds="http://schemas.openxmlformats.org/officeDocument/2006/customXml" ds:itemID="{0cc3cb32-1e52-494c-9bac-20024f53120c}">
  <ds:schemaRefs/>
</ds:datastoreItem>
</file>

<file path=customXml/itemProps17.xml><?xml version="1.0" encoding="utf-8"?>
<ds:datastoreItem xmlns:ds="http://schemas.openxmlformats.org/officeDocument/2006/customXml" ds:itemID="{13803969-d871-4c0c-9c5a-ab152595b46d}">
  <ds:schemaRefs/>
</ds:datastoreItem>
</file>

<file path=customXml/itemProps18.xml><?xml version="1.0" encoding="utf-8"?>
<ds:datastoreItem xmlns:ds="http://schemas.openxmlformats.org/officeDocument/2006/customXml" ds:itemID="{3065c2a2-3dce-45a6-902c-8da78a28be1b}">
  <ds:schemaRefs/>
</ds:datastoreItem>
</file>

<file path=customXml/itemProps19.xml><?xml version="1.0" encoding="utf-8"?>
<ds:datastoreItem xmlns:ds="http://schemas.openxmlformats.org/officeDocument/2006/customXml" ds:itemID="{85a40d3b-8086-4b9a-92e5-1906dc328f8a}">
  <ds:schemaRefs/>
</ds:datastoreItem>
</file>

<file path=customXml/itemProps2.xml><?xml version="1.0" encoding="utf-8"?>
<ds:datastoreItem xmlns:ds="http://schemas.openxmlformats.org/officeDocument/2006/customXml" ds:itemID="{dcd06905-5b83-4fc5-b502-cda071b8f5b9}">
  <ds:schemaRefs/>
</ds:datastoreItem>
</file>

<file path=customXml/itemProps20.xml><?xml version="1.0" encoding="utf-8"?>
<ds:datastoreItem xmlns:ds="http://schemas.openxmlformats.org/officeDocument/2006/customXml" ds:itemID="{10b92ae0-4a92-4e97-b4e2-f7bbf52a6a23}">
  <ds:schemaRefs/>
</ds:datastoreItem>
</file>

<file path=customXml/itemProps21.xml><?xml version="1.0" encoding="utf-8"?>
<ds:datastoreItem xmlns:ds="http://schemas.openxmlformats.org/officeDocument/2006/customXml" ds:itemID="{33d9d3a6-5dc3-4b8a-8fdb-b00cad2a0a7c}">
  <ds:schemaRefs/>
</ds:datastoreItem>
</file>

<file path=customXml/itemProps22.xml><?xml version="1.0" encoding="utf-8"?>
<ds:datastoreItem xmlns:ds="http://schemas.openxmlformats.org/officeDocument/2006/customXml" ds:itemID="{9441d429-06b7-4d43-b178-d6555c7fbcfb}">
  <ds:schemaRefs/>
</ds:datastoreItem>
</file>

<file path=customXml/itemProps23.xml><?xml version="1.0" encoding="utf-8"?>
<ds:datastoreItem xmlns:ds="http://schemas.openxmlformats.org/officeDocument/2006/customXml" ds:itemID="{2ba8337a-5813-41ba-801d-5901546dcd68}">
  <ds:schemaRefs/>
</ds:datastoreItem>
</file>

<file path=customXml/itemProps24.xml><?xml version="1.0" encoding="utf-8"?>
<ds:datastoreItem xmlns:ds="http://schemas.openxmlformats.org/officeDocument/2006/customXml" ds:itemID="{0ec6a2a2-9e2a-4d79-b09d-a4dc290b6a0a}">
  <ds:schemaRefs/>
</ds:datastoreItem>
</file>

<file path=customXml/itemProps25.xml><?xml version="1.0" encoding="utf-8"?>
<ds:datastoreItem xmlns:ds="http://schemas.openxmlformats.org/officeDocument/2006/customXml" ds:itemID="{06358a69-cb23-4948-b02a-1d58bbeb2973}">
  <ds:schemaRefs/>
</ds:datastoreItem>
</file>

<file path=customXml/itemProps26.xml><?xml version="1.0" encoding="utf-8"?>
<ds:datastoreItem xmlns:ds="http://schemas.openxmlformats.org/officeDocument/2006/customXml" ds:itemID="{0903ae62-0093-437e-a829-cc5ded7c97ac}">
  <ds:schemaRefs/>
</ds:datastoreItem>
</file>

<file path=customXml/itemProps27.xml><?xml version="1.0" encoding="utf-8"?>
<ds:datastoreItem xmlns:ds="http://schemas.openxmlformats.org/officeDocument/2006/customXml" ds:itemID="{aa27d979-7c4d-4326-b10e-01f71477a40d}">
  <ds:schemaRefs/>
</ds:datastoreItem>
</file>

<file path=customXml/itemProps28.xml><?xml version="1.0" encoding="utf-8"?>
<ds:datastoreItem xmlns:ds="http://schemas.openxmlformats.org/officeDocument/2006/customXml" ds:itemID="{84f07ba4-4f93-4199-bc53-52046ef5c957}">
  <ds:schemaRefs/>
</ds:datastoreItem>
</file>

<file path=customXml/itemProps29.xml><?xml version="1.0" encoding="utf-8"?>
<ds:datastoreItem xmlns:ds="http://schemas.openxmlformats.org/officeDocument/2006/customXml" ds:itemID="{0e064b36-170b-454e-9bce-dedb98d72e1e}">
  <ds:schemaRefs/>
</ds:datastoreItem>
</file>

<file path=customXml/itemProps3.xml><?xml version="1.0" encoding="utf-8"?>
<ds:datastoreItem xmlns:ds="http://schemas.openxmlformats.org/officeDocument/2006/customXml" ds:itemID="{f1d29c62-6b24-4d83-8220-8837d656742f}">
  <ds:schemaRefs/>
</ds:datastoreItem>
</file>

<file path=customXml/itemProps30.xml><?xml version="1.0" encoding="utf-8"?>
<ds:datastoreItem xmlns:ds="http://schemas.openxmlformats.org/officeDocument/2006/customXml" ds:itemID="{b341de6e-f451-4e84-aac5-61e127dbcc8c}">
  <ds:schemaRefs/>
</ds:datastoreItem>
</file>

<file path=customXml/itemProps4.xml><?xml version="1.0" encoding="utf-8"?>
<ds:datastoreItem xmlns:ds="http://schemas.openxmlformats.org/officeDocument/2006/customXml" ds:itemID="{0ce01b1c-c69b-4024-b68f-0dea0cd0ab11}">
  <ds:schemaRefs/>
</ds:datastoreItem>
</file>

<file path=customXml/itemProps5.xml><?xml version="1.0" encoding="utf-8"?>
<ds:datastoreItem xmlns:ds="http://schemas.openxmlformats.org/officeDocument/2006/customXml" ds:itemID="{9bcce80b-5546-4a7c-86fc-5cb7fea4b330}">
  <ds:schemaRefs/>
</ds:datastoreItem>
</file>

<file path=customXml/itemProps6.xml><?xml version="1.0" encoding="utf-8"?>
<ds:datastoreItem xmlns:ds="http://schemas.openxmlformats.org/officeDocument/2006/customXml" ds:itemID="{523b604a-8b6b-4d8f-a1fd-7b92db048d42}">
  <ds:schemaRefs/>
</ds:datastoreItem>
</file>

<file path=customXml/itemProps7.xml><?xml version="1.0" encoding="utf-8"?>
<ds:datastoreItem xmlns:ds="http://schemas.openxmlformats.org/officeDocument/2006/customXml" ds:itemID="{33b5a677-bb7e-41cd-aba2-6debc00033b7}">
  <ds:schemaRefs/>
</ds:datastoreItem>
</file>

<file path=customXml/itemProps8.xml><?xml version="1.0" encoding="utf-8"?>
<ds:datastoreItem xmlns:ds="http://schemas.openxmlformats.org/officeDocument/2006/customXml" ds:itemID="{7aa1738b-63e3-4904-a0b0-8cae6573c067}">
  <ds:schemaRefs/>
</ds:datastoreItem>
</file>

<file path=customXml/itemProps9.xml><?xml version="1.0" encoding="utf-8"?>
<ds:datastoreItem xmlns:ds="http://schemas.openxmlformats.org/officeDocument/2006/customXml" ds:itemID="{8239a499-d165-455b-8204-1c4450e9e1ef}">
  <ds:schemaRefs/>
</ds:datastoreItem>
</file>

<file path=docProps/app.xml><?xml version="1.0" encoding="utf-8"?>
<Properties xmlns="http://schemas.openxmlformats.org/officeDocument/2006/extended-properties" xmlns:vt="http://schemas.openxmlformats.org/officeDocument/2006/docPropsVTypes">
  <Pages>49</Pages>
  <Words>13462</Words>
  <Characters>15945</Characters>
  <TotalTime>1</TotalTime>
  <ScaleCrop>false</ScaleCrop>
  <LinksUpToDate>false</LinksUpToDate>
  <CharactersWithSpaces>16179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2024-02-26T17:36:00Z</dcterms:created>
  <dc:creator>Administrator</dc:creator>
  <cp:lastModifiedBy>Sally</cp:lastModifiedBy>
  <dcterms:modified xsi:type="dcterms:W3CDTF">2024-05-29T06:53:17Z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190CF7C608294A00B5CAAC29BE8F4E13_13</vt:lpwstr>
  </property>
</Properties>
</file>