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馆陶</w:t>
      </w:r>
      <w:r>
        <w:rPr>
          <w:rFonts w:hint="eastAsia" w:ascii="宋体" w:hAnsi="宋体"/>
          <w:b/>
          <w:sz w:val="44"/>
          <w:szCs w:val="44"/>
          <w:lang w:eastAsia="zh-CN"/>
        </w:rPr>
        <w:t>县财政局</w:t>
      </w:r>
      <w:r>
        <w:rPr>
          <w:rFonts w:ascii="宋体" w:hAnsi="宋体"/>
          <w:b/>
          <w:sz w:val="44"/>
          <w:szCs w:val="44"/>
        </w:rPr>
        <w:t>201</w:t>
      </w:r>
      <w:r>
        <w:rPr>
          <w:rFonts w:hint="eastAsia" w:ascii="宋体" w:hAnsi="宋体"/>
          <w:b/>
          <w:sz w:val="44"/>
          <w:szCs w:val="44"/>
          <w:lang w:val="en-US" w:eastAsia="zh-CN"/>
        </w:rPr>
        <w:t>9</w:t>
      </w:r>
      <w:r>
        <w:rPr>
          <w:rFonts w:hint="eastAsia" w:ascii="宋体" w:hAnsi="宋体"/>
          <w:b/>
          <w:sz w:val="44"/>
          <w:szCs w:val="44"/>
        </w:rPr>
        <w:t>年部门预算信息公开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《中华人民共和国预算法》</w:t>
      </w:r>
      <w:r>
        <w:rPr>
          <w:rFonts w:hint="eastAsia" w:ascii="仿宋_GB2312" w:hAnsi="Times New Roman" w:eastAsia="仿宋_GB2312"/>
          <w:sz w:val="32"/>
          <w:szCs w:val="32"/>
        </w:rPr>
        <w:t>、《地方预决算公开操作规程》和《河北省省级预算公开办法》规定，现将我</w:t>
      </w:r>
      <w:r>
        <w:rPr>
          <w:rFonts w:hint="eastAsia" w:ascii="仿宋_GB2312" w:hAnsi="Times New Roman" w:eastAsia="仿宋_GB2312"/>
          <w:sz w:val="32"/>
          <w:szCs w:val="32"/>
          <w:lang w:eastAsia="zh-CN"/>
        </w:rPr>
        <w:t>单位</w:t>
      </w:r>
      <w:r>
        <w:rPr>
          <w:rFonts w:ascii="仿宋_GB2312" w:hAnsi="Times New Roman" w:eastAsia="仿宋_GB2312"/>
          <w:sz w:val="32"/>
          <w:szCs w:val="32"/>
        </w:rPr>
        <w:t>2018</w:t>
      </w:r>
      <w:r>
        <w:rPr>
          <w:rFonts w:hint="eastAsia" w:ascii="仿宋_GB2312" w:hAnsi="Times New Roman" w:eastAsia="仿宋_GB2312"/>
          <w:sz w:val="32"/>
          <w:szCs w:val="32"/>
        </w:rPr>
        <w:t>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（一）部门职责</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财政体制管理：执行国家预算管理体制和管理体制，制定地方预算管理体制、管理制度。及时发现实现财政运行中存在的问题，提出针对性的意见建议。</w:t>
      </w:r>
      <w:r>
        <w:rPr>
          <w:rFonts w:hint="eastAsia" w:ascii="仿宋_GB2312" w:hAnsi="仿宋_GB2312" w:eastAsia="仿宋_GB2312"/>
          <w:color w:val="000000"/>
          <w:sz w:val="32"/>
          <w:lang w:val="zh-CN"/>
        </w:rPr>
        <w:br w:type="textWrapping"/>
      </w:r>
      <w:r>
        <w:rPr>
          <w:rFonts w:hint="eastAsia" w:ascii="仿宋_GB2312" w:hAnsi="仿宋_GB2312" w:eastAsia="仿宋_GB2312"/>
          <w:color w:val="000000"/>
          <w:sz w:val="32"/>
          <w:lang w:val="zh-CN"/>
        </w:rPr>
        <w:t>     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r>
        <w:rPr>
          <w:rFonts w:hint="eastAsia" w:ascii="仿宋_GB2312" w:hAnsi="仿宋_GB2312" w:eastAsia="仿宋_GB2312"/>
          <w:color w:val="000000"/>
          <w:sz w:val="32"/>
          <w:lang w:val="zh-CN"/>
        </w:rPr>
        <w:br w:type="textWrapping"/>
      </w:r>
      <w:r>
        <w:rPr>
          <w:rFonts w:hint="eastAsia" w:ascii="仿宋_GB2312" w:hAnsi="仿宋_GB2312" w:eastAsia="仿宋_GB2312"/>
          <w:color w:val="000000"/>
          <w:sz w:val="32"/>
          <w:lang w:val="zh-CN"/>
        </w:rPr>
        <w:t>     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政府专项工作服务与管理：政府采购、农村综合改革、政府债务、综合治税、地下水超采、政府购买服务、规范津补贴等政府专项工作的服务与管理。规范政府专项工作的服务与管理。</w:t>
      </w:r>
      <w:r>
        <w:rPr>
          <w:rFonts w:hint="eastAsia" w:ascii="仿宋_GB2312" w:hAnsi="仿宋_GB2312" w:eastAsia="仿宋_GB2312"/>
          <w:color w:val="000000"/>
          <w:sz w:val="32"/>
          <w:lang w:val="zh-CN"/>
        </w:rPr>
        <w:br w:type="textWrapping"/>
      </w:r>
      <w:r>
        <w:rPr>
          <w:rFonts w:hint="eastAsia" w:ascii="仿宋_GB2312" w:hAnsi="仿宋_GB2312" w:eastAsia="仿宋_GB2312"/>
          <w:color w:val="000000"/>
          <w:sz w:val="32"/>
          <w:lang w:val="zh-CN"/>
        </w:rPr>
        <w:t xml:space="preserve">    </w:t>
      </w: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zh-CN"/>
        </w:rPr>
        <w:t>财政政务管理：负责财政系统综合业务管理和机关综合事务管理。负责财政系统综合业务管理和机关综合事务管理。</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s="仿宋_GB2312"/>
          <w:sz w:val="32"/>
          <w:szCs w:val="32"/>
        </w:rPr>
        <w:t>（二）</w:t>
      </w:r>
      <w:r>
        <w:rPr>
          <w:rFonts w:hint="eastAsia" w:ascii="仿宋_GB2312" w:hAnsi="仿宋_GB2312" w:eastAsia="仿宋_GB2312"/>
          <w:color w:val="000000"/>
          <w:sz w:val="32"/>
          <w:lang w:val="zh-CN"/>
        </w:rPr>
        <w:t>部门预算单位构成</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本部门由以下基层单位构成：馆陶县财政局</w:t>
      </w:r>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w:t>
      </w:r>
      <w:r>
        <w:rPr>
          <w:rFonts w:hint="eastAsia" w:ascii="仿宋_GB2312" w:hAnsi="Times New Roman" w:eastAsia="仿宋_GB2312"/>
          <w:sz w:val="32"/>
          <w:szCs w:val="32"/>
          <w:lang w:eastAsia="zh-CN"/>
        </w:rPr>
        <w:t>我单位</w:t>
      </w:r>
      <w:r>
        <w:rPr>
          <w:rFonts w:hint="eastAsia" w:ascii="仿宋_GB2312" w:hAnsi="Times New Roman" w:eastAsia="仿宋_GB2312"/>
          <w:sz w:val="32"/>
          <w:szCs w:val="32"/>
        </w:rPr>
        <w:t>及所属事业单位的收支包含在部门预算中。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1387</w:t>
      </w:r>
      <w:r>
        <w:rPr>
          <w:rFonts w:hint="eastAsia" w:ascii="仿宋_GB2312" w:hAnsi="Times New Roman" w:eastAsia="仿宋_GB2312"/>
          <w:sz w:val="32"/>
          <w:szCs w:val="32"/>
        </w:rPr>
        <w:t>万元，其中：一般公共预算收入</w:t>
      </w:r>
      <w:r>
        <w:rPr>
          <w:rFonts w:hint="eastAsia" w:ascii="仿宋_GB2312" w:hAnsi="Times New Roman" w:eastAsia="仿宋_GB2312"/>
          <w:sz w:val="32"/>
          <w:szCs w:val="32"/>
          <w:lang w:val="en-US" w:eastAsia="zh-CN"/>
        </w:rPr>
        <w:t>1387</w:t>
      </w:r>
      <w:r>
        <w:rPr>
          <w:rFonts w:hint="eastAsia" w:ascii="仿宋_GB2312" w:hAnsi="Times New Roman" w:eastAsia="仿宋_GB2312"/>
          <w:sz w:val="32"/>
          <w:szCs w:val="32"/>
        </w:rPr>
        <w:t>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w:t>
      </w:r>
      <w:r>
        <w:rPr>
          <w:rFonts w:hint="eastAsia" w:ascii="仿宋_GB2312" w:hAnsi="Times New Roman" w:eastAsia="仿宋_GB2312"/>
          <w:sz w:val="32"/>
          <w:szCs w:val="32"/>
          <w:lang w:eastAsia="zh-CN"/>
        </w:rPr>
        <w:t>馆陶县财政局</w:t>
      </w:r>
      <w:r>
        <w:rPr>
          <w:rFonts w:hint="eastAsia" w:ascii="仿宋_GB2312" w:hAnsi="Times New Roman" w:eastAsia="仿宋_GB2312"/>
          <w:sz w:val="32"/>
          <w:szCs w:val="32"/>
        </w:rPr>
        <w:t>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年支出预算</w:t>
      </w:r>
      <w:r>
        <w:rPr>
          <w:rFonts w:hint="eastAsia" w:ascii="仿宋_GB2312" w:hAnsi="Times New Roman" w:eastAsia="仿宋_GB2312"/>
          <w:sz w:val="32"/>
          <w:szCs w:val="32"/>
          <w:lang w:val="en-US" w:eastAsia="zh-CN"/>
        </w:rPr>
        <w:t>1387</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428</w:t>
      </w:r>
      <w:r>
        <w:rPr>
          <w:rFonts w:hint="eastAsia" w:ascii="仿宋_GB2312" w:hAnsi="Times New Roman" w:eastAsia="仿宋_GB2312"/>
          <w:sz w:val="32"/>
          <w:szCs w:val="32"/>
        </w:rPr>
        <w:t>万元，包括人员经费</w:t>
      </w:r>
      <w:r>
        <w:rPr>
          <w:rFonts w:hint="eastAsia" w:ascii="仿宋_GB2312" w:hAnsi="Times New Roman" w:eastAsia="仿宋_GB2312"/>
          <w:sz w:val="32"/>
          <w:szCs w:val="32"/>
          <w:lang w:val="en-US" w:eastAsia="zh-CN"/>
        </w:rPr>
        <w:t>396</w:t>
      </w:r>
      <w:r>
        <w:rPr>
          <w:rFonts w:hint="eastAsia" w:ascii="仿宋_GB2312" w:hAnsi="Times New Roman" w:eastAsia="仿宋_GB2312"/>
          <w:sz w:val="32"/>
          <w:szCs w:val="32"/>
        </w:rPr>
        <w:t>万元和日常公用经费</w:t>
      </w:r>
      <w:r>
        <w:rPr>
          <w:rFonts w:hint="eastAsia" w:ascii="仿宋_GB2312" w:hAnsi="Times New Roman" w:eastAsia="仿宋_GB2312"/>
          <w:sz w:val="32"/>
          <w:szCs w:val="32"/>
          <w:lang w:val="en-US" w:eastAsia="zh-CN"/>
        </w:rPr>
        <w:t>32</w:t>
      </w:r>
      <w:r>
        <w:rPr>
          <w:rFonts w:hint="eastAsia" w:ascii="仿宋_GB2312" w:hAnsi="Times New Roman" w:eastAsia="仿宋_GB2312"/>
          <w:sz w:val="32"/>
          <w:szCs w:val="32"/>
        </w:rPr>
        <w:t>万元；项目支出</w:t>
      </w:r>
      <w:r>
        <w:rPr>
          <w:rFonts w:hint="eastAsia" w:ascii="仿宋_GB2312" w:hAnsi="Times New Roman" w:eastAsia="仿宋_GB2312"/>
          <w:sz w:val="32"/>
          <w:szCs w:val="32"/>
          <w:lang w:val="en-US" w:eastAsia="zh-CN"/>
        </w:rPr>
        <w:t>961</w:t>
      </w:r>
      <w:r>
        <w:rPr>
          <w:rFonts w:hint="eastAsia" w:ascii="仿宋_GB2312" w:hAnsi="Times New Roman" w:eastAsia="仿宋_GB2312"/>
          <w:sz w:val="32"/>
          <w:szCs w:val="32"/>
        </w:rPr>
        <w:t>万元，主要为</w:t>
      </w:r>
      <w:r>
        <w:rPr>
          <w:rFonts w:hint="eastAsia" w:ascii="仿宋_GB2312" w:hAnsi="Times New Roman" w:eastAsia="仿宋_GB2312"/>
          <w:sz w:val="32"/>
          <w:szCs w:val="32"/>
          <w:lang w:eastAsia="zh-CN"/>
        </w:rPr>
        <w:t>征收经费和城镇化建设</w:t>
      </w:r>
      <w:r>
        <w:rPr>
          <w:rFonts w:hint="eastAsia" w:ascii="仿宋_GB2312" w:hAnsi="Times New Roman" w:eastAsia="仿宋_GB2312"/>
          <w:sz w:val="32"/>
          <w:szCs w:val="32"/>
          <w:lang w:val="en-US" w:eastAsia="zh-CN"/>
        </w:rPr>
        <w:t>。</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1387</w:t>
      </w:r>
      <w:r>
        <w:rPr>
          <w:rFonts w:hint="eastAsia" w:ascii="仿宋_GB2312" w:hAnsi="Times New Roman" w:eastAsia="仿宋_GB2312"/>
          <w:sz w:val="32"/>
          <w:szCs w:val="32"/>
        </w:rPr>
        <w:t>万元，较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年预算</w:t>
      </w:r>
      <w:r>
        <w:rPr>
          <w:rFonts w:hint="eastAsia" w:ascii="仿宋_GB2312" w:hAnsi="Times New Roman" w:eastAsia="仿宋_GB2312"/>
          <w:sz w:val="32"/>
          <w:szCs w:val="32"/>
          <w:lang w:val="en-US" w:eastAsia="zh-CN"/>
        </w:rPr>
        <w:t>减少151</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增加18</w:t>
      </w:r>
      <w:r>
        <w:rPr>
          <w:rFonts w:hint="eastAsia" w:ascii="仿宋_GB2312" w:hAnsi="Times New Roman" w:eastAsia="仿宋_GB2312"/>
          <w:sz w:val="32"/>
          <w:szCs w:val="32"/>
        </w:rPr>
        <w:t>万元，主要为人员</w:t>
      </w:r>
      <w:r>
        <w:rPr>
          <w:rFonts w:hint="eastAsia" w:ascii="仿宋_GB2312" w:hAnsi="Times New Roman" w:eastAsia="仿宋_GB2312"/>
          <w:sz w:val="32"/>
          <w:szCs w:val="32"/>
          <w:lang w:val="en-US" w:eastAsia="zh-CN"/>
        </w:rPr>
        <w:t>工资提标</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项目支出减少133万</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日常公用经费和去年基本持平。</w:t>
      </w:r>
      <w:r>
        <w:rPr>
          <w:rFonts w:hint="eastAsia" w:ascii="仿宋_GB2312" w:hAnsi="Times New Roman" w:eastAsia="仿宋_GB2312"/>
          <w:sz w:val="32"/>
          <w:szCs w:val="32"/>
          <w:lang w:val="en-US" w:eastAsia="zh-CN"/>
        </w:rPr>
        <w:t>.</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年，馆陶县</w:t>
      </w:r>
      <w:r>
        <w:rPr>
          <w:rFonts w:hint="eastAsia" w:ascii="仿宋_GB2312" w:hAnsi="Times New Roman" w:eastAsia="仿宋_GB2312"/>
          <w:sz w:val="32"/>
          <w:szCs w:val="32"/>
          <w:lang w:eastAsia="zh-CN"/>
        </w:rPr>
        <w:t>财政局</w:t>
      </w:r>
      <w:r>
        <w:rPr>
          <w:rFonts w:hint="eastAsia" w:ascii="仿宋_GB2312" w:hAnsi="Times New Roman" w:eastAsia="仿宋_GB2312"/>
          <w:sz w:val="32"/>
          <w:szCs w:val="32"/>
        </w:rPr>
        <w:t>机关运行经费共计安排</w:t>
      </w:r>
      <w:r>
        <w:rPr>
          <w:rFonts w:hint="eastAsia" w:ascii="仿宋_GB2312" w:hAnsi="Times New Roman" w:eastAsia="仿宋_GB2312"/>
          <w:sz w:val="32"/>
          <w:szCs w:val="32"/>
          <w:lang w:val="en-US" w:eastAsia="zh-CN"/>
        </w:rPr>
        <w:t>32</w:t>
      </w:r>
      <w:r>
        <w:rPr>
          <w:rFonts w:hint="eastAsia" w:ascii="仿宋_GB2312" w:hAnsi="Times New Roman" w:eastAsia="仿宋_GB2312"/>
          <w:sz w:val="32"/>
          <w:szCs w:val="32"/>
        </w:rPr>
        <w:t>万元，主要用于办公费、印刷费、邮电费、公务交通补贴等日常运行支出。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年，馆陶县</w:t>
      </w:r>
      <w:r>
        <w:rPr>
          <w:rFonts w:hint="eastAsia" w:ascii="仿宋_GB2312" w:hAnsi="Times New Roman" w:eastAsia="仿宋_GB2312"/>
          <w:sz w:val="32"/>
          <w:szCs w:val="32"/>
          <w:lang w:eastAsia="zh-CN"/>
        </w:rPr>
        <w:t>财政局</w:t>
      </w:r>
      <w:r>
        <w:rPr>
          <w:rFonts w:hint="eastAsia" w:ascii="仿宋_GB2312" w:hAnsi="Times New Roman" w:eastAsia="仿宋_GB2312"/>
          <w:sz w:val="32"/>
          <w:szCs w:val="32"/>
        </w:rPr>
        <w:t>财政拨款“三公”经费预算安排</w:t>
      </w:r>
      <w:r>
        <w:rPr>
          <w:rFonts w:hint="eastAsia" w:ascii="仿宋_GB2312" w:hAnsi="Times New Roman" w:eastAsia="仿宋_GB2312"/>
          <w:sz w:val="32"/>
          <w:szCs w:val="32"/>
          <w:lang w:val="en-US" w:eastAsia="zh-CN"/>
        </w:rPr>
        <w:t>4.8</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hint="eastAsia" w:ascii="仿宋_GB2312" w:hAnsi="Times New Roman" w:eastAsia="仿宋_GB2312"/>
          <w:sz w:val="32"/>
          <w:szCs w:val="32"/>
          <w:lang w:val="en-US" w:eastAsia="zh-CN"/>
        </w:rPr>
        <w:t>1.8</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hint="eastAsia" w:ascii="仿宋_GB2312" w:hAnsi="Times New Roman" w:eastAsia="仿宋_GB2312"/>
          <w:sz w:val="32"/>
          <w:szCs w:val="32"/>
          <w:lang w:val="en-US" w:eastAsia="zh-CN"/>
        </w:rPr>
        <w:t>1.8</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，较上年</w:t>
      </w:r>
      <w:r>
        <w:rPr>
          <w:rFonts w:hint="eastAsia" w:ascii="仿宋_GB2312" w:hAnsi="Times New Roman" w:eastAsia="仿宋_GB2312"/>
          <w:sz w:val="32"/>
          <w:szCs w:val="32"/>
          <w:lang w:val="en-US" w:eastAsia="zh-CN"/>
        </w:rPr>
        <w:t>增加1.8</w:t>
      </w:r>
      <w:r>
        <w:rPr>
          <w:rFonts w:hint="eastAsia" w:ascii="仿宋_GB2312" w:hAnsi="Times New Roman" w:eastAsia="仿宋_GB2312"/>
          <w:sz w:val="32"/>
          <w:szCs w:val="32"/>
        </w:rPr>
        <w:t>万元；公务接待费</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万元，较上年</w:t>
      </w:r>
      <w:r>
        <w:rPr>
          <w:rFonts w:hint="eastAsia" w:ascii="仿宋_GB2312" w:hAnsi="Times New Roman" w:eastAsia="仿宋_GB2312"/>
          <w:sz w:val="32"/>
          <w:szCs w:val="32"/>
          <w:lang w:val="en-US" w:eastAsia="zh-CN"/>
        </w:rPr>
        <w:t>增加3万元</w:t>
      </w:r>
      <w:r>
        <w:rPr>
          <w:rFonts w:hint="eastAsia" w:ascii="仿宋_GB2312" w:hAnsi="Times New Roman" w:eastAsia="仿宋_GB2312"/>
          <w:sz w:val="32"/>
          <w:szCs w:val="32"/>
        </w:rPr>
        <w:t>。较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年“三公”经费支出预算</w:t>
      </w:r>
      <w:r>
        <w:rPr>
          <w:rFonts w:hint="eastAsia" w:ascii="仿宋_GB2312" w:hAnsi="Times New Roman" w:eastAsia="仿宋_GB2312"/>
          <w:sz w:val="32"/>
          <w:szCs w:val="32"/>
          <w:lang w:val="en-US" w:eastAsia="zh-CN"/>
        </w:rPr>
        <w:t>增加4.8</w:t>
      </w:r>
      <w:r>
        <w:rPr>
          <w:rFonts w:hint="eastAsia" w:ascii="仿宋_GB2312" w:hAnsi="Times New Roman" w:eastAsia="仿宋_GB2312"/>
          <w:sz w:val="32"/>
          <w:szCs w:val="32"/>
        </w:rPr>
        <w:t>万元，主要原因是我单位</w:t>
      </w:r>
      <w:r>
        <w:rPr>
          <w:rFonts w:hint="eastAsia" w:ascii="仿宋_GB2312" w:hAnsi="Times New Roman" w:eastAsia="仿宋_GB2312"/>
          <w:sz w:val="32"/>
          <w:szCs w:val="32"/>
          <w:lang w:val="en-US" w:eastAsia="zh-CN"/>
        </w:rPr>
        <w:t>根据目前实际情况进行安排</w:t>
      </w:r>
      <w:r>
        <w:rPr>
          <w:rFonts w:hint="eastAsia" w:ascii="仿宋_GB2312" w:hAnsi="Times New Roman" w:eastAsia="仿宋_GB2312"/>
          <w:sz w:val="32"/>
          <w:szCs w:val="32"/>
          <w:lang w:val="zh-CN"/>
        </w:rPr>
        <w:t>，</w:t>
      </w:r>
      <w:r>
        <w:rPr>
          <w:rFonts w:hint="eastAsia" w:ascii="仿宋_GB2312" w:hAnsi="Times New Roman" w:eastAsia="仿宋_GB2312"/>
          <w:sz w:val="32"/>
          <w:szCs w:val="32"/>
          <w:lang w:val="en-US" w:eastAsia="zh-CN"/>
        </w:rPr>
        <w:t>且有一辆</w:t>
      </w:r>
      <w:r>
        <w:rPr>
          <w:rFonts w:hint="eastAsia" w:ascii="仿宋_GB2312" w:hAnsi="Times New Roman" w:eastAsia="仿宋_GB2312"/>
          <w:sz w:val="32"/>
          <w:szCs w:val="32"/>
          <w:lang w:val="zh-CN"/>
        </w:rPr>
        <w:t>公车</w:t>
      </w:r>
      <w:r>
        <w:rPr>
          <w:rFonts w:hint="eastAsia" w:ascii="仿宋_GB2312" w:hAnsi="Times New Roman" w:eastAsia="仿宋_GB2312"/>
          <w:sz w:val="32"/>
          <w:szCs w:val="32"/>
          <w:lang w:val="en-US" w:eastAsia="zh-CN"/>
        </w:rPr>
        <w:t>需</w:t>
      </w:r>
      <w:r>
        <w:rPr>
          <w:rFonts w:hint="eastAsia" w:ascii="仿宋_GB2312" w:hAnsi="Times New Roman" w:eastAsia="仿宋_GB2312"/>
          <w:sz w:val="32"/>
          <w:szCs w:val="32"/>
          <w:lang w:val="zh-CN"/>
        </w:rPr>
        <w:t>运行维护支出</w:t>
      </w:r>
      <w:r>
        <w:rPr>
          <w:rFonts w:hint="eastAsia" w:ascii="仿宋_GB2312" w:hAnsi="Times New Roman" w:eastAsia="仿宋_GB2312"/>
          <w:sz w:val="32"/>
          <w:szCs w:val="32"/>
        </w:rPr>
        <w:t>。</w:t>
      </w:r>
    </w:p>
    <w:p>
      <w:pPr>
        <w:ind w:firstLine="640"/>
        <w:rPr>
          <w:rFonts w:hint="eastAsia" w:ascii="仿宋_GB2312" w:hAnsi="Times New Roman" w:eastAsia="仿宋_GB2312"/>
          <w:sz w:val="32"/>
          <w:szCs w:val="32"/>
        </w:rPr>
      </w:pPr>
      <w:r>
        <w:rPr>
          <w:rFonts w:hint="eastAsia" w:ascii="黑体" w:hAnsi="黑体" w:eastAsia="黑体"/>
          <w:b/>
          <w:sz w:val="32"/>
          <w:szCs w:val="32"/>
        </w:rPr>
        <w:t>五、绩效预算信息</w:t>
      </w:r>
      <w:bookmarkStart w:id="0" w:name="_Toc471398463"/>
    </w:p>
    <w:p>
      <w:pPr>
        <w:ind w:firstLine="643"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（一）总体绩效目标</w:t>
      </w:r>
    </w:p>
    <w:p>
      <w:pPr>
        <w:autoSpaceDE w:val="0"/>
        <w:autoSpaceDN w:val="0"/>
        <w:adjustRightInd w:val="0"/>
        <w:ind w:left="198" w:firstLine="640" w:firstLineChars="200"/>
        <w:jc w:val="left"/>
        <w:rPr>
          <w:rFonts w:hint="eastAsia" w:eastAsia="方正仿宋_GBK"/>
          <w:color w:val="000000" w:themeColor="text1"/>
          <w:sz w:val="28"/>
          <w14:textFill>
            <w14:solidFill>
              <w14:schemeClr w14:val="tx1"/>
            </w14:solidFill>
          </w14:textFill>
        </w:rPr>
      </w:pPr>
      <w:r>
        <w:rPr>
          <w:rFonts w:hint="eastAsia"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年，财政局在县委县政府领导下，紧紧围绕县委决策部署，认真执行</w:t>
      </w:r>
      <w:r>
        <w:rPr>
          <w:rFonts w:hint="eastAsia" w:ascii="仿宋_GB2312" w:hAnsi="Times New Roman" w:eastAsia="仿宋_GB2312"/>
          <w:sz w:val="32"/>
          <w:szCs w:val="32"/>
          <w:lang w:eastAsia="zh-CN"/>
        </w:rPr>
        <w:t>《中华人民共和国预算法》</w:t>
      </w:r>
      <w:r>
        <w:rPr>
          <w:rFonts w:hint="eastAsia" w:ascii="仿宋_GB2312" w:hAnsi="Times New Roman" w:eastAsia="仿宋_GB2312"/>
          <w:sz w:val="32"/>
          <w:szCs w:val="32"/>
        </w:rPr>
        <w:t>、《河北省县级财政预算管理业务操作规程（试行）》，坚持依法理财，深化财政改革，提高资金绩效，防范运行风险，充分发挥调控职能，优化支出结构，创新财政支持政策，发挥引导放大作用，着力稳增长、调结构、惠民生、促改革，为奋力开启新时代全面建设宜居宜业宜游的生态旅游健康强县新征程提供强有力的财力支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年度部门发展规划目标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深化税收制度改革，研究地方性税收法规，监督税政政策执行情况</w:t>
      </w:r>
      <w:r>
        <w:rPr>
          <w:rFonts w:hint="eastAsia" w:ascii="仿宋" w:hAnsi="仿宋" w:eastAsia="仿宋" w:cs="仿宋"/>
          <w:sz w:val="32"/>
          <w:szCs w:val="32"/>
          <w:lang w:eastAsia="zh-CN"/>
        </w:rPr>
        <w:t>，</w:t>
      </w:r>
      <w:r>
        <w:rPr>
          <w:rFonts w:hint="eastAsia" w:ascii="仿宋" w:hAnsi="仿宋" w:eastAsia="仿宋" w:cs="仿宋"/>
          <w:sz w:val="32"/>
          <w:szCs w:val="32"/>
        </w:rPr>
        <w:t>确保</w:t>
      </w:r>
      <w:r>
        <w:rPr>
          <w:rFonts w:hint="eastAsia" w:ascii="仿宋" w:hAnsi="仿宋" w:eastAsia="仿宋" w:cs="仿宋"/>
          <w:sz w:val="32"/>
          <w:szCs w:val="32"/>
          <w:lang w:eastAsia="zh-CN"/>
        </w:rPr>
        <w:t>税收</w:t>
      </w:r>
      <w:r>
        <w:rPr>
          <w:rFonts w:hint="eastAsia" w:ascii="仿宋" w:hAnsi="仿宋" w:eastAsia="仿宋" w:cs="仿宋"/>
          <w:sz w:val="32"/>
          <w:szCs w:val="32"/>
        </w:rPr>
        <w:t>及时足额入库。</w:t>
      </w:r>
      <w:r>
        <w:rPr>
          <w:rFonts w:hint="eastAsia" w:ascii="仿宋" w:hAnsi="仿宋" w:eastAsia="仿宋" w:cs="仿宋"/>
          <w:sz w:val="32"/>
          <w:szCs w:val="32"/>
          <w:lang w:eastAsia="zh-CN"/>
        </w:rPr>
        <w:t>研究</w:t>
      </w:r>
      <w:r>
        <w:rPr>
          <w:rFonts w:hint="eastAsia" w:ascii="仿宋" w:hAnsi="仿宋" w:eastAsia="仿宋" w:cs="仿宋"/>
          <w:sz w:val="32"/>
          <w:szCs w:val="32"/>
        </w:rPr>
        <w:t>上级财政税收政策，调整和引导现有社会经济资源的流向和流量，优化</w:t>
      </w:r>
      <w:r>
        <w:rPr>
          <w:rFonts w:hint="eastAsia" w:ascii="仿宋" w:hAnsi="仿宋" w:eastAsia="仿宋" w:cs="仿宋"/>
          <w:sz w:val="32"/>
          <w:szCs w:val="32"/>
          <w:lang w:eastAsia="zh-CN"/>
        </w:rPr>
        <w:t>资源</w:t>
      </w:r>
      <w:r>
        <w:rPr>
          <w:rFonts w:hint="eastAsia" w:ascii="仿宋" w:hAnsi="仿宋" w:eastAsia="仿宋" w:cs="仿宋"/>
          <w:sz w:val="32"/>
          <w:szCs w:val="32"/>
        </w:rPr>
        <w:t>配置，实现最大的经济效益和社会效益</w:t>
      </w:r>
      <w:r>
        <w:rPr>
          <w:rFonts w:hint="eastAsia" w:ascii="仿宋" w:hAnsi="仿宋" w:eastAsia="仿宋" w:cs="仿宋"/>
          <w:sz w:val="32"/>
          <w:szCs w:val="32"/>
          <w:lang w:eastAsia="zh-CN"/>
        </w:rPr>
        <w:t>。</w:t>
      </w:r>
      <w:r>
        <w:rPr>
          <w:rFonts w:hint="eastAsia" w:ascii="仿宋" w:hAnsi="仿宋" w:eastAsia="仿宋" w:cs="仿宋"/>
          <w:sz w:val="32"/>
          <w:szCs w:val="32"/>
        </w:rPr>
        <w:t>执行国家预算管理体制，研究制定完善的预算政策体系，提高预算管理的科学化水平。拟定机关事业单位国有资产管理制度和办法，对行政事业单位资产配置、使用、处置事项进行管理，</w:t>
      </w:r>
      <w:r>
        <w:rPr>
          <w:rFonts w:hint="eastAsia" w:ascii="仿宋" w:hAnsi="仿宋" w:eastAsia="仿宋" w:cs="仿宋"/>
          <w:sz w:val="32"/>
          <w:szCs w:val="32"/>
          <w:lang w:eastAsia="zh-CN"/>
        </w:rPr>
        <w:t>确保</w:t>
      </w:r>
      <w:r>
        <w:rPr>
          <w:rFonts w:hint="eastAsia" w:ascii="仿宋" w:hAnsi="仿宋" w:eastAsia="仿宋" w:cs="仿宋"/>
          <w:sz w:val="32"/>
          <w:szCs w:val="32"/>
        </w:rPr>
        <w:t>国有资产保值增值。</w:t>
      </w:r>
    </w:p>
    <w:p>
      <w:pPr>
        <w:spacing w:line="500" w:lineRule="exact"/>
        <w:ind w:firstLine="640" w:firstLineChars="200"/>
        <w:jc w:val="left"/>
        <w:rPr>
          <w:rFonts w:hint="eastAsia" w:ascii="仿宋" w:hAnsi="仿宋" w:eastAsia="仿宋" w:cs="仿宋"/>
          <w:sz w:val="32"/>
          <w:szCs w:val="32"/>
        </w:rPr>
      </w:pPr>
    </w:p>
    <w:p>
      <w:pPr>
        <w:spacing w:line="500" w:lineRule="exact"/>
        <w:ind w:firstLine="562" w:firstLineChars="200"/>
        <w:jc w:val="both"/>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一、财政收入管理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目标：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绩效指标：县本级财政总预算会计，全县和县本级决算；国债、地方债和国库现金管理；管理县本级预算单位银行账户。</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二、国库管理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绩效目标：县级预算单位用款计划及额度审核下达；财政专户资金审核拨付；全县预算执行分析；县本级财政总预算会计，全县和县本级决算；国债、地方债和国库现金管理；管理县本级预算单位银行账户。</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绩效指标：县本级财政总预算会计，全县和县本级决算；国债、地方债和国库现金管理；管理县本级预算单位银行账户。</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三、预算管理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目标：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绩效指标：规范预算执行，合理组织财政各项支出，促进社会事业发展。推进预算公开，实施全面规范、公开透明的预算制度。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四、国有资产管理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目标：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绩效指标：对行政事业单位资产配置、使用、处置事项进行管理，负责县属金融企业国有资产保值增值、国有资产转让管理、产权登记、评估监督、年金审核、负责人职务消费管理等工作。</w:t>
      </w:r>
    </w:p>
    <w:p>
      <w:pPr>
        <w:spacing w:line="50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（三）工作保障措施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1、积极研究国家财政政策，组织财政收入，确保全年任务的顺利完成。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2、通过对上级级财政收支以及相应的财政税收政策，调整和引导现有社会经济资源的流向和流量，以达到资源的优化配置和充分利用，实现最大的经济效益和社会效益的功能。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3、积极执行国家预算管理体制，制定地方预算管理体制、管理制度，确保预算管理体制执行到位。</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研究制定完善的预算政策体系，提高预算管理的科学化水平。统筹县级财力，强化绩效管理，科学编制政府绩效预算。规范预算执行，合理组织财政各项支出，促进社会事业发展。利用各种媒体推进预算公开，实施全面规范、公开透明的预算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利用国库管理平台，细化县级预算单位用款计划及额度审核下达；财政专户资金审核拨付；全县预算执行分析；县本级财政总预算会计，全县和县本级决算；国债、地方债和国库现金管理；管理县本级预算单位银行账户。</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6、积极组织培训管理，搞好监督检查财税法规、政策的执行情况，以及财政性资金使用情况，反映财政收支管理中的重大问题。监督和规范会计行为，监督注册会计师和会计师事务所的业务。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利用有限资金和资源搞好全县会计管理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8、2019年度对全县行政单位国有资产进行清查，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9、组织人员搞好政府采购、农村综合改革、政府债务、综合治税、地下水超采、政府购买服务、规范津补贴等政府专项工作的服务与管理。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10、利用现有资源，搞好财政系统综合业务管理和机关综合事务管理。</w:t>
      </w:r>
    </w:p>
    <w:p>
      <w:pPr>
        <w:spacing w:line="500" w:lineRule="exact"/>
        <w:ind w:firstLine="560" w:firstLineChars="200"/>
        <w:jc w:val="left"/>
        <w:rPr>
          <w:rFonts w:eastAsia="方正仿宋_GBK"/>
          <w:sz w:val="28"/>
        </w:rPr>
      </w:pPr>
    </w:p>
    <w:p>
      <w:pPr>
        <w:ind w:firstLine="643" w:firstLineChars="200"/>
        <w:jc w:val="left"/>
        <w:rPr>
          <w:rFonts w:hint="eastAsia" w:hAnsi="宋体"/>
          <w:b/>
          <w:sz w:val="32"/>
        </w:rPr>
      </w:pPr>
      <w:r>
        <w:rPr>
          <w:rFonts w:hint="eastAsia" w:ascii="方正楷体_GBK" w:eastAsia="方正楷体_GBK"/>
          <w:b/>
          <w:sz w:val="32"/>
        </w:rPr>
        <w:t>第</w:t>
      </w:r>
      <w:r>
        <w:rPr>
          <w:rFonts w:hint="eastAsia" w:ascii="方正楷体_GBK" w:eastAsia="方正楷体_GBK"/>
          <w:b/>
          <w:sz w:val="32"/>
          <w:lang w:eastAsia="zh-CN"/>
        </w:rPr>
        <w:t>二</w:t>
      </w:r>
      <w:r>
        <w:rPr>
          <w:rFonts w:hint="eastAsia" w:ascii="方正楷体_GBK" w:eastAsia="方正楷体_GBK"/>
          <w:b/>
          <w:sz w:val="32"/>
        </w:rPr>
        <w:t>部分  预算项目绩效目标</w:t>
      </w:r>
    </w:p>
    <w:p>
      <w:pPr>
        <w:ind w:firstLine="420" w:firstLineChars="200"/>
        <w:jc w:val="left"/>
      </w:pPr>
    </w:p>
    <w:p>
      <w:pPr>
        <w:ind w:firstLine="560" w:firstLineChars="200"/>
        <w:jc w:val="left"/>
        <w:rPr>
          <w:rFonts w:hint="eastAsia" w:hAnsi="宋体"/>
          <w:b/>
          <w:sz w:val="28"/>
        </w:rPr>
      </w:pPr>
      <w:r>
        <w:rPr>
          <w:rFonts w:hint="eastAsia" w:ascii="方正仿宋_GBK" w:eastAsia="方正仿宋_GBK"/>
          <w:b/>
          <w:sz w:val="28"/>
        </w:rPr>
        <w:t>1、财政专项工作经费绩效目标表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维护财政机关正常运行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加强财政资金收支管理</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财政收支完成数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保障完成全年收支任务</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监督财政收支按年初计划完成</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财政收支完成率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保障财政收支按时间进度完成</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按时间进度完成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保障社会各阶层满意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达到社会各阶层满意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财政政策</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2、财政监督工作经费绩效目标表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保障各项财政政策按规定执行。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检查督导各单位各项财政政策执行情况。</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信息质量检查单位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lang w:val="en-US" w:eastAsia="zh-CN"/>
              </w:rPr>
              <w:t>19</w:t>
            </w:r>
            <w:r>
              <w:rPr>
                <w:rFonts w:hint="eastAsia" w:ascii="方正书宋_GBK" w:eastAsia="方正书宋_GBK"/>
              </w:rPr>
              <w:t>年计划会计信息质量检查</w:t>
            </w:r>
            <w:r>
              <w:rPr>
                <w:rFonts w:ascii="方正书宋_GBK" w:eastAsia="方正书宋_GBK"/>
              </w:rPr>
              <w:t>10</w:t>
            </w:r>
            <w:r>
              <w:rPr>
                <w:rFonts w:hint="eastAsia" w:ascii="方正书宋_GBK" w:eastAsia="方正书宋_GBK"/>
              </w:rPr>
              <w:t>个单位＼非税收入及非税票据使用情况检查</w:t>
            </w:r>
            <w:r>
              <w:rPr>
                <w:rFonts w:ascii="方正书宋_GBK" w:eastAsia="方正书宋_GBK"/>
              </w:rPr>
              <w:t>10</w:t>
            </w:r>
            <w:r>
              <w:rPr>
                <w:rFonts w:hint="eastAsia" w:ascii="方正书宋_GBK" w:eastAsia="方正书宋_GBK"/>
              </w:rPr>
              <w:t>个单位＼专项资金检查和财政资金支出项目绩效评价</w:t>
            </w:r>
            <w:r>
              <w:rPr>
                <w:rFonts w:ascii="方正书宋_GBK" w:eastAsia="方正书宋_GBK"/>
              </w:rPr>
              <w:t>6</w:t>
            </w:r>
            <w:r>
              <w:rPr>
                <w:rFonts w:hint="eastAsia" w:ascii="方正书宋_GBK" w:eastAsia="方正书宋_GBK"/>
              </w:rPr>
              <w:t>个项目</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保障各项财政政策按规定执行。</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根据全县财政经济运行情况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政策执行率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严格按照国家规定，各项财政政策按规定执行。</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保障各项财政政策按规定执行。</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根据全县财政经济运行情况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监督检查完成率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检查督导各单位各项财政政策执行情况，保障社会效益的实现</w:t>
            </w:r>
            <w:r>
              <w:rPr>
                <w:rFonts w:ascii="方正书宋_GBK" w:eastAsia="方正书宋_GBK"/>
              </w:rPr>
              <w:t>,</w:t>
            </w:r>
            <w:r>
              <w:rPr>
                <w:rFonts w:hint="eastAsia" w:ascii="方正书宋_GBK" w:eastAsia="方正书宋_GBK"/>
              </w:rPr>
              <w:t>完成监督检查工作。</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检查督导各单位各项财政政策执行情况</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各项财政政策执行到位</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各项财政政策按规定执行，达到社会满意，群众满意</w:t>
            </w:r>
            <w:r>
              <w:rPr>
                <w:rFonts w:ascii="方正书宋_GBK" w:eastAsia="方正书宋_GBK"/>
              </w:rPr>
              <w:t>,</w:t>
            </w:r>
            <w:r>
              <w:rPr>
                <w:rFonts w:hint="eastAsia" w:ascii="方正书宋_GBK" w:eastAsia="方正书宋_GBK"/>
              </w:rPr>
              <w:t>保证财政政策的正确执行</w:t>
            </w:r>
            <w:r>
              <w:rPr>
                <w:rFonts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群众满意度明显提高。</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各项财政政策执行到位</w:t>
            </w:r>
            <w:r>
              <w:rPr>
                <w:rFonts w:ascii="方正书宋_GBK" w:eastAsia="方正书宋_GBK"/>
              </w:rPr>
              <w:t>.</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3、国库电子支付工作经费绩效目标表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加强国库电子化支付的管理和规范，网络平台的正常运行，维护县级财政资金的有效使用和资金拨付。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对县级预算单位用款计划及额度审核下达；财政专户资金审核拨付；全县预算执行分析；县本级财政总预算会计，全县和县本级决算；国债、地方债和国库现金管理；管理县本级预算单位银行账户。</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预算总支出</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lang w:val="en-US" w:eastAsia="zh-CN"/>
              </w:rPr>
              <w:t>19</w:t>
            </w:r>
            <w:r>
              <w:rPr>
                <w:rFonts w:hint="eastAsia" w:ascii="方正书宋_GBK" w:eastAsia="方正书宋_GBK"/>
              </w:rPr>
              <w:t>年计划一般公共预算总支出为</w:t>
            </w:r>
            <w:r>
              <w:rPr>
                <w:rFonts w:ascii="方正书宋_GBK" w:eastAsia="方正书宋_GBK"/>
              </w:rPr>
              <w:t>2</w:t>
            </w:r>
            <w:r>
              <w:rPr>
                <w:rFonts w:hint="eastAsia" w:ascii="方正书宋_GBK" w:eastAsia="方正书宋_GBK"/>
                <w:lang w:val="en-US" w:eastAsia="zh-CN"/>
              </w:rPr>
              <w:t>6.58</w:t>
            </w:r>
            <w:r>
              <w:rPr>
                <w:rFonts w:hint="eastAsia" w:ascii="方正书宋_GBK" w:eastAsia="方正书宋_GBK"/>
              </w:rPr>
              <w:t>亿元</w:t>
            </w:r>
            <w:r>
              <w:rPr>
                <w:rFonts w:ascii="方正书宋_GBK" w:eastAsia="方正书宋_GBK"/>
              </w:rPr>
              <w:t>,</w:t>
            </w:r>
            <w:r>
              <w:rPr>
                <w:rFonts w:hint="eastAsia" w:ascii="方正书宋_GBK" w:eastAsia="方正书宋_GBK"/>
              </w:rPr>
              <w:t>保障全县经济平稳运行</w:t>
            </w:r>
            <w:r>
              <w:rPr>
                <w:rFonts w:ascii="方正书宋_GBK" w:eastAsia="方正书宋_GBK"/>
              </w:rPr>
              <w:t>,</w:t>
            </w:r>
            <w:r>
              <w:rPr>
                <w:rFonts w:hint="eastAsia" w:ascii="方正书宋_GBK" w:eastAsia="方正书宋_GBK"/>
              </w:rPr>
              <w:t>保障编制县本级财政总决算，汇总编报全县财政总决算，汇总编报社保基金决算；编制县本级部门决算，汇总编报全县部门决算，提交并按程序审批报送财政总决算报告和部门决算报告，组织部门决算批复等工作的顺利实施。</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lang w:val="en-US" w:eastAsia="zh-CN"/>
              </w:rPr>
              <w:t>6.58</w:t>
            </w:r>
            <w:r>
              <w:rPr>
                <w:rFonts w:hint="eastAsia" w:ascii="方正书宋_GBK" w:eastAsia="方正书宋_GBK"/>
              </w:rPr>
              <w:t>加强国库电子化支付的管理和规范，网络平台的正常运行，</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预算支出完成率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编制县本级财政总决算，汇总编报全县财政总决算，汇总编报社保基金决算；编制县本级部门决算，汇总编报全县部门决算，提交并按程序审批报送财政总决算报告和部门决算报告，组织部门决算批复。</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加强国库电子化支付的管理和规范，网络平台的正常运行，</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维护县级财政资金的有效使用和</w:t>
            </w:r>
            <w:r>
              <w:rPr>
                <w:rFonts w:ascii="方正书宋_GBK" w:eastAsia="方正书宋_GBK"/>
              </w:rPr>
              <w:t>2</w:t>
            </w:r>
            <w:r>
              <w:rPr>
                <w:rFonts w:hint="eastAsia" w:ascii="方正书宋_GBK" w:eastAsia="方正书宋_GBK"/>
                <w:lang w:val="en-US" w:eastAsia="zh-CN"/>
              </w:rPr>
              <w:t>6.58</w:t>
            </w:r>
            <w:r>
              <w:rPr>
                <w:rFonts w:hint="eastAsia" w:ascii="方正书宋_GBK" w:eastAsia="方正书宋_GBK"/>
              </w:rPr>
              <w:t>亿元资金拨付。</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维护县级财政资金的有效使用和资金拨付。</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满足全县经济运行资金的顺利拨付和有效利用</w:t>
            </w:r>
            <w:r>
              <w:rPr>
                <w:rFonts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满足经济发展需要</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4、财税征收经费绩效目标表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深化税收改革，研究完善和规范地方性税收法规，规范地方税收优惠政策。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监督检查税收政策执行情况，确保各项财政收入按时均衡入库。</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收入完成数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全年全部财政收入计划完成</w:t>
            </w:r>
            <w:r>
              <w:rPr>
                <w:rFonts w:hint="eastAsia" w:ascii="方正书宋_GBK" w:eastAsia="方正书宋_GBK"/>
                <w:lang w:val="en-US" w:eastAsia="zh-CN"/>
              </w:rPr>
              <w:t>8.6</w:t>
            </w:r>
            <w:r>
              <w:rPr>
                <w:rFonts w:hint="eastAsia" w:ascii="方正书宋_GBK" w:eastAsia="方正书宋_GBK"/>
              </w:rPr>
              <w:t>亿元，非税收入计划完成</w:t>
            </w:r>
            <w:r>
              <w:rPr>
                <w:rFonts w:ascii="方正书宋_GBK" w:eastAsia="方正书宋_GBK"/>
              </w:rPr>
              <w:t>1.</w:t>
            </w:r>
            <w:r>
              <w:rPr>
                <w:rFonts w:hint="eastAsia" w:ascii="方正书宋_GBK" w:eastAsia="方正书宋_GBK"/>
                <w:lang w:val="en-US" w:eastAsia="zh-CN"/>
              </w:rPr>
              <w:t>8</w:t>
            </w:r>
            <w:r>
              <w:rPr>
                <w:rFonts w:hint="eastAsia" w:ascii="方正书宋_GBK" w:eastAsia="方正书宋_GBK"/>
              </w:rPr>
              <w:t>亿元。一般公共预算收入计划为</w:t>
            </w:r>
            <w:r>
              <w:rPr>
                <w:rFonts w:hint="eastAsia" w:ascii="方正书宋_GBK" w:eastAsia="方正书宋_GBK"/>
                <w:lang w:val="en-US" w:eastAsia="zh-CN"/>
              </w:rPr>
              <w:t>6</w:t>
            </w:r>
            <w:r>
              <w:rPr>
                <w:rFonts w:hint="eastAsia" w:ascii="方正书宋_GBK" w:eastAsia="方正书宋_GBK"/>
              </w:rPr>
              <w:t>亿元，较上年增长</w:t>
            </w:r>
            <w:r>
              <w:rPr>
                <w:rFonts w:ascii="方正书宋_GBK" w:eastAsia="方正书宋_GBK"/>
              </w:rPr>
              <w:t>8%</w:t>
            </w:r>
            <w:r>
              <w:rPr>
                <w:rFonts w:hint="eastAsia" w:ascii="方正书宋_GBK" w:eastAsia="方正书宋_GBK"/>
              </w:rPr>
              <w:t>。</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lang w:val="en-US" w:eastAsia="zh-CN"/>
              </w:rPr>
              <w:t>4</w:t>
            </w:r>
            <w:r>
              <w:rPr>
                <w:rFonts w:hint="eastAsia" w:ascii="方正书宋_GBK" w:eastAsia="方正书宋_GBK"/>
              </w:rPr>
              <w:t>亿元</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根据全县经济发展情况，实施项目建设突破年，建设一批重点项目，增加税收后劲。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收入完成率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全部财政收入完成率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收入完成率大于</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税收改革成果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深化税收改革，研究完善和规范地方法规。着力保障</w:t>
            </w:r>
            <w:r>
              <w:rPr>
                <w:rFonts w:ascii="方正书宋_GBK" w:eastAsia="方正书宋_GBK"/>
              </w:rPr>
              <w:t>16</w:t>
            </w:r>
            <w:r>
              <w:rPr>
                <w:rFonts w:hint="eastAsia" w:ascii="方正书宋_GBK" w:eastAsia="方正书宋_GBK"/>
              </w:rPr>
              <w:t>件民生实事，提升人民群众幸福感。</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巩固税收改革成果</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争取社会各方面满意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5、财政档案管理经费绩效目标表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规范档案管理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达到省级规定的档案管理要求</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档案完好率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达到省级规定的档案管理要求</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档案完好程度</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规范档案管理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档案管理规范</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规范档案管理</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规范管理程度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规范档案管理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使用人员满意程度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使用对象满意程度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规范档案管理</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6、第三方服务（税务评估、绩效评价、财政评审等）资金绩效目标表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对财政性资金拟安排的建设项目预算进行评价审查，</w:t>
            </w:r>
            <w:r>
              <w:rPr>
                <w:rFonts w:ascii="方正书宋_GBK" w:eastAsia="方正书宋_GBK"/>
              </w:rPr>
              <w:t>20</w:t>
            </w:r>
            <w:r>
              <w:rPr>
                <w:rFonts w:hint="eastAsia" w:ascii="方正书宋_GBK" w:eastAsia="方正书宋_GBK"/>
                <w:lang w:val="en-US" w:eastAsia="zh-CN"/>
              </w:rPr>
              <w:t>19</w:t>
            </w:r>
            <w:r>
              <w:rPr>
                <w:rFonts w:hint="eastAsia" w:ascii="方正书宋_GBK" w:eastAsia="方正书宋_GBK"/>
              </w:rPr>
              <w:t>年计划评审项目</w:t>
            </w:r>
            <w:r>
              <w:rPr>
                <w:rFonts w:hint="eastAsia" w:ascii="方正书宋_GBK" w:eastAsia="方正书宋_GBK"/>
                <w:lang w:val="en-US" w:eastAsia="zh-CN"/>
              </w:rPr>
              <w:t>168</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对应评审的项目全部评审，</w:t>
            </w:r>
            <w:r>
              <w:rPr>
                <w:rFonts w:ascii="方正书宋_GBK" w:eastAsia="方正书宋_GBK"/>
              </w:rPr>
              <w:t>20</w:t>
            </w:r>
            <w:r>
              <w:rPr>
                <w:rFonts w:hint="eastAsia" w:ascii="方正书宋_GBK" w:eastAsia="方正书宋_GBK"/>
                <w:lang w:val="en-US" w:eastAsia="zh-CN"/>
              </w:rPr>
              <w:t>19</w:t>
            </w:r>
            <w:r>
              <w:rPr>
                <w:rFonts w:hint="eastAsia" w:ascii="方正书宋_GBK" w:eastAsia="方正书宋_GBK"/>
              </w:rPr>
              <w:t>年计划审减</w:t>
            </w:r>
            <w:r>
              <w:rPr>
                <w:rFonts w:ascii="方正书宋_GBK" w:eastAsia="方正书宋_GBK"/>
              </w:rPr>
              <w:t>1.</w:t>
            </w:r>
            <w:r>
              <w:rPr>
                <w:rFonts w:hint="eastAsia" w:ascii="方正书宋_GBK" w:eastAsia="方正书宋_GBK"/>
                <w:lang w:val="en-US" w:eastAsia="zh-CN"/>
              </w:rPr>
              <w:t>2</w:t>
            </w:r>
            <w:r>
              <w:rPr>
                <w:rFonts w:hint="eastAsia" w:ascii="方正书宋_GBK" w:eastAsia="方正书宋_GBK"/>
              </w:rPr>
              <w:t>亿元。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对应评审的项目审减金额按国家行业规定的比率进行计费。</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项目评审数量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对财政性资金拟安排的建设项目预算进行评价审查。</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168</w:t>
            </w:r>
            <w:r>
              <w:rPr>
                <w:rFonts w:hint="eastAsia" w:ascii="方正书宋_GBK" w:eastAsia="方正书宋_GBK"/>
              </w:rPr>
              <w:t>审核项目个数</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县委县政府确定的审核项目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项目审减金额</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对县本级财政专项资金安排的项目进行追踪问效和核查，按照实际情况审减项目资金</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lang w:val="en-US" w:eastAsia="zh-CN"/>
              </w:rPr>
              <w:t>2</w:t>
            </w:r>
            <w:r>
              <w:rPr>
                <w:rFonts w:hint="eastAsia" w:ascii="方正书宋_GBK" w:eastAsia="方正书宋_GBK"/>
              </w:rPr>
              <w:t>审减资金数额</w:t>
            </w:r>
            <w:r>
              <w:rPr>
                <w:rFonts w:ascii="方正书宋_GBK" w:eastAsia="方正书宋_GBK"/>
              </w:rPr>
              <w:t>1.</w:t>
            </w:r>
            <w:r>
              <w:rPr>
                <w:rFonts w:hint="eastAsia" w:ascii="方正书宋_GBK" w:eastAsia="方正书宋_GBK"/>
                <w:lang w:val="en-US" w:eastAsia="zh-CN"/>
              </w:rPr>
              <w:t>2</w:t>
            </w:r>
            <w:r>
              <w:rPr>
                <w:rFonts w:hint="eastAsia" w:ascii="方正书宋_GBK" w:eastAsia="方正书宋_GBK"/>
              </w:rPr>
              <w:t>个亿</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w:t>
            </w:r>
            <w:bookmarkStart w:id="2" w:name="_GoBack"/>
            <w:bookmarkEnd w:id="2"/>
            <w:r>
              <w:rPr>
                <w:rFonts w:hint="eastAsia" w:ascii="方正书宋_GBK" w:eastAsia="方正书宋_GBK"/>
              </w:rPr>
              <w:t>定的审核项目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评审对象对评审结果满意情况</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项目审核满意度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根据各项目实施单位情况确定</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7、冀财农[20</w:t>
      </w:r>
      <w:r>
        <w:rPr>
          <w:rFonts w:hint="eastAsia" w:ascii="方正仿宋_GBK" w:eastAsia="方正仿宋_GBK"/>
          <w:b/>
          <w:sz w:val="28"/>
          <w:lang w:val="en-US" w:eastAsia="zh-CN"/>
        </w:rPr>
        <w:t>18</w:t>
      </w:r>
      <w:r>
        <w:rPr>
          <w:rFonts w:hint="eastAsia" w:ascii="方正仿宋_GBK" w:eastAsia="方正仿宋_GBK"/>
          <w:b/>
          <w:sz w:val="28"/>
        </w:rPr>
        <w:t>]1</w:t>
      </w:r>
      <w:r>
        <w:rPr>
          <w:rFonts w:hint="eastAsia" w:ascii="方正仿宋_GBK" w:eastAsia="方正仿宋_GBK"/>
          <w:b/>
          <w:sz w:val="28"/>
          <w:lang w:val="en-US" w:eastAsia="zh-CN"/>
        </w:rPr>
        <w:t>70</w:t>
      </w:r>
      <w:r>
        <w:rPr>
          <w:rFonts w:hint="eastAsia" w:ascii="方正仿宋_GBK" w:eastAsia="方正仿宋_GBK"/>
          <w:b/>
          <w:sz w:val="28"/>
        </w:rPr>
        <w:t>号河北省财政厅关于提前下达20</w:t>
      </w:r>
      <w:r>
        <w:rPr>
          <w:rFonts w:hint="eastAsia" w:ascii="方正仿宋_GBK" w:eastAsia="方正仿宋_GBK"/>
          <w:b/>
          <w:sz w:val="28"/>
          <w:lang w:val="en-US" w:eastAsia="zh-CN"/>
        </w:rPr>
        <w:t>19</w:t>
      </w:r>
      <w:r>
        <w:rPr>
          <w:rFonts w:hint="eastAsia" w:ascii="方正仿宋_GBK" w:eastAsia="方正仿宋_GBK"/>
          <w:b/>
          <w:sz w:val="28"/>
        </w:rPr>
        <w:t>年省级农村财会人员培训一般转移支付指标的通知绩效目标表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指导农村财务规范管理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搞好农村财会人员培训</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培训农村财会人员</w:t>
            </w:r>
            <w:r>
              <w:rPr>
                <w:rFonts w:hint="eastAsia" w:ascii="方正书宋_GBK" w:eastAsia="方正书宋_GBK"/>
                <w:lang w:val="en-US" w:eastAsia="zh-CN"/>
              </w:rPr>
              <w:t>3</w:t>
            </w:r>
            <w:r>
              <w:rPr>
                <w:rFonts w:ascii="方正书宋_GBK" w:eastAsia="方正书宋_GBK"/>
              </w:rPr>
              <w:t>000</w:t>
            </w:r>
            <w:r>
              <w:rPr>
                <w:rFonts w:hint="eastAsia" w:ascii="方正书宋_GBK" w:eastAsia="方正书宋_GBK"/>
              </w:rPr>
              <w:t>人次</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3</w:t>
            </w:r>
            <w:r>
              <w:rPr>
                <w:rFonts w:ascii="方正书宋_GBK" w:eastAsia="方正书宋_GBK"/>
              </w:rPr>
              <w:t>000</w:t>
            </w:r>
            <w:r>
              <w:rPr>
                <w:rFonts w:hint="eastAsia" w:ascii="方正书宋_GBK" w:eastAsia="方正书宋_GBK"/>
              </w:rPr>
              <w:t>培训农村财会人员</w:t>
            </w:r>
            <w:r>
              <w:rPr>
                <w:rFonts w:hint="eastAsia" w:ascii="方正书宋_GBK" w:eastAsia="方正书宋_GBK"/>
                <w:lang w:val="en-US" w:eastAsia="zh-CN"/>
              </w:rPr>
              <w:t>3</w:t>
            </w:r>
            <w:r>
              <w:rPr>
                <w:rFonts w:ascii="方正书宋_GBK" w:eastAsia="方正书宋_GBK"/>
              </w:rPr>
              <w:t>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提高农村财会人员综合素质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培训效率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提高农村财会人员综合素质</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培训农村财会人员</w:t>
            </w:r>
            <w:r>
              <w:rPr>
                <w:rFonts w:hint="eastAsia" w:ascii="方正书宋_GBK" w:eastAsia="方正书宋_GBK"/>
                <w:lang w:val="en-US" w:eastAsia="zh-CN"/>
              </w:rPr>
              <w:t>3</w:t>
            </w:r>
            <w:r>
              <w:rPr>
                <w:rFonts w:ascii="方正书宋_GBK" w:eastAsia="方正书宋_GBK"/>
              </w:rPr>
              <w:t>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提高农村财会人员综合素质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社会满意、受培训人员满意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培训农村财会人员</w:t>
            </w:r>
            <w:r>
              <w:rPr>
                <w:rFonts w:hint="eastAsia" w:ascii="方正书宋_GBK" w:eastAsia="方正书宋_GBK"/>
                <w:lang w:val="en-US" w:eastAsia="zh-CN"/>
              </w:rPr>
              <w:t>3</w:t>
            </w:r>
            <w:r>
              <w:rPr>
                <w:rFonts w:ascii="方正书宋_GBK" w:eastAsia="方正书宋_GBK"/>
              </w:rPr>
              <w:t>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提高农村财会人员综合素质</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8、财政信息化建设工作经费绩效目标表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满足财政信息网络购置需要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财政信息网络运行维护</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152</w:t>
            </w: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财政信息网络建设全面发展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保障网络顺利运行</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保障网络顺利运行</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保障每天</w:t>
            </w:r>
            <w:r>
              <w:rPr>
                <w:rFonts w:ascii="方正书宋_GBK" w:eastAsia="方正书宋_GBK"/>
              </w:rPr>
              <w:t>24</w:t>
            </w:r>
            <w:r>
              <w:rPr>
                <w:rFonts w:hint="eastAsia" w:ascii="方正书宋_GBK" w:eastAsia="方正书宋_GBK"/>
              </w:rPr>
              <w:t>小时正常运行</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财政信息网络建设全面发展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使用对象满意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使用对象满意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使用人员满意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财政信息网络建设全面发展</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9、预算绩效改革工作经费绩效目标表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制定完善的预算政策体系，提高预算管理的科学化水平。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规范预算执行，合理组织财政各项支出，促进社会事业发展。推进预算公开，实施全面规范、公开透明的预算制度。</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预算支出</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一般公共预算总支出</w:t>
            </w:r>
            <w:r>
              <w:rPr>
                <w:rFonts w:ascii="方正书宋_GBK" w:eastAsia="方正书宋_GBK"/>
              </w:rPr>
              <w:t>2</w:t>
            </w:r>
            <w:r>
              <w:rPr>
                <w:rFonts w:hint="eastAsia" w:ascii="方正书宋_GBK" w:eastAsia="方正书宋_GBK"/>
                <w:lang w:val="en-US" w:eastAsia="zh-CN"/>
              </w:rPr>
              <w:t>6.58</w:t>
            </w:r>
            <w:r>
              <w:rPr>
                <w:rFonts w:hint="eastAsia" w:ascii="方正书宋_GBK" w:eastAsia="方正书宋_GBK"/>
              </w:rPr>
              <w:t>亿元</w:t>
            </w:r>
            <w:r>
              <w:rPr>
                <w:rFonts w:ascii="方正书宋_GBK" w:eastAsia="方正书宋_GBK"/>
              </w:rPr>
              <w:t>,</w:t>
            </w:r>
            <w:r>
              <w:rPr>
                <w:rFonts w:hint="eastAsia" w:ascii="方正书宋_GBK" w:eastAsia="方正书宋_GBK"/>
              </w:rPr>
              <w:t>全县生产总值增长</w:t>
            </w:r>
            <w:r>
              <w:rPr>
                <w:rFonts w:hint="eastAsia" w:ascii="方正书宋_GBK" w:eastAsia="方正书宋_GBK"/>
                <w:lang w:val="en-US" w:eastAsia="zh-CN"/>
              </w:rPr>
              <w:t>8</w:t>
            </w:r>
            <w:r>
              <w:rPr>
                <w:rFonts w:ascii="方正书宋_GBK" w:eastAsia="方正书宋_GBK"/>
              </w:rPr>
              <w:t>%,</w:t>
            </w:r>
            <w:r>
              <w:rPr>
                <w:rFonts w:hint="eastAsia" w:ascii="方正书宋_GBK" w:eastAsia="方正书宋_GBK"/>
              </w:rPr>
              <w:t>全社会固定资产投资增长</w:t>
            </w:r>
            <w:r>
              <w:rPr>
                <w:rFonts w:hint="eastAsia" w:ascii="方正书宋_GBK" w:eastAsia="方正书宋_GBK"/>
                <w:lang w:val="en-US" w:eastAsia="zh-CN"/>
              </w:rPr>
              <w:t>8</w:t>
            </w:r>
            <w:r>
              <w:rPr>
                <w:rFonts w:ascii="方正书宋_GBK" w:eastAsia="方正书宋_GBK"/>
              </w:rPr>
              <w:t>%,</w:t>
            </w:r>
            <w:r>
              <w:rPr>
                <w:rFonts w:hint="eastAsia" w:ascii="方正书宋_GBK" w:eastAsia="方正书宋_GBK"/>
              </w:rPr>
              <w:t>规模以上工业增加值增长</w:t>
            </w:r>
            <w:r>
              <w:rPr>
                <w:rFonts w:ascii="方正书宋_GBK" w:eastAsia="方正书宋_GBK"/>
              </w:rPr>
              <w:t>10%.</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制定完善的预算政策体系</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提高预算管理的科学化水平。</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制定完善的预算政策体系</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统筹县级财力，强化绩效管理，科学编制政府绩效预算</w:t>
            </w:r>
            <w:r>
              <w:rPr>
                <w:rFonts w:ascii="方正书宋_GBK" w:eastAsia="方正书宋_GBK"/>
              </w:rPr>
              <w:t>,</w:t>
            </w:r>
            <w:r>
              <w:rPr>
                <w:rFonts w:hint="eastAsia" w:ascii="方正书宋_GBK" w:eastAsia="方正书宋_GBK"/>
              </w:rPr>
              <w:t>提升绩效预算的执行力</w:t>
            </w:r>
            <w:r>
              <w:rPr>
                <w:rFonts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加大绩效预算的执行力度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做到让社会满意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社会满意度达到</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提升绩效预算改革成效</w:t>
            </w:r>
            <w:r>
              <w:rPr>
                <w:rFonts w:ascii="方正书宋_GBK" w:eastAsia="方正书宋_GBK"/>
              </w:rPr>
              <w:t>.</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10、国有资产管理经费绩效目标表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进一步加强国有资产管理，规范行政、事业单位国有资产产权登记、资产清查等工作，查清底数，夯实资产，确保国有资产保值增值不流失。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执行国有资产向人大报告制度，完善国有资产管理。</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管理单位数量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加强全县</w:t>
            </w:r>
            <w:r>
              <w:rPr>
                <w:rFonts w:ascii="方正书宋_GBK" w:eastAsia="方正书宋_GBK"/>
              </w:rPr>
              <w:t>152</w:t>
            </w:r>
            <w:r>
              <w:rPr>
                <w:rFonts w:hint="eastAsia" w:ascii="方正书宋_GBK" w:eastAsia="方正书宋_GBK"/>
              </w:rPr>
              <w:t>个行政事业单位国有资产管理，规范行政、事业单位国有资产产权登记、资产清查等工作，查清底数，夯实资产，确保国有资产保值增值不流失。</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152</w:t>
            </w:r>
            <w:r>
              <w:rPr>
                <w:rFonts w:hint="eastAsia" w:ascii="方正书宋_GBK" w:eastAsia="方正书宋_GBK"/>
              </w:rPr>
              <w:t>查清底数，夯实资产，确保国有资产保值增值不流失。</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国有资产完成率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加强国有资产管理，规范行政、事业单位国有资产产权登记、资产清查</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查清底数，夯实资产，确保国有资产保值增值不流失。</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国有资产使用率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一步加强国有资产管理，规范行政、事业单位国有资产产权登记、资产清查等工作，查清底数，夯实资产，确保国有资产保值增值不流失。</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执行国有资产向人大报告制度，完善国有资产管理。</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查清底数，夯实资产，确保国有资产保值增值不流失。</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社会满意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11、财政票据管理经费绩效目标表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负责非税收入及政府性基金管理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按规定管理行政事业性收费；管理财政票据。</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票据使用量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票据实际使用数量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8</w:t>
            </w:r>
            <w:r>
              <w:rPr>
                <w:rFonts w:ascii="方正书宋_GBK" w:eastAsia="方正书宋_GBK"/>
              </w:rPr>
              <w:t>000</w:t>
            </w:r>
            <w:r>
              <w:rPr>
                <w:rFonts w:hint="eastAsia" w:ascii="方正书宋_GBK" w:eastAsia="方正书宋_GBK"/>
              </w:rPr>
              <w:t>票据使用数量大于等于</w:t>
            </w:r>
            <w:r>
              <w:rPr>
                <w:rFonts w:hint="eastAsia" w:ascii="方正书宋_GBK" w:eastAsia="方正书宋_GBK"/>
                <w:lang w:val="en-US" w:eastAsia="zh-CN"/>
              </w:rPr>
              <w:t>8</w:t>
            </w:r>
            <w:r>
              <w:rPr>
                <w:rFonts w:ascii="方正书宋_GBK" w:eastAsia="方正书宋_GBK"/>
              </w:rPr>
              <w:t>000</w:t>
            </w:r>
            <w:r>
              <w:rPr>
                <w:rFonts w:hint="eastAsia" w:ascii="方正书宋_GBK" w:eastAsia="方正书宋_GBK"/>
              </w:rPr>
              <w:t>份</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根据收入任务和往年单位使用情况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票据供应率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票据供应完成率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票据供应应大于等于</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收入完成率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实际收入与计划收入的比率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实际收入与计划收入的比率应大于等于</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用票单位满意度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用票单位是否满意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用票单位满意度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bl>
    <w:p>
      <w:pPr>
        <w:autoSpaceDE w:val="0"/>
        <w:autoSpaceDN w:val="0"/>
        <w:adjustRightInd w:val="0"/>
        <w:ind w:left="198" w:firstLine="640" w:firstLineChars="200"/>
        <w:jc w:val="left"/>
        <w:rPr>
          <w:rFonts w:hint="eastAsia" w:ascii="仿宋_GB2312" w:hAnsi="Times New Roman" w:eastAsia="仿宋_GB2312"/>
          <w:sz w:val="32"/>
          <w:szCs w:val="32"/>
        </w:rPr>
      </w:pPr>
    </w:p>
    <w:p>
      <w:pPr>
        <w:jc w:val="center"/>
        <w:outlineLvl w:val="0"/>
        <w:rPr>
          <w:rFonts w:hint="eastAsia" w:ascii="方正小标宋_GBK" w:eastAsia="方正小标宋_GBK"/>
          <w:sz w:val="32"/>
        </w:rPr>
      </w:pPr>
    </w:p>
    <w:bookmarkEnd w:id="0"/>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autoSpaceDE w:val="0"/>
        <w:autoSpaceDN w:val="0"/>
        <w:adjustRightInd w:val="0"/>
        <w:ind w:firstLine="640" w:firstLineChars="200"/>
        <w:jc w:val="left"/>
        <w:rPr>
          <w:rFonts w:hint="eastAsia" w:ascii="仿宋_GB2312" w:hAnsi="Times New Roman" w:eastAsia="仿宋_GB2312"/>
          <w:sz w:val="32"/>
          <w:szCs w:val="24"/>
        </w:rPr>
      </w:pPr>
      <w:bookmarkStart w:id="1"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ascii="仿宋_GB2312" w:hAnsi="Times New Roman" w:eastAsia="仿宋_GB2312"/>
          <w:sz w:val="32"/>
          <w:szCs w:val="24"/>
        </w:rPr>
        <w:t>201</w:t>
      </w:r>
      <w:r>
        <w:rPr>
          <w:rFonts w:hint="eastAsia" w:ascii="仿宋_GB2312" w:hAnsi="Times New Roman" w:eastAsia="仿宋_GB2312"/>
          <w:sz w:val="32"/>
          <w:szCs w:val="24"/>
          <w:lang w:val="en-US" w:eastAsia="zh-CN"/>
        </w:rPr>
        <w:t>9</w:t>
      </w:r>
      <w:r>
        <w:rPr>
          <w:rFonts w:hint="eastAsia" w:ascii="仿宋_GB2312" w:hAnsi="Times New Roman" w:eastAsia="仿宋_GB2312"/>
          <w:sz w:val="32"/>
          <w:szCs w:val="24"/>
        </w:rPr>
        <w:t>年，我单位</w:t>
      </w:r>
      <w:bookmarkEnd w:id="1"/>
      <w:r>
        <w:rPr>
          <w:rFonts w:hint="eastAsia" w:ascii="仿宋_GB2312" w:hAnsi="Times New Roman" w:eastAsia="仿宋_GB2312"/>
          <w:sz w:val="32"/>
          <w:szCs w:val="24"/>
          <w:lang w:eastAsia="zh-CN"/>
        </w:rPr>
        <w:t>无政府性采购预算</w:t>
      </w: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lang w:eastAsia="zh-CN"/>
        </w:rPr>
        <w:t>馆陶县财政局</w:t>
      </w:r>
      <w:r>
        <w:rPr>
          <w:rFonts w:hint="eastAsia" w:ascii="仿宋_GB2312" w:hAnsi="黑体" w:eastAsia="仿宋_GB2312"/>
          <w:sz w:val="32"/>
          <w:szCs w:val="32"/>
        </w:rPr>
        <w:t>上年末固定资产金额为</w:t>
      </w:r>
      <w:r>
        <w:rPr>
          <w:rFonts w:hint="eastAsia" w:ascii="仿宋_GB2312" w:hAnsi="黑体" w:eastAsia="仿宋_GB2312"/>
          <w:sz w:val="32"/>
          <w:szCs w:val="32"/>
          <w:lang w:val="en-US" w:eastAsia="zh-CN"/>
        </w:rPr>
        <w:t>127</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w:t>
      </w:r>
      <w:r>
        <w:rPr>
          <w:rFonts w:hint="eastAsia" w:ascii="仿宋_GB2312" w:hAnsi="黑体" w:eastAsia="仿宋_GB2312"/>
          <w:sz w:val="32"/>
          <w:szCs w:val="32"/>
          <w:lang w:eastAsia="zh-CN"/>
        </w:rPr>
        <w:t>无政府采购</w:t>
      </w:r>
      <w:r>
        <w:rPr>
          <w:rFonts w:hint="eastAsia" w:ascii="仿宋_GB2312" w:hAnsi="黑体" w:eastAsia="仿宋_GB2312"/>
          <w:sz w:val="32"/>
          <w:szCs w:val="32"/>
        </w:rPr>
        <w:t>。</w:t>
      </w:r>
    </w:p>
    <w:tbl>
      <w:tblPr>
        <w:tblStyle w:val="9"/>
        <w:tblW w:w="11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8"/>
        <w:gridCol w:w="496"/>
        <w:gridCol w:w="1484"/>
        <w:gridCol w:w="1483"/>
        <w:gridCol w:w="1352"/>
        <w:gridCol w:w="1352"/>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948"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编制单位：馆陶县财政局</w:t>
            </w:r>
          </w:p>
        </w:tc>
        <w:tc>
          <w:tcPr>
            <w:tcW w:w="496" w:type="dxa"/>
            <w:shd w:val="clear" w:color="auto" w:fill="auto"/>
            <w:vAlign w:val="bottom"/>
          </w:tcPr>
          <w:p>
            <w:pPr>
              <w:rPr>
                <w:rFonts w:hint="eastAsia" w:ascii="Arial" w:hAnsi="Arial" w:cs="Arial"/>
                <w:i w:val="0"/>
                <w:color w:val="000000"/>
                <w:sz w:val="20"/>
                <w:szCs w:val="20"/>
                <w:u w:val="none"/>
              </w:rPr>
            </w:pPr>
          </w:p>
        </w:tc>
        <w:tc>
          <w:tcPr>
            <w:tcW w:w="1484" w:type="dxa"/>
            <w:shd w:val="clear" w:color="auto" w:fill="auto"/>
            <w:vAlign w:val="bottom"/>
          </w:tcPr>
          <w:p>
            <w:pPr>
              <w:rPr>
                <w:rFonts w:hint="default" w:ascii="Arial" w:hAnsi="Arial" w:cs="Arial"/>
                <w:i w:val="0"/>
                <w:color w:val="000000"/>
                <w:sz w:val="20"/>
                <w:szCs w:val="20"/>
                <w:u w:val="none"/>
              </w:rPr>
            </w:pPr>
          </w:p>
        </w:tc>
        <w:tc>
          <w:tcPr>
            <w:tcW w:w="1483" w:type="dxa"/>
            <w:shd w:val="clear" w:color="auto" w:fill="auto"/>
            <w:vAlign w:val="bottom"/>
          </w:tcPr>
          <w:p>
            <w:pPr>
              <w:rPr>
                <w:rFonts w:hint="default" w:ascii="Arial" w:hAnsi="Arial" w:cs="Arial"/>
                <w:i w:val="0"/>
                <w:color w:val="000000"/>
                <w:sz w:val="20"/>
                <w:szCs w:val="20"/>
                <w:u w:val="none"/>
              </w:rPr>
            </w:pPr>
          </w:p>
        </w:tc>
        <w:tc>
          <w:tcPr>
            <w:tcW w:w="1352"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年度</w:t>
            </w:r>
          </w:p>
        </w:tc>
        <w:tc>
          <w:tcPr>
            <w:tcW w:w="1992" w:type="dxa"/>
            <w:gridSpan w:val="2"/>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94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49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967" w:type="dxa"/>
            <w:gridSpan w:val="2"/>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3344"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9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年初数</w:t>
            </w:r>
          </w:p>
        </w:tc>
        <w:tc>
          <w:tcPr>
            <w:tcW w:w="14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年末数</w:t>
            </w:r>
          </w:p>
        </w:tc>
        <w:tc>
          <w:tcPr>
            <w:tcW w:w="135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年初数</w:t>
            </w:r>
          </w:p>
        </w:tc>
        <w:tc>
          <w:tcPr>
            <w:tcW w:w="199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49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9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资产总额</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6,449,405.34</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2266377.89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一、流动资产</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949,534.73</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999953.89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二、固定资产</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5,499,870.61</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1266424.00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（一）房屋（平方米）</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2,600.00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4,110,000.00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1.办公用房</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3,990,000.00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2.业务用房</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3.其他（不含构筑物）</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（二）车辆（台、辆）</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143,600.00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1.轿车</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143,600.00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2.越野车</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9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3.小型载客汽车</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4.大中型载客汽车</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5.其他车型</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（三）单价50万元（含）以上的通用设备（台、套…）</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（四）单价100万元（含）以上的专用设备（台、套…）</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（五）其他固定资产</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1,246,270.61</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1122824.00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减：累计折旧及减值准备</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三、长期投资</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四、在建工程</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五、无形资产</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减：累计摊销</w:t>
            </w:r>
          </w:p>
        </w:tc>
        <w:tc>
          <w:tcPr>
            <w:tcW w:w="4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40" w:type="dxa"/>
          <w:trHeight w:val="300" w:hRule="atLeast"/>
        </w:trPr>
        <w:tc>
          <w:tcPr>
            <w:tcW w:w="4948" w:type="dxa"/>
            <w:tcBorders>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六、其他资产</w:t>
            </w:r>
          </w:p>
        </w:tc>
        <w:tc>
          <w:tcPr>
            <w:tcW w:w="496"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84"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3"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53CC"/>
    <w:rsid w:val="00037AF6"/>
    <w:rsid w:val="0004565F"/>
    <w:rsid w:val="00072187"/>
    <w:rsid w:val="00075D5F"/>
    <w:rsid w:val="000A7850"/>
    <w:rsid w:val="000B529B"/>
    <w:rsid w:val="000C24E6"/>
    <w:rsid w:val="000C3A19"/>
    <w:rsid w:val="000D5C0F"/>
    <w:rsid w:val="001245BB"/>
    <w:rsid w:val="001251A3"/>
    <w:rsid w:val="001643E8"/>
    <w:rsid w:val="001919C4"/>
    <w:rsid w:val="0019723B"/>
    <w:rsid w:val="001E0757"/>
    <w:rsid w:val="001E6DDC"/>
    <w:rsid w:val="001F7873"/>
    <w:rsid w:val="00241FD4"/>
    <w:rsid w:val="00251B12"/>
    <w:rsid w:val="00265318"/>
    <w:rsid w:val="002835D7"/>
    <w:rsid w:val="00290FD6"/>
    <w:rsid w:val="00296113"/>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72D2E"/>
    <w:rsid w:val="00A74447"/>
    <w:rsid w:val="00A74CE5"/>
    <w:rsid w:val="00A77500"/>
    <w:rsid w:val="00A911E7"/>
    <w:rsid w:val="00A939D9"/>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C005B2"/>
    <w:rsid w:val="00CA7176"/>
    <w:rsid w:val="00CC75B0"/>
    <w:rsid w:val="00CD2773"/>
    <w:rsid w:val="00CE01BA"/>
    <w:rsid w:val="00CE143B"/>
    <w:rsid w:val="00D07DBA"/>
    <w:rsid w:val="00D27003"/>
    <w:rsid w:val="00D9307A"/>
    <w:rsid w:val="00E167C7"/>
    <w:rsid w:val="00E25A8C"/>
    <w:rsid w:val="00E55B78"/>
    <w:rsid w:val="00E76361"/>
    <w:rsid w:val="00EC47F6"/>
    <w:rsid w:val="00EF08C9"/>
    <w:rsid w:val="00EF535E"/>
    <w:rsid w:val="00F14A62"/>
    <w:rsid w:val="00F471F7"/>
    <w:rsid w:val="00F66032"/>
    <w:rsid w:val="00F83B96"/>
    <w:rsid w:val="00F8441D"/>
    <w:rsid w:val="00F87C1E"/>
    <w:rsid w:val="00F958C2"/>
    <w:rsid w:val="00FA740E"/>
    <w:rsid w:val="00FC06C7"/>
    <w:rsid w:val="00FD5DB4"/>
    <w:rsid w:val="00FE1724"/>
    <w:rsid w:val="030554A9"/>
    <w:rsid w:val="047021EB"/>
    <w:rsid w:val="0A2023C6"/>
    <w:rsid w:val="0B331B7E"/>
    <w:rsid w:val="0BAF2C83"/>
    <w:rsid w:val="0C044491"/>
    <w:rsid w:val="0DB32BBD"/>
    <w:rsid w:val="0FB56335"/>
    <w:rsid w:val="11941696"/>
    <w:rsid w:val="11C37B1A"/>
    <w:rsid w:val="12661EC2"/>
    <w:rsid w:val="1DB406D0"/>
    <w:rsid w:val="1F055A79"/>
    <w:rsid w:val="1FC1447C"/>
    <w:rsid w:val="207132C2"/>
    <w:rsid w:val="21613782"/>
    <w:rsid w:val="27976CF3"/>
    <w:rsid w:val="28E824B1"/>
    <w:rsid w:val="30D3476E"/>
    <w:rsid w:val="31907403"/>
    <w:rsid w:val="31E15395"/>
    <w:rsid w:val="3473676B"/>
    <w:rsid w:val="371445FD"/>
    <w:rsid w:val="38781EB8"/>
    <w:rsid w:val="39C846D5"/>
    <w:rsid w:val="3B3141BA"/>
    <w:rsid w:val="43274E58"/>
    <w:rsid w:val="44117D58"/>
    <w:rsid w:val="4476283E"/>
    <w:rsid w:val="45DC07B5"/>
    <w:rsid w:val="45FE5EEA"/>
    <w:rsid w:val="461B3243"/>
    <w:rsid w:val="498236E4"/>
    <w:rsid w:val="49907BDE"/>
    <w:rsid w:val="4A4952B7"/>
    <w:rsid w:val="4A657D63"/>
    <w:rsid w:val="4D5241DF"/>
    <w:rsid w:val="53071741"/>
    <w:rsid w:val="538865E0"/>
    <w:rsid w:val="55C33DF2"/>
    <w:rsid w:val="56733828"/>
    <w:rsid w:val="5D5A3361"/>
    <w:rsid w:val="5FDF7F1F"/>
    <w:rsid w:val="5FE02428"/>
    <w:rsid w:val="60315DEE"/>
    <w:rsid w:val="62AC6848"/>
    <w:rsid w:val="63756E47"/>
    <w:rsid w:val="63B25F1C"/>
    <w:rsid w:val="64FF07E7"/>
    <w:rsid w:val="66047C9F"/>
    <w:rsid w:val="69C822D4"/>
    <w:rsid w:val="6AFC53DB"/>
    <w:rsid w:val="6FA90EE9"/>
    <w:rsid w:val="71051481"/>
    <w:rsid w:val="717E61E6"/>
    <w:rsid w:val="7337508B"/>
    <w:rsid w:val="76773E32"/>
    <w:rsid w:val="781548BB"/>
    <w:rsid w:val="7E1A78CB"/>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Balloon Text Char"/>
    <w:basedOn w:val="10"/>
    <w:link w:val="2"/>
    <w:semiHidden/>
    <w:qFormat/>
    <w:locked/>
    <w:uiPriority w:val="99"/>
    <w:rPr>
      <w:rFonts w:cs="Times New Roman"/>
      <w:sz w:val="18"/>
      <w:szCs w:val="18"/>
    </w:rPr>
  </w:style>
  <w:style w:type="character" w:customStyle="1" w:styleId="13">
    <w:name w:val="Footer Char"/>
    <w:basedOn w:val="10"/>
    <w:link w:val="3"/>
    <w:qFormat/>
    <w:locked/>
    <w:uiPriority w:val="99"/>
    <w:rPr>
      <w:rFonts w:ascii="Times New Roman" w:hAnsi="Times New Roman" w:eastAsia="宋体" w:cs="Times New Roman"/>
      <w:sz w:val="18"/>
      <w:szCs w:val="18"/>
    </w:rPr>
  </w:style>
  <w:style w:type="character" w:customStyle="1" w:styleId="14">
    <w:name w:val="Header Char"/>
    <w:basedOn w:val="10"/>
    <w:link w:val="4"/>
    <w:qFormat/>
    <w:locked/>
    <w:uiPriority w:val="99"/>
    <w:rPr>
      <w:rFonts w:ascii="Times New Roman" w:hAnsi="Times New Roman" w:eastAsia="宋体" w:cs="Times New Roman"/>
      <w:sz w:val="18"/>
      <w:szCs w:val="18"/>
    </w:rPr>
  </w:style>
  <w:style w:type="character" w:customStyle="1" w:styleId="15">
    <w:name w:val="Footnote Text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21</Pages>
  <Words>9037</Words>
  <Characters>9561</Characters>
  <Lines>0</Lines>
  <Paragraphs>0</Paragraphs>
  <TotalTime>3</TotalTime>
  <ScaleCrop>false</ScaleCrop>
  <LinksUpToDate>false</LinksUpToDate>
  <CharactersWithSpaces>9688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2024-06-25T07:33:40Z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15E41C1038C840CE8F3FD6229A36B3B7_13</vt:lpwstr>
  </property>
</Properties>
</file>