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5209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9" o:spid="_x0000_s1041" o:spt="3" type="#_x0000_t3" style="position:absolute;left:0pt;margin-left:62.2pt;margin-top:242.75pt;height:103.45pt;width:103.45pt;z-index:-25165107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38" o:spid="_x0000_s1038" o:spt="203" style="position:absolute;left:0pt;margin-left:1.25pt;margin-top:821.7pt;height:21.45pt;width:595.25pt;z-index:-251654144;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0"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35" o:spid="_x0000_s1035" o:spt="203" style="position:absolute;left:0pt;margin-left:-2.5pt;margin-top:0pt;height:308.5pt;width:600.25pt;z-index:-251657216;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37"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36" o:spid="_x0000_s1036"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4" o:spt="1" style="position:absolute;left:0pt;margin-left:184.75pt;margin-top:286.6pt;height:31.25pt;width:364pt;z-index:-251653120;mso-width-relative:page;mso-height-relative:page;" fillcolor="#FFC000" filled="t" stroked="f" coordsize="21600,21600">
            <v:path/>
            <v:fill on="t" focussize="0,0"/>
            <v:stroke on="f"/>
            <v:imagedata o:title=""/>
            <o:lock v:ext="edit" aspectratio="f"/>
            <v:textbox style="mso-fit-shape-to-text:t;">
              <w:txbxContent>
                <w:p>
                  <w:pPr>
                    <w:rPr>
                      <w:rFonts w:hint="eastAsia"/>
                      <w:sz w:val="44"/>
                      <w:szCs w:val="44"/>
                      <w:lang w:eastAsia="zh-CN"/>
                    </w:rPr>
                  </w:pPr>
                  <w:r>
                    <w:rPr>
                      <w:rFonts w:hint="eastAsia"/>
                      <w:sz w:val="44"/>
                      <w:szCs w:val="44"/>
                      <w:lang w:eastAsia="zh-CN"/>
                    </w:rPr>
                    <w:t>馆陶县自然资源和规划局部门</w:t>
                  </w:r>
                </w:p>
                <w:p>
                  <w:pPr>
                    <w:ind w:firstLine="1760" w:firstLineChars="400"/>
                    <w:rPr>
                      <w:rFonts w:hint="eastAsia" w:eastAsiaTheme="minorEastAsia"/>
                      <w:sz w:val="44"/>
                      <w:szCs w:val="44"/>
                      <w:lang w:eastAsia="zh-CN"/>
                    </w:rPr>
                  </w:pPr>
                  <w:r>
                    <w:rPr>
                      <w:rFonts w:hint="eastAsia"/>
                      <w:sz w:val="44"/>
                      <w:szCs w:val="44"/>
                      <w:lang w:eastAsia="zh-CN"/>
                    </w:rPr>
                    <w:t>决算公开</w:t>
                  </w:r>
                </w:p>
              </w:txbxContent>
            </v:textbox>
          </v:rect>
        </w:pict>
      </w:r>
    </w:p>
    <w:p/>
    <w:p>
      <w:pPr>
        <w:jc w:val="center"/>
        <w:rPr>
          <w:rFonts w:ascii="黑体" w:hAnsi="黑体" w:eastAsia="黑体" w:cs="黑体"/>
          <w:color w:val="FFC000"/>
          <w:sz w:val="56"/>
          <w:szCs w:val="72"/>
        </w:rPr>
      </w:pPr>
    </w:p>
    <w:p>
      <w:pPr>
        <w:jc w:val="center"/>
        <w:rPr>
          <w:rFonts w:ascii="黑体" w:hAnsi="黑体" w:eastAsia="黑体" w:cs="黑体"/>
          <w:color w:val="FFC000"/>
          <w:sz w:val="56"/>
          <w:szCs w:val="72"/>
        </w:rPr>
      </w:pPr>
    </w:p>
    <w:p>
      <w:pPr>
        <w:rPr>
          <w:rFonts w:ascii="黑体" w:hAnsi="Times New Roman" w:eastAsia="黑体" w:cs="Times New Roman"/>
          <w:color w:val="FFC000"/>
          <w:sz w:val="48"/>
          <w:szCs w:val="48"/>
        </w:rPr>
      </w:pPr>
      <w:r>
        <w:pict>
          <v:rect id="矩形 14" o:spid="_x0000_s1042" o:spt="1" style="position:absolute;left:0pt;margin-left:-42.3pt;margin-top:107pt;height:69.6pt;width:160.65pt;z-index:-251650048;mso-width-relative:page;mso-height-relative:page;" filled="f" stroked="f" coordsize="21600,21600">
            <v:path/>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8" o:spid="_x0000_s1043" o:spt="3" type="#_x0000_t3" style="position:absolute;left:0pt;margin-left:-24.9pt;margin-top:92.05pt;height:121.95pt;width:121.95pt;z-index:-251655168;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on="t" focussize="0,0"/>
            <v:stroke on="f" weight="1pt" joinstyle="miter"/>
            <v:imagedata o:title=""/>
            <o:lock v:ext="edit"/>
            <v:textbox>
              <w:txbxContent>
                <w:p>
                  <w:pPr>
                    <w:jc w:val="center"/>
                  </w:pPr>
                </w:p>
              </w:txbxContent>
            </v:textbox>
          </v:shape>
        </w:pict>
      </w:r>
      <w:r>
        <w:rPr>
          <w:rFonts w:hint="eastAsia" w:ascii="黑体" w:hAnsi="Times New Roman" w:eastAsia="黑体" w:cs="Times New Roman"/>
          <w:color w:val="FFC000"/>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highlight w:val="yellow"/>
        </w:rPr>
        <w:t>馆陶县</w:t>
      </w:r>
      <w:r>
        <w:rPr>
          <w:rFonts w:hint="eastAsia" w:ascii="楷体_GB2312" w:hAnsi="楷体_GB2312" w:eastAsia="楷体_GB2312" w:cs="楷体_GB2312"/>
          <w:color w:val="000000" w:themeColor="text1"/>
          <w:kern w:val="0"/>
          <w:sz w:val="44"/>
          <w:szCs w:val="44"/>
          <w:highlight w:val="yellow"/>
          <w:lang w:val="en-US" w:eastAsia="zh-CN"/>
        </w:rPr>
        <w:t>自然</w:t>
      </w:r>
      <w:r>
        <w:rPr>
          <w:rFonts w:hint="eastAsia" w:ascii="楷体_GB2312" w:hAnsi="楷体_GB2312" w:eastAsia="楷体_GB2312" w:cs="楷体_GB2312"/>
          <w:color w:val="000000" w:themeColor="text1"/>
          <w:kern w:val="0"/>
          <w:sz w:val="44"/>
          <w:szCs w:val="44"/>
          <w:highlight w:val="yellow"/>
        </w:rPr>
        <w:t>资源和规划局</w:t>
      </w:r>
    </w:p>
    <w:p>
      <w:pPr>
        <w:snapToGrid w:val="0"/>
        <w:jc w:val="center"/>
        <w:rPr>
          <w:rFonts w:ascii="楷体_GB2312" w:hAnsi="楷体_GB2312" w:eastAsia="楷体_GB2312" w:cs="楷体_GB2312"/>
          <w:color w:val="000000" w:themeColor="text1"/>
          <w:kern w:val="0"/>
          <w:sz w:val="44"/>
          <w:szCs w:val="44"/>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二〇二〇年七月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33" o:spid="_x0000_s1033" o:spt="202" type="#_x0000_t202" style="position:absolute;left:0pt;margin-left:-85.7pt;margin-top:80.7pt;height:263.1pt;width:613.65pt;z-index:-251649024;v-text-anchor:middle;mso-width-relative:page;mso-height-relative:page;" fillcolor="#FFD966" filled="t" stroked="t" coordsize="21600,21600" o:gfxdata="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1Xrb2gAAAA0BAAAPAAAAAAAAAAEAIAAAACIAAABkcnMvZG93bnJl&#10;di54bWxQSwECFAAUAAAACACHTuJAbIoM920CAADfBAAADgAAAAAAAAABACAAAAApAQAAZHJzL2Uy&#10;b0RvYy54bWxQSwUGAAAAAAYABgBZAQAACAYAAAAA&#10;">
            <v:path/>
            <v:fill type="pattern" on="t" color2="#FFFFFF" o:title="image1" focussize="0,0" r:id="rId27"/>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根据《馆陶县人民政府办公室关于县国土资源局职能配置、内设机构和人员编制方案》规定，馆陶县国土资源局的主要职责是：1.承担保护和合理利用全县土地资源、地下水等自然资源的责任。组织拟订国土资源发展规划，参与宏观经济运行、城乡统筹等的研究，拟订国土资源的调控政策和措施。编制并组织实施国土规划，负责制定实施国土资源领域资源节约、集约利用和循环经济的政策措施。2.承担全县国土资源管理秩序的责任。贯彻执行国土资源法律法规、起草土地资源、地下水、测绘管理等规章制度。3.承担优化配置全县国土资源的责任。4.负责规范全县国土资源权属管理。5.承担全县耕地保护的责任。6.承担提供全县土地利用各种数据的责任，组织实施地籍管理办法。7.承担节约集约利用全县土地资源的责任，拟订土地开发利用办法，组织实施管理城乡建设用地供应、土地储备、土地开发和节约集约利用。8.承担规范全县国土资源市场秩序的责任。监测土地市场和建设用地利用情况、监管地价，规范和监督与国土资源相关中介组织，依法查处违法行为。9.承担全县地质环境保护责任。10.依法征收资源收益、规范、监督资金使用。11.负责测绘工作统一监督管理。12.组织制定全县国土资源科技发展和人才培养规划、计划，推进国土资源信息化和信息资料的公共服务。开展对外合作与交流。13.林业绿化提升、占地补偿等各项工作。14.承办县委、县政府交办的其它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馆陶县</w:t>
            </w:r>
            <w:r>
              <w:rPr>
                <w:rFonts w:hint="eastAsia" w:ascii="仿宋_GB2312" w:hAnsi="Calibri" w:eastAsia="仿宋_GB2312" w:cs="ArialUnicodeMS"/>
                <w:kern w:val="0"/>
                <w:sz w:val="28"/>
                <w:szCs w:val="28"/>
                <w:lang w:eastAsia="zh-CN"/>
              </w:rPr>
              <w:t>自然</w:t>
            </w:r>
            <w:r>
              <w:rPr>
                <w:rFonts w:hint="eastAsia" w:ascii="仿宋_GB2312" w:hAnsi="Calibri" w:eastAsia="仿宋_GB2312" w:cs="ArialUnicodeMS"/>
                <w:kern w:val="0"/>
                <w:sz w:val="28"/>
                <w:szCs w:val="28"/>
              </w:rPr>
              <w:t>资源和规划局(本级)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rPr>
                <w:rFonts w:ascii="仿宋_GB2312" w:hAnsi="Calibri" w:eastAsia="仿宋_GB2312" w:cs="ArialUnicodeMS"/>
                <w:kern w:val="0"/>
                <w:sz w:val="28"/>
                <w:szCs w:val="28"/>
              </w:rPr>
            </w:pP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32" o:spid="_x0000_s1032" o:spt="202" type="#_x0000_t202" style="position:absolute;left:0pt;margin-left:-85.7pt;margin-top:238.15pt;height:173.25pt;width:613.65pt;z-index:-2516480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1" o:spid="_x0000_s1031" o:spt="202" type="#_x0000_t202" style="position:absolute;left:0pt;margin-left:-90.8pt;margin-top:4.35pt;height:263.1pt;width:613.65pt;z-index:-251646976;v-text-anchor:middle;mso-width-relative:page;mso-height-relative:page;" fillcolor="#FFD966" filled="t" stroked="t" coordsize="21600,21600" o:gfxdata="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Ew63AAAAAsBAAAPAAAAAAAAAAEAIAAAACIAAABkcnMvZG93bnJldi54bWxQSwECFAAUAAAA&#10;CACHTuJArxU8kFwCAAC6BAAADgAAAAAAAAABACAAAAArAQAAZHJzL2Uyb0RvYy54bWxQSwUGAAAA&#10;AAYABgBZAQAA+QUAAAAA&#10;">
            <v:path/>
            <v:fill type="pattern" on="t" color2="#FFFFFF"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本部门2019年度收支总计（含结转和结余）14390.24万元。与2018年度决算相比，收支各增加1109.3万元，增长9%，主要原因是规划局和林业局单位合并，业务增多，收支增加。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本部门2019年度本年收入合计13551.42万元，其中：一般公共预算财政拨款收入5347.47万元，政府性基金预算财政拨款收入8203.95万元。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本部门2019年度本年支出合计14143.3万元，其中：基本支出社会保障和就业支出205.11万元，</w:t>
      </w:r>
      <w:r>
        <w:rPr>
          <w:rFonts w:hint="eastAsia" w:ascii="仿宋_GB2312" w:hAnsi="Times New Roman" w:eastAsia="仿宋_GB2312" w:cs="DengXian-Regular"/>
          <w:color w:val="000000" w:themeColor="text1"/>
          <w:sz w:val="32"/>
          <w:szCs w:val="32"/>
        </w:rPr>
        <w:t>占2%；卫生健康支出19.387万元，项目支出13918.81</w:t>
      </w:r>
      <w:r>
        <w:rPr>
          <w:rFonts w:hint="eastAsia" w:ascii="仿宋_GB2312" w:hAnsi="Times New Roman" w:eastAsia="仿宋_GB2312" w:cs="DengXian-Regular"/>
          <w:color w:val="000000" w:themeColor="text1"/>
          <w:sz w:val="32"/>
          <w:szCs w:val="32"/>
          <w:lang w:eastAsia="zh-CN"/>
        </w:rPr>
        <w:t>万元，</w:t>
      </w:r>
      <w:r>
        <w:rPr>
          <w:rFonts w:hint="eastAsia" w:ascii="仿宋_GB2312" w:hAnsi="Times New Roman" w:eastAsia="仿宋_GB2312" w:cs="DengXian-Regular"/>
          <w:color w:val="000000" w:themeColor="text1"/>
          <w:sz w:val="32"/>
          <w:szCs w:val="32"/>
        </w:rPr>
        <w:t>占98%。</w:t>
      </w:r>
      <w:r>
        <w:rPr>
          <w:sz w:val="32"/>
        </w:rPr>
        <w:pict>
          <v:shape id="_x0000_s1030" o:spid="_x0000_s1030" o:spt="202" type="#_x0000_t202" style="position:absolute;left:0pt;margin-left:74.45pt;margin-top:18.55pt;height:38.05pt;width:260.95pt;z-index:-251643904;mso-width-relative:page;mso-height-relative:page;" stroked="f" coordsize="21600,21600" o:gfxdata="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kNBi1QAAAAoBAAAPAAAAAAAAAAEAIAAAACIA&#10;AABkcnMvZG93bnJldi54bWxQSwECFAAUAAAACACHTuJAT4FuD0UCAABdBAAADgAAAAAAAAABACAA&#10;AAAkAQAAZHJzL2Uyb0RvYy54bWxQSwUGAAAAAAYABgBZAQAA2wUAAAAA&#10;">
            <v:path/>
            <v:fill focussize="0,0"/>
            <v:stroke on="f" weight="0.5pt" joinstyle="miter"/>
            <v:imagedata o:title=""/>
            <o:lock v:ext="edit"/>
            <v:textbox>
              <w:txbxContent>
                <w:p>
                  <w:pPr>
                    <w:spacing w:after="160" w:line="480" w:lineRule="auto"/>
                    <w:rPr>
                      <w:rFonts w:ascii="Times New Roman" w:hAnsi="Times New Roman" w:eastAsia="宋体" w:cs="Times New Roman"/>
                      <w:sz w:val="20"/>
                    </w:rPr>
                  </w:pPr>
                </w:p>
              </w:txbxContent>
            </v:textbox>
          </v:shape>
        </w:pic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本部门2019年度财政拨款本年收入13551.42万元,比2018年度增加270.46万元，增长1%，主要是单位合并业务增加；本年支出14143.3万元，增加8856.73万元，增长62%，主要是单位合并业务增加。具体情况如下：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一般公共预算财政拨款本年收入5347.47万元，比上年增加5902.56万元；主要是单位合并业务增加，资金增加；本年支出5507.12万元，比上年增加1757.65万元，增长31%，主要是单位合并业务增加，资金增加。</w:t>
      </w:r>
    </w:p>
    <w:p>
      <w:pPr>
        <w:numPr>
          <w:ilvl w:val="0"/>
          <w:numId w:val="1"/>
        </w:num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政府性基金预算财政拨款本年收入8203.95万元，比上年增加6173.08万元，增长75%，主要原因是主要是单位合并业务增加，资金增加；本年支出8636.18万元，比上年增加7099.08万元，增长82%，主要是</w:t>
      </w:r>
      <w:bookmarkStart w:id="0" w:name="_GoBack"/>
      <w:bookmarkEnd w:id="0"/>
      <w:r>
        <w:rPr>
          <w:rFonts w:hint="eastAsia" w:ascii="仿宋_GB2312" w:hAnsi="Times New Roman" w:eastAsia="仿宋_GB2312" w:cs="DengXian-Regular"/>
          <w:sz w:val="32"/>
          <w:szCs w:val="32"/>
        </w:rPr>
        <w:t>单位合并业务增加，资金增加。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13551.42万元，完成年初预算的增加268%,比年初预算增加8495.41万元，决算数大于预算数主要原因是单位合并业务增加，资金增多；本年支出14143.3万元，完成年初预算的270%,比年初预算增加9087.29万元，决算数大于预算数主要原因是主要是追加了项目，林业占补比较多。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270%，比年初预算增加3367.46万元，主要是单位合并，业务增加，增加项目，资金增加；支出完成年初预算278%，比年初预算增加3527.11万元，主要是单位合并，业务增加，增加项目，资金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政府性基金预算财政拨款本年收入完成年初预算266%，比年初预算增加5127.95万元，主要是单位合并，业务增加，增加项目，资金增加；支出完成年初预算280%，比年初预算增加5560.18万元，主要是单位合并，业务增加，增加项目，资金增加。</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2019 年度财政拨款支出14143.3万元，主要用于以下方面基本支出2253.81万元，占15.4%，；项目支出11889.49万元，占84.6%。</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2253.81万元，其中：人员经费1978.26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275.54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仿宋_GB2312" w:hAnsi="Times New Roman" w:eastAsia="仿宋_GB2312" w:cs="DengXian-Regular"/>
          <w:sz w:val="32"/>
          <w:szCs w:val="32"/>
          <w:highlight w:val="yellow"/>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color w:val="000000" w:themeColor="text1"/>
          <w:sz w:val="32"/>
          <w:szCs w:val="32"/>
        </w:rPr>
      </w:pPr>
      <w:r>
        <w:rPr>
          <w:rFonts w:hint="eastAsia" w:ascii="仿宋_GB2312" w:hAnsi="Times New Roman" w:eastAsia="仿宋_GB2312" w:cs="DengXian-Regular"/>
          <w:sz w:val="32"/>
          <w:szCs w:val="32"/>
        </w:rPr>
        <w:t>本部门2019年度“三公”经费支出共计0.35424万元，完</w:t>
      </w:r>
      <w:r>
        <w:rPr>
          <w:rFonts w:hint="eastAsia" w:ascii="仿宋_GB2312" w:hAnsi="Times New Roman" w:eastAsia="仿宋_GB2312" w:cs="DengXian-Regular"/>
          <w:color w:val="000000" w:themeColor="text1"/>
          <w:sz w:val="32"/>
          <w:szCs w:val="32"/>
        </w:rPr>
        <w:t>成预算的39%,较预算减少0.54576万元，降低39%，主要是车辆保险2020年支出；较2018年度增加0.2万元，增长（降低）12%，主要是2019年车辆保险增加。具体情况如下：</w:t>
      </w:r>
    </w:p>
    <w:p>
      <w:pPr>
        <w:adjustRightInd w:val="0"/>
        <w:snapToGrid w:val="0"/>
        <w:spacing w:line="580" w:lineRule="exact"/>
        <w:ind w:firstLine="643" w:firstLineChars="200"/>
        <w:rPr>
          <w:rFonts w:hint="eastAsia" w:ascii="楷体_GB2312" w:hAnsi="Times New Roman" w:eastAsia="楷体_GB2312" w:cs="DengXian-Bold"/>
          <w:b/>
          <w:bCs/>
          <w:color w:val="000000" w:themeColor="text1"/>
          <w:sz w:val="32"/>
          <w:szCs w:val="32"/>
        </w:rPr>
      </w:pPr>
      <w:r>
        <w:rPr>
          <w:rFonts w:hint="eastAsia" w:ascii="楷体_GB2312" w:hAnsi="Times New Roman" w:eastAsia="楷体_GB2312" w:cs="DengXian-Bold"/>
          <w:b/>
          <w:bCs/>
          <w:color w:val="000000" w:themeColor="text1"/>
          <w:sz w:val="32"/>
          <w:szCs w:val="32"/>
        </w:rPr>
        <w:t>（一）</w:t>
      </w:r>
      <w:r>
        <w:rPr>
          <w:rFonts w:hint="eastAsia" w:ascii="楷体_GB2312" w:eastAsia="楷体_GB2312" w:cs="DengXian-Bold"/>
          <w:b/>
          <w:bCs/>
          <w:sz w:val="32"/>
          <w:szCs w:val="32"/>
        </w:rPr>
        <w:t>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hint="eastAsia" w:ascii="仿宋_GB2312" w:hAnsi="Times New Roman" w:eastAsia="仿宋_GB2312" w:cs="DengXian-Regular"/>
          <w:color w:val="000000" w:themeColor="text1"/>
          <w:sz w:val="32"/>
          <w:szCs w:val="32"/>
        </w:rPr>
      </w:pPr>
      <w:r>
        <w:rPr>
          <w:rFonts w:hint="eastAsia" w:ascii="楷体_GB2312" w:hAnsi="Times New Roman" w:eastAsia="楷体_GB2312" w:cs="DengXian-Bold"/>
          <w:b/>
          <w:bCs/>
          <w:color w:val="000000" w:themeColor="text1"/>
          <w:sz w:val="32"/>
          <w:szCs w:val="32"/>
          <w:lang w:eastAsia="zh-CN"/>
        </w:rPr>
        <w:t>（二）</w:t>
      </w:r>
      <w:r>
        <w:rPr>
          <w:rFonts w:hint="eastAsia" w:ascii="楷体_GB2312" w:hAnsi="Times New Roman" w:eastAsia="楷体_GB2312" w:cs="DengXian-Bold"/>
          <w:b/>
          <w:bCs/>
          <w:color w:val="000000" w:themeColor="text1"/>
          <w:sz w:val="32"/>
          <w:szCs w:val="32"/>
        </w:rPr>
        <w:t>公务用车运行维护费支出0.35424万元。</w:t>
      </w:r>
      <w:r>
        <w:rPr>
          <w:rFonts w:hint="eastAsia" w:ascii="仿宋_GB2312" w:hAnsi="Times New Roman" w:eastAsia="仿宋_GB2312" w:cs="DengXian-Regular"/>
          <w:color w:val="000000" w:themeColor="text1"/>
          <w:sz w:val="32"/>
          <w:szCs w:val="32"/>
        </w:rPr>
        <w:t>本部门2019年度公务用车购置及运行维护费较预算减少0.54576万元，降低39%,主要是2019年车辆保险增加，2020年支付。较上年减少0.2万元，降低12%,主要是2019年车辆保险增加。</w:t>
      </w:r>
    </w:p>
    <w:p>
      <w:pPr>
        <w:pageBreakBefore w:val="0"/>
        <w:widowControl w:val="0"/>
        <w:numPr>
          <w:ilvl w:val="0"/>
          <w:numId w:val="3"/>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color w:val="000000" w:themeColor="text1"/>
          <w:sz w:val="32"/>
          <w:szCs w:val="32"/>
          <w:lang w:eastAsia="zh-CN"/>
        </w:rPr>
      </w:pPr>
      <w:r>
        <w:rPr>
          <w:rFonts w:hint="eastAsia" w:ascii="楷体_GB2312" w:hAnsi="Times New Roman" w:eastAsia="楷体_GB2312" w:cs="DengXian-Bold"/>
          <w:b/>
          <w:bCs/>
          <w:sz w:val="32"/>
          <w:szCs w:val="32"/>
        </w:rPr>
        <w:t>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2019年公务接待费为0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65个，二级项目0个，共涉及资金1188221750.72元，占一般公共预算项目支出总额的93.4%。组织对2019年度馆陶县城新区城市设计和控制性详细规划项目等25个政府性基金预算项目支出开展绩效自评，共涉及资金39669972.02元，占政府性基金预算项目支出总额的73.2%。组织对“自主开发项目”等21个项目开展了部门评价，涉及一般公共预算支出14385885元，政府性基金预算支出14276587.8万元。</w:t>
      </w:r>
    </w:p>
    <w:p>
      <w:pPr>
        <w:keepNext/>
        <w:keepLines/>
        <w:snapToGrid w:val="0"/>
        <w:spacing w:line="580" w:lineRule="exact"/>
        <w:ind w:firstLine="640" w:firstLineChars="200"/>
        <w:outlineLvl w:val="1"/>
        <w:rPr>
          <w:rFonts w:ascii="黑体" w:hAnsi="Calibri" w:eastAsia="黑体" w:cs="Times New Roman"/>
          <w:color w:val="000000" w:themeColor="text1"/>
          <w:sz w:val="32"/>
          <w:szCs w:val="32"/>
        </w:rPr>
      </w:pPr>
      <w:r>
        <w:rPr>
          <w:rFonts w:hint="eastAsia" w:ascii="黑体" w:hAnsi="Calibri" w:eastAsia="黑体" w:cs="Times New Roman"/>
          <w:color w:val="000000" w:themeColor="text1"/>
          <w:sz w:val="32"/>
          <w:szCs w:val="32"/>
        </w:rPr>
        <w:t>七、其他重要事项的说明</w:t>
      </w:r>
    </w:p>
    <w:p>
      <w:pPr>
        <w:keepNext/>
        <w:keepLines/>
        <w:snapToGrid w:val="0"/>
        <w:spacing w:line="580" w:lineRule="exact"/>
        <w:ind w:firstLine="640" w:firstLineChars="200"/>
        <w:outlineLvl w:val="2"/>
        <w:rPr>
          <w:rFonts w:ascii="楷体_GB2312" w:hAnsi="Times New Roman" w:eastAsia="楷体_GB2312" w:cs="DengXian-Bold"/>
          <w:color w:val="000000" w:themeColor="text1"/>
          <w:sz w:val="32"/>
          <w:szCs w:val="32"/>
        </w:rPr>
      </w:pPr>
      <w:r>
        <w:rPr>
          <w:rFonts w:hint="eastAsia" w:ascii="楷体_GB2312" w:hAnsi="Times New Roman" w:eastAsia="楷体_GB2312" w:cs="DengXian-Bold"/>
          <w:color w:val="000000" w:themeColor="text1"/>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color w:val="FF0000"/>
          <w:sz w:val="32"/>
          <w:szCs w:val="32"/>
        </w:rPr>
      </w:pPr>
      <w:r>
        <w:rPr>
          <w:rFonts w:hint="eastAsia" w:ascii="仿宋_GB2312" w:hAnsi="Times New Roman" w:eastAsia="仿宋_GB2312" w:cs="DengXian-Regular"/>
          <w:color w:val="000000" w:themeColor="text1"/>
          <w:sz w:val="32"/>
          <w:szCs w:val="32"/>
        </w:rPr>
        <w:t>本部门2019年度机关运行经费支出89.98万元，比2018年度减少83.99万元，减少48.28%。主要原因是我单位按照规定，压减公用经费</w:t>
      </w:r>
      <w:r>
        <w:rPr>
          <w:rFonts w:hint="eastAsia" w:ascii="仿宋_GB2312" w:hAnsi="Times New Roman" w:eastAsia="仿宋_GB2312" w:cs="DengXian-Regular"/>
          <w:color w:val="FF000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本部门2019年度政府采购支出总额18478310.02元，从采购类型来看，</w:t>
      </w:r>
      <w:r>
        <w:rPr>
          <w:rFonts w:ascii="仿宋_GB2312" w:hAnsi="仿宋_GB2312" w:eastAsia="仿宋_GB2312" w:cs="仿宋_GB2312"/>
          <w:color w:val="000000"/>
          <w:kern w:val="0"/>
          <w:sz w:val="32"/>
          <w:szCs w:val="32"/>
        </w:rPr>
        <w:t>政府采购</w:t>
      </w:r>
      <w:r>
        <w:rPr>
          <w:rFonts w:hint="eastAsia" w:ascii="仿宋_GB2312" w:hAnsi="仿宋_GB2312" w:eastAsia="仿宋_GB2312" w:cs="仿宋_GB2312"/>
          <w:color w:val="000000"/>
          <w:kern w:val="0"/>
          <w:sz w:val="32"/>
          <w:szCs w:val="32"/>
        </w:rPr>
        <w:t>资产416171</w:t>
      </w:r>
      <w:r>
        <w:rPr>
          <w:rFonts w:ascii="仿宋_GB2312" w:hAnsi="仿宋_GB2312" w:eastAsia="仿宋_GB2312" w:cs="仿宋_GB2312"/>
          <w:color w:val="000000"/>
          <w:kern w:val="0"/>
          <w:sz w:val="32"/>
          <w:szCs w:val="32"/>
        </w:rPr>
        <w:t>元、政府采购工程支出</w:t>
      </w:r>
      <w:r>
        <w:rPr>
          <w:rFonts w:hint="eastAsia" w:ascii="仿宋_GB2312" w:hAnsi="仿宋_GB2312" w:eastAsia="仿宋_GB2312" w:cs="仿宋_GB2312"/>
          <w:color w:val="000000"/>
          <w:kern w:val="0"/>
          <w:sz w:val="32"/>
          <w:szCs w:val="32"/>
        </w:rPr>
        <w:t>18062139.02</w:t>
      </w:r>
      <w:r>
        <w:rPr>
          <w:rFonts w:ascii="仿宋_GB2312" w:hAnsi="仿宋_GB2312" w:eastAsia="仿宋_GB2312" w:cs="仿宋_GB2312"/>
          <w:color w:val="000000"/>
          <w:kern w:val="0"/>
          <w:sz w:val="32"/>
          <w:szCs w:val="32"/>
        </w:rPr>
        <w:t>元</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3辆，其中，副部（省）级及以上领导用车0辆，主要领导干部用车0辆，机要通信用车0辆，应急保障用车0辆，执法执勤用车3辆，特种专业技术用车0辆，离退休干部用车0辆，其他用车0辆，其他用车主要是执法用车；</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万元以上通用设备0台（套），比上年无增减，单位价值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w:t>
      </w:r>
      <w:r>
        <w:rPr>
          <w:rFonts w:hint="eastAsia" w:ascii="仿宋_GB2312" w:hAnsi="Times New Roman" w:eastAsia="仿宋_GB2312" w:cs="DengXian-Regular"/>
          <w:color w:val="000000" w:themeColor="text1"/>
          <w:sz w:val="32"/>
          <w:szCs w:val="32"/>
        </w:rPr>
        <w:t>备0台（套）</w:t>
      </w:r>
      <w:r>
        <w:rPr>
          <w:rFonts w:hint="eastAsia" w:ascii="仿宋_GB2312" w:hAnsi="Times New Roman" w:eastAsia="仿宋_GB2312" w:cs="DengXian-Regular"/>
          <w:sz w:val="32"/>
          <w:szCs w:val="32"/>
        </w:rPr>
        <w:t>比上年增加0套，主要是没有增加。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宋体" w:hAnsi="宋体" w:eastAsia="宋体" w:cs="MS-UIGothic,Bold"/>
          <w:b/>
          <w:bCs/>
          <w:kern w:val="0"/>
          <w:sz w:val="44"/>
          <w:szCs w:val="44"/>
        </w:rPr>
      </w:pPr>
      <w:r>
        <w:rPr>
          <w:rFonts w:hint="eastAsia" w:ascii="仿宋_GB2312" w:hAnsi="Times New Roman" w:eastAsia="仿宋_GB2312" w:cs="DengXian-Regular"/>
          <w:sz w:val="32"/>
          <w:szCs w:val="32"/>
        </w:rPr>
        <w:t>1.由于决算公开表格中金额数值应当保留两位小数，公开数据为四舍五入计算结果，个别数据合计项与分项之和存在小数点后差额，特此说明。</w:t>
      </w:r>
    </w:p>
    <w:p>
      <w:pPr>
        <w:widowControl/>
        <w:ind w:firstLine="640" w:firstLineChars="200"/>
        <w:jc w:val="left"/>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本部</w:t>
      </w:r>
      <w:r>
        <w:rPr>
          <w:rFonts w:ascii="仿宋" w:hAnsi="仿宋" w:eastAsia="仿宋" w:cs="仿宋"/>
          <w:color w:val="000000"/>
          <w:kern w:val="0"/>
          <w:sz w:val="31"/>
          <w:szCs w:val="31"/>
        </w:rPr>
        <w:t>门 2019 年度</w:t>
      </w:r>
      <w:r>
        <w:rPr>
          <w:rFonts w:hint="eastAsia" w:ascii="仿宋" w:hAnsi="仿宋" w:eastAsia="仿宋" w:cs="仿宋"/>
          <w:color w:val="000000"/>
          <w:kern w:val="0"/>
          <w:sz w:val="31"/>
          <w:szCs w:val="31"/>
          <w:lang w:eastAsia="zh-CN"/>
        </w:rPr>
        <w:t>无</w:t>
      </w:r>
      <w:r>
        <w:rPr>
          <w:rFonts w:ascii="仿宋" w:hAnsi="仿宋" w:eastAsia="仿宋" w:cs="仿宋"/>
          <w:color w:val="000000"/>
          <w:kern w:val="0"/>
          <w:sz w:val="31"/>
          <w:szCs w:val="31"/>
        </w:rPr>
        <w:t>国有资本经</w:t>
      </w:r>
      <w:r>
        <w:rPr>
          <w:rFonts w:hint="eastAsia" w:ascii="仿宋" w:hAnsi="仿宋" w:eastAsia="仿宋" w:cs="仿宋"/>
          <w:color w:val="000000"/>
          <w:kern w:val="0"/>
          <w:sz w:val="31"/>
          <w:szCs w:val="31"/>
        </w:rPr>
        <w:t>营预算</w:t>
      </w:r>
      <w:r>
        <w:rPr>
          <w:rFonts w:hint="eastAsia" w:ascii="仿宋" w:hAnsi="仿宋" w:eastAsia="仿宋" w:cs="仿宋"/>
          <w:color w:val="000000"/>
          <w:kern w:val="0"/>
          <w:sz w:val="31"/>
          <w:szCs w:val="31"/>
          <w:lang w:eastAsia="zh-CN"/>
        </w:rPr>
        <w:t>，</w:t>
      </w:r>
      <w:r>
        <w:rPr>
          <w:rFonts w:hint="eastAsia" w:ascii="仿宋" w:hAnsi="仿宋" w:eastAsia="仿宋" w:cs="仿宋"/>
          <w:color w:val="000000"/>
          <w:kern w:val="0"/>
          <w:sz w:val="31"/>
          <w:szCs w:val="31"/>
        </w:rPr>
        <w:t xml:space="preserve">故国有资本经营预算财政拨款支出决算表以空表列示。 </w:t>
      </w:r>
    </w:p>
    <w:p>
      <w:pPr>
        <w:widowControl/>
        <w:spacing w:line="580" w:lineRule="exact"/>
        <w:ind w:firstLine="883" w:firstLineChars="200"/>
        <w:jc w:val="left"/>
        <w:rPr>
          <w:rFonts w:hint="eastAsia" w:ascii="宋体" w:hAnsi="宋体" w:eastAsia="宋体" w:cs="MS-UIGothic,Bold"/>
          <w:b/>
          <w:bCs/>
          <w:kern w:val="0"/>
          <w:sz w:val="44"/>
          <w:szCs w:val="44"/>
          <w:lang w:val="en-US" w:eastAsia="zh-CN"/>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45952;v-text-anchor:middle;mso-width-relative:page;mso-height-relative:page;" fillcolor="#FFD966" filled="t" stroked="t" coordsize="21600,21600" o:gfxdata="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GAk0LcAAAADAEAAA8AAAAAAAAAAQAgAAAAIgAAAGRycy9kb3ducmV2LnhtbFBLAQIUABQAAAAI&#10;AIdO4kBkP1u/WwIAALoEAAAOAAAAAAAAAAEAIAAAACsBAABkcnMvZTJvRG9jLnhtbFBLBQYAAAAA&#10;BgAGAFkBAAD4BQAAAAA=&#10;">
            <v:path/>
            <v:fill type="pattern" on="t" color2="#FFFFFF" o:title="image1" focussize="0,0" r:id="rId27"/>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CFN0AAAANAQAADwAAAAAAAAABACAAAAAiAAAAZHJzL2Rvd25yZXYueG1sUEsBAhQAFAAA&#10;AAgAh07iQHsOYltcAgAAugQAAA4AAAAAAAAAAQAgAAAALAEAAGRycy9lMm9Eb2MueG1sUEsFBgAA&#10;AAAGAAYAWQEAAPoFAAAAAA==&#10;">
            <v:path/>
            <v:fill type="pattern" on="t" color2="#FFFFFF"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6"/>
        <w:tblpPr w:leftFromText="180" w:rightFromText="180" w:vertAnchor="text" w:horzAnchor="page" w:tblpX="1194" w:tblpY="181"/>
        <w:tblOverlap w:val="never"/>
        <w:tblW w:w="9517" w:type="dxa"/>
        <w:jc w:val="center"/>
        <w:tblLayout w:type="fixed"/>
        <w:tblCellMar>
          <w:top w:w="0" w:type="dxa"/>
          <w:left w:w="0" w:type="dxa"/>
          <w:bottom w:w="0" w:type="dxa"/>
          <w:right w:w="0" w:type="dxa"/>
        </w:tblCellMar>
      </w:tblPr>
      <w:tblGrid>
        <w:gridCol w:w="3236"/>
        <w:gridCol w:w="445"/>
        <w:gridCol w:w="977"/>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4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5347.47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8203.95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8970.31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777.13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13551.42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14143.3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838.81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246.94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14390.24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14390.24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tabs>
          <w:tab w:val="left" w:pos="886"/>
        </w:tabs>
        <w:jc w:val="left"/>
      </w:pPr>
    </w:p>
    <w:p>
      <w:pPr>
        <w:jc w:val="left"/>
      </w:pPr>
    </w:p>
    <w:tbl>
      <w:tblPr>
        <w:tblStyle w:val="6"/>
        <w:tblW w:w="10260" w:type="dxa"/>
        <w:jc w:val="center"/>
        <w:tblLayout w:type="fixed"/>
        <w:tblCellMar>
          <w:top w:w="0" w:type="dxa"/>
          <w:left w:w="0" w:type="dxa"/>
          <w:bottom w:w="0" w:type="dxa"/>
          <w:right w:w="0" w:type="dxa"/>
        </w:tblCellMar>
      </w:tblPr>
      <w:tblGrid>
        <w:gridCol w:w="676"/>
        <w:gridCol w:w="50"/>
        <w:gridCol w:w="286"/>
        <w:gridCol w:w="3178"/>
        <w:gridCol w:w="1217"/>
        <w:gridCol w:w="1462"/>
        <w:gridCol w:w="561"/>
        <w:gridCol w:w="674"/>
        <w:gridCol w:w="1068"/>
        <w:gridCol w:w="580"/>
        <w:gridCol w:w="508"/>
      </w:tblGrid>
      <w:tr>
        <w:tblPrEx>
          <w:tblCellMar>
            <w:top w:w="0" w:type="dxa"/>
            <w:left w:w="0" w:type="dxa"/>
            <w:bottom w:w="0" w:type="dxa"/>
            <w:right w:w="0" w:type="dxa"/>
          </w:tblCellMar>
        </w:tblPrEx>
        <w:trPr>
          <w:trHeight w:val="670" w:hRule="atLeast"/>
          <w:jc w:val="center"/>
        </w:trPr>
        <w:tc>
          <w:tcPr>
            <w:tcW w:w="1026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6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67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12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5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4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5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5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01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01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1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19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13551.42</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13551.42</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机关事业单位基本养老保险缴费支出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205.11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19.38</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19.38</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19.38</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19.38</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行政单位医疗</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3.27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事业单位医疗</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16.11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16.11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8529.08</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8529.08</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城乡社区规划与管理</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276.74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276.74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2120201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城乡社区规划与管理</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276.74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276.74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城乡社区环境卫生</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48.39</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48.39</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2120501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城乡社区环境卫生</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48.39</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48.39</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国有土地使用权出让收入及对应专项债务收入安全的支出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8203.95</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ind w:firstLine="660" w:firstLineChars="300"/>
              <w:jc w:val="right"/>
              <w:rPr>
                <w:rFonts w:ascii="宋体" w:hAnsi="宋体" w:eastAsia="宋体" w:cs="宋体"/>
                <w:color w:val="000000"/>
                <w:sz w:val="22"/>
              </w:rPr>
            </w:pPr>
            <w:r>
              <w:rPr>
                <w:rFonts w:hint="eastAsia" w:ascii="宋体" w:hAnsi="宋体" w:eastAsia="宋体" w:cs="宋体"/>
                <w:color w:val="000000"/>
                <w:sz w:val="22"/>
              </w:rPr>
              <w:t>8203.95</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征地和拆迁补偿支出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r>
              <w:rPr>
                <w:rFonts w:hint="eastAsia" w:ascii="宋体" w:hAnsi="宋体" w:eastAsia="宋体" w:cs="宋体"/>
                <w:color w:val="000000"/>
                <w:sz w:val="22"/>
              </w:rPr>
              <w:t>1322.21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     1322.21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土地开发支出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725.67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    725.67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56"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2120803</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城市建设支出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16.32</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16.32</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2120805</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补助被征地农民支出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1623.48</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1623.27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2120899</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其他国有土地使用权出让收入安排的支出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4516.27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4516.27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731.17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731.17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390</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390</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2130108</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病虫害控制</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农业结构调整补贴</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375</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375</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341.17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341.17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53.96</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53.96</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2130204</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事业机构</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170.71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170.71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2130205</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森林培育</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2130227</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贷款贴息</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16.5</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16.5</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自然资源海洋气象等支出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3977.04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3977.04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自然资源事物</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3977.04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3977.04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118.31</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118.31</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2200110</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国土运行</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88.4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2200112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土地资源储备支出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1680</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1680</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2200150</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事业运行</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1344.97</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1344.97</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2200199</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其他自然资源事物支出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745.36</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745.36</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住房保障支出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住房改革支出</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23" w:hRule="atLeast"/>
          <w:jc w:val="center"/>
        </w:trPr>
        <w:tc>
          <w:tcPr>
            <w:tcW w:w="10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3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住房公积金</w:t>
            </w:r>
          </w:p>
        </w:tc>
        <w:tc>
          <w:tcPr>
            <w:tcW w:w="12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1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89.64</w:t>
            </w:r>
          </w:p>
        </w:tc>
        <w:tc>
          <w:tcPr>
            <w:tcW w:w="5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026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
    <w:p/>
    <w:p/>
    <w:p/>
    <w:p/>
    <w:p/>
    <w:p/>
    <w:tbl>
      <w:tblPr>
        <w:tblStyle w:val="6"/>
        <w:tblW w:w="9680" w:type="dxa"/>
        <w:jc w:val="center"/>
        <w:tblLayout w:type="fixed"/>
        <w:tblCellMar>
          <w:top w:w="0" w:type="dxa"/>
          <w:left w:w="0" w:type="dxa"/>
          <w:bottom w:w="0" w:type="dxa"/>
          <w:right w:w="0" w:type="dxa"/>
        </w:tblCellMar>
      </w:tblPr>
      <w:tblGrid>
        <w:gridCol w:w="941"/>
        <w:gridCol w:w="53"/>
        <w:gridCol w:w="111"/>
        <w:gridCol w:w="2789"/>
        <w:gridCol w:w="1443"/>
        <w:gridCol w:w="1463"/>
        <w:gridCol w:w="1181"/>
        <w:gridCol w:w="656"/>
        <w:gridCol w:w="394"/>
        <w:gridCol w:w="649"/>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4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7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14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4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6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3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64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89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89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14,143.30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2,253.81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11,889.49</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8,970.31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8,699.68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城乡社区规划与管理</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285.74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2120201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城乡社区规划与管理</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285.74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城乡社区环境卫生</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城乡社区环境卫生</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征地和拆迁补偿支出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1,322.21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1,322.21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土地开发支出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725.67</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725.67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2120803</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城市建设支出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补助被征地农民支出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2,164.16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2,164.16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4,402.81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4,402.81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777.13</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206.12</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571.01</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390.00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390.00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2130108</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病虫害控制</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2130121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农业结构调整补贴</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林业和草原</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351.99</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206.12</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145.87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53.96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53.96</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2130204</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事业机构</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170.71</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150.11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森林培育</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110.42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108.77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2130227</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贷款贴息</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2130299</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其他林业和草原支出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0.40</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0.40</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21399</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其他农林水支出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2139999</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其他农林水支出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1,462.92</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2,618.80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1,462.92</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2,618.80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117.96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117.96</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2200105</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土地资源调查</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43.22</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43.22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2200110</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国土整治</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270.57</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270.57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土地资源储备支出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1,679.45</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1,679.45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2200150</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1,344.97</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1,344.97</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其他自然资源事务支出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625.56</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625.56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2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257"/>
        <w:gridCol w:w="507"/>
        <w:gridCol w:w="1050"/>
        <w:gridCol w:w="2156"/>
        <w:gridCol w:w="394"/>
        <w:gridCol w:w="1068"/>
        <w:gridCol w:w="938"/>
        <w:gridCol w:w="1150"/>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2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5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25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1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56"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38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70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2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1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3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2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5,347.47</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8,203.95</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8,970.31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334.13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777.13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777.13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13,551.42</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14,143.30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5,507.12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838.81</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246.94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133.49</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113.45</w:t>
            </w: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293.13</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545.68</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14,390.24</w:t>
            </w:r>
          </w:p>
        </w:tc>
        <w:tc>
          <w:tcPr>
            <w:tcW w:w="2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3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14,390.24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5,640.60</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8,749.63</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392" w:type="dxa"/>
        <w:jc w:val="center"/>
        <w:tblLayout w:type="fixed"/>
        <w:tblCellMar>
          <w:top w:w="0" w:type="dxa"/>
          <w:left w:w="0" w:type="dxa"/>
          <w:bottom w:w="0" w:type="dxa"/>
          <w:right w:w="0" w:type="dxa"/>
        </w:tblCellMar>
      </w:tblPr>
      <w:tblGrid>
        <w:gridCol w:w="999"/>
        <w:gridCol w:w="57"/>
        <w:gridCol w:w="252"/>
        <w:gridCol w:w="3229"/>
        <w:gridCol w:w="1181"/>
        <w:gridCol w:w="1650"/>
        <w:gridCol w:w="2024"/>
      </w:tblGrid>
      <w:tr>
        <w:tblPrEx>
          <w:tblCellMar>
            <w:top w:w="0" w:type="dxa"/>
            <w:left w:w="0" w:type="dxa"/>
            <w:bottom w:w="0" w:type="dxa"/>
            <w:right w:w="0" w:type="dxa"/>
          </w:tblCellMar>
        </w:tblPrEx>
        <w:trPr>
          <w:trHeight w:val="600" w:hRule="atLeast"/>
          <w:jc w:val="center"/>
        </w:trPr>
        <w:tc>
          <w:tcPr>
            <w:tcW w:w="9392"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7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99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11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7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5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8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2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0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5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289" w:hRule="atLeast"/>
          <w:jc w:val="center"/>
        </w:trPr>
        <w:tc>
          <w:tcPr>
            <w:tcW w:w="453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5,507.12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2,253.81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3,253.31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社会保障和就业支出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行政事业单位离退休</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2080505</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机关事业单位基本养老保险缴费支出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205.11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卫生健康支出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行政事业单位医疗</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19.38</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行政单位医疗</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3.27</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2101102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事业单位医疗</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16.11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334.13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63.50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城乡社区规划与管理</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285.74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2120201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城乡社区规划与管理</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285.74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270.63</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15.11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城乡社区环境卫生</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2120501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城乡社区环境卫生</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48.39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农林水支出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777.13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206.12</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571.01</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农业</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390.00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390.00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2130108</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病虫害控制</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2130121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农业结构调整补贴</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375.00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林业和草原</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351.99</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206.12</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145.87</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53.96</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53.96</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2130204</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事业机构</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170.71</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150.11</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20.60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2130205</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森林培育</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110.42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108.77</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2130227</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贷款贴息</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16.50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2130299</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其他林业和草原支出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0.40</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0.40</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21399</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其他农林水支出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2139999</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其他农林水支出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35.14</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自然资源海洋气象等支出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1,462.92</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2,618.80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自然资源事务</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4,081.73</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1,462.92</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2,618.80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117.96</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117.96</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2200105</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土地资源调查</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43.22</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43.22</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2200110</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国土整治</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270.57</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270.57</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2200112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土地资源储备支出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1,679.45</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1,679.45</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2200150</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事业运行</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1,344.97</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1,344.97</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2200199</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其他自然资源事务支出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625.56</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625.56</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住房保障支出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住房改革支出</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2210201</w:t>
            </w:r>
          </w:p>
        </w:tc>
        <w:tc>
          <w:tcPr>
            <w:tcW w:w="3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16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89.64</w:t>
            </w:r>
          </w:p>
        </w:tc>
        <w:tc>
          <w:tcPr>
            <w:tcW w:w="2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color w:val="000000"/>
          <w:kern w:val="0"/>
          <w:sz w:val="22"/>
        </w:rPr>
        <w:t>注：本表反映部门本年一般公共预算财政拨款支出情况。</w:t>
      </w:r>
      <w:r>
        <w:br w:type="page"/>
      </w:r>
    </w:p>
    <w:tbl>
      <w:tblPr>
        <w:tblStyle w:val="6"/>
        <w:tblW w:w="10000" w:type="dxa"/>
        <w:jc w:val="center"/>
        <w:tblLayout w:type="fixed"/>
        <w:tblCellMar>
          <w:top w:w="0" w:type="dxa"/>
          <w:left w:w="0" w:type="dxa"/>
          <w:bottom w:w="0" w:type="dxa"/>
          <w:right w:w="0" w:type="dxa"/>
        </w:tblCellMar>
      </w:tblPr>
      <w:tblGrid>
        <w:gridCol w:w="896"/>
        <w:gridCol w:w="1695"/>
        <w:gridCol w:w="1020"/>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71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1,881.18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242.10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1,062.42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67.45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60.12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33.57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33.44</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320.49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2.38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33.44</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320.36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30.09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18.78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5.71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32.48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89.64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17.10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0.38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97.08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97.08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16.44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20.98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11.20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10.38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5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rPr>
              <w:t>1,978.26</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275.54</w:t>
            </w:r>
          </w:p>
        </w:tc>
      </w:tr>
    </w:tbl>
    <w:p>
      <w:pPr>
        <w:rPr>
          <w:sz w:val="24"/>
          <w:szCs w:val="24"/>
        </w:rPr>
      </w:pPr>
      <w:r>
        <w:rPr>
          <w:rFonts w:hint="eastAsia"/>
        </w:rPr>
        <w:t>注：本表反映部门本年度一般公共预算财政拨款基本支出明细情况。</w:t>
      </w:r>
      <w:r>
        <w:br w:type="page"/>
      </w: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25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3.5424</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3.5424</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3.5424</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3.5424</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10196" w:type="dxa"/>
        <w:jc w:val="center"/>
        <w:tblLayout w:type="fixed"/>
        <w:tblCellMar>
          <w:top w:w="0" w:type="dxa"/>
          <w:left w:w="0" w:type="dxa"/>
          <w:bottom w:w="0" w:type="dxa"/>
          <w:right w:w="0" w:type="dxa"/>
        </w:tblCellMar>
      </w:tblPr>
      <w:tblGrid>
        <w:gridCol w:w="1018"/>
        <w:gridCol w:w="59"/>
        <w:gridCol w:w="59"/>
        <w:gridCol w:w="2555"/>
        <w:gridCol w:w="915"/>
        <w:gridCol w:w="1083"/>
        <w:gridCol w:w="1369"/>
        <w:gridCol w:w="562"/>
        <w:gridCol w:w="1346"/>
        <w:gridCol w:w="1230"/>
      </w:tblGrid>
      <w:tr>
        <w:tblPrEx>
          <w:tblCellMar>
            <w:top w:w="0" w:type="dxa"/>
            <w:left w:w="0" w:type="dxa"/>
            <w:bottom w:w="0" w:type="dxa"/>
            <w:right w:w="0" w:type="dxa"/>
          </w:tblCellMar>
        </w:tblPrEx>
        <w:trPr>
          <w:trHeight w:val="780" w:hRule="atLeast"/>
          <w:jc w:val="center"/>
        </w:trPr>
        <w:tc>
          <w:tcPr>
            <w:tcW w:w="10196"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1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101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 w:val="22"/>
                <w:szCs w:val="22"/>
                <w:lang w:eastAsia="zh-CN"/>
              </w:rPr>
              <w:t>自然</w:t>
            </w:r>
            <w:r>
              <w:rPr>
                <w:rFonts w:hint="eastAsia" w:ascii="仿宋_GB2312" w:hAnsi="Calibri" w:eastAsia="仿宋_GB2312" w:cs="ArialUnicodeMS"/>
                <w:kern w:val="0"/>
                <w:sz w:val="22"/>
                <w:szCs w:val="22"/>
              </w:rPr>
              <w:t>资源和规划局</w:t>
            </w:r>
          </w:p>
        </w:tc>
        <w:tc>
          <w:tcPr>
            <w:tcW w:w="91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6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5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69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69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545.68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8,203.95</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8,636.18</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8,636.18</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rPr>
              <w:t>113.45</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城乡社区支出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545.68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8,203.95</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113.45</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国有土地使用权出让收入及对应专项债务收入安排的支出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545.68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8,203.95</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8,636.18</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113.45</w:t>
            </w: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2120801</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征地和拆迁补偿支出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1,322.21</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1,322.21</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1,322.21</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2120802</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土地开发支出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725.67</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725.67</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725.67</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2120803</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城市建设支出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5.00</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16.32</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21.32</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21.32</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2120805</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补助被征地农民支出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540.68</w:t>
            </w: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1,623.48</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2,164.16</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2,164.16</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2120899</w:t>
            </w:r>
          </w:p>
        </w:tc>
        <w:tc>
          <w:tcPr>
            <w:tcW w:w="2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其他国有土地使用权出让收入安排的支出</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4,516.27</w:t>
            </w:r>
          </w:p>
        </w:tc>
        <w:tc>
          <w:tcPr>
            <w:tcW w:w="1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4,402.81</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3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4,402.81</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113.45</w:t>
            </w:r>
          </w:p>
        </w:tc>
      </w:tr>
    </w:tbl>
    <w:p>
      <w:r>
        <w:t>注：本表反映部门本年度政府性基金预算财政拨款收入、支出及结转和结余情况。</w:t>
      </w:r>
    </w:p>
    <w:tbl>
      <w:tblPr>
        <w:tblStyle w:val="6"/>
        <w:tblW w:w="9915" w:type="dxa"/>
        <w:jc w:val="center"/>
        <w:tblLayout w:type="fixed"/>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仿宋_GB2312" w:hAnsi="Calibri" w:eastAsia="仿宋_GB2312" w:cs="ArialUnicodeMS"/>
                <w:kern w:val="0"/>
                <w:szCs w:val="21"/>
              </w:rPr>
              <w:t>馆陶县</w:t>
            </w:r>
            <w:r>
              <w:rPr>
                <w:rFonts w:hint="eastAsia" w:ascii="仿宋_GB2312" w:hAnsi="Calibri" w:eastAsia="仿宋_GB2312" w:cs="ArialUnicodeMS"/>
                <w:kern w:val="0"/>
                <w:szCs w:val="21"/>
                <w:lang w:val="en-US" w:eastAsia="zh-CN"/>
              </w:rPr>
              <w:t>自然</w:t>
            </w:r>
            <w:r>
              <w:rPr>
                <w:rFonts w:hint="eastAsia" w:ascii="仿宋_GB2312" w:hAnsi="Calibri" w:eastAsia="仿宋_GB2312" w:cs="ArialUnicodeMS"/>
                <w:kern w:val="0"/>
                <w:szCs w:val="21"/>
              </w:rPr>
              <w:t>资源和规划局</w:t>
            </w:r>
          </w:p>
        </w:tc>
        <w:tc>
          <w:tcPr>
            <w:tcW w:w="9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abs>
                <w:tab w:val="left" w:pos="1023"/>
              </w:tabs>
              <w:jc w:val="left"/>
              <w:rPr>
                <w:rFonts w:ascii="宋体" w:hAnsi="宋体" w:eastAsia="宋体" w:cs="宋体"/>
                <w:color w:val="000000"/>
                <w:sz w:val="22"/>
              </w:rPr>
            </w:pPr>
            <w:r>
              <w:rPr>
                <w:rFonts w:hint="eastAsia" w:ascii="宋体" w:hAnsi="宋体" w:eastAsia="宋体" w:cs="宋体"/>
                <w:color w:val="000000"/>
                <w:sz w:val="22"/>
              </w:rPr>
              <w:tab/>
            </w:r>
            <w:r>
              <w:rPr>
                <w:rFonts w:hint="eastAsia" w:ascii="宋体" w:hAnsi="宋体" w:eastAsia="宋体" w:cs="宋体"/>
                <w:color w:val="000000"/>
                <w:sz w:val="22"/>
              </w:rPr>
              <w:t>无</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sz w:val="18"/>
          <w:szCs w:val="20"/>
        </w:rPr>
      </w:pPr>
      <w:r>
        <w:rPr>
          <w:rFonts w:hint="eastAsia"/>
          <w:sz w:val="18"/>
          <w:szCs w:val="20"/>
        </w:rPr>
        <w:t>注：本部门本年度无相关支出情况，按要求以空表列示。</w:t>
      </w:r>
    </w:p>
    <w:p>
      <w:r>
        <w:br w:type="page"/>
      </w:r>
    </w:p>
    <w:p>
      <w:r>
        <w:pict>
          <v:rect id="_x0000_s1027" o:spid="_x0000_s1027" o:spt="1" style="position:absolute;left:0pt;margin-left:-70.5pt;margin-top:-85.25pt;height:841.15pt;width:595.1pt;z-index:-25164492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Yu Gothic UI Semibold">
    <w:panose1 w:val="020B0700000000000000"/>
    <w:charset w:val="80"/>
    <w:family w:val="swiss"/>
    <w:pitch w:val="default"/>
    <w:sig w:usb0="E00002FF" w:usb1="2AC7FDFF" w:usb2="00000016" w:usb3="00000000" w:csb0="2002009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179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- 9 -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281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38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486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793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- 30 -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745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2"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643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872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79"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769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8960;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9984;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5888;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6912;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79744;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0768;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0"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3600;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4624;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_x0000_s2082"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5648;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667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67"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78C1413D"/>
    <w:multiLevelType w:val="singleLevel"/>
    <w:tmpl w:val="78C1413D"/>
    <w:lvl w:ilvl="0" w:tentative="0">
      <w:start w:val="1"/>
      <w:numFmt w:val="decimal"/>
      <w:suff w:val="space"/>
      <w:lvlText w:val="%1."/>
      <w:lvlJc w:val="left"/>
    </w:lvl>
  </w:abstractNum>
  <w:abstractNum w:abstractNumId="2">
    <w:nsid w:val="7D7CB4CE"/>
    <w:multiLevelType w:val="singleLevel"/>
    <w:tmpl w:val="7D7CB4CE"/>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3MzdkNjM4ODgwYzA2ODU2MjM2OTJlMmM0YWU3ZDA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75B81"/>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A1B62"/>
    <w:rsid w:val="00CC0FAA"/>
    <w:rsid w:val="00CD0736"/>
    <w:rsid w:val="00D1570F"/>
    <w:rsid w:val="00D32830"/>
    <w:rsid w:val="00D45D00"/>
    <w:rsid w:val="00DB7153"/>
    <w:rsid w:val="00DB7F05"/>
    <w:rsid w:val="00E028C3"/>
    <w:rsid w:val="00E14F77"/>
    <w:rsid w:val="00E3076B"/>
    <w:rsid w:val="00E36978"/>
    <w:rsid w:val="00E82A1E"/>
    <w:rsid w:val="00EC06F4"/>
    <w:rsid w:val="00EE4E36"/>
    <w:rsid w:val="00F665F4"/>
    <w:rsid w:val="00FD225F"/>
    <w:rsid w:val="00FE0848"/>
    <w:rsid w:val="03932A10"/>
    <w:rsid w:val="09BA7C9F"/>
    <w:rsid w:val="0D1F49BA"/>
    <w:rsid w:val="0ED35C52"/>
    <w:rsid w:val="0EE30D55"/>
    <w:rsid w:val="0FD70393"/>
    <w:rsid w:val="10647436"/>
    <w:rsid w:val="15661F5D"/>
    <w:rsid w:val="15C471D4"/>
    <w:rsid w:val="16256796"/>
    <w:rsid w:val="183F6A63"/>
    <w:rsid w:val="1DE975BD"/>
    <w:rsid w:val="1E34100E"/>
    <w:rsid w:val="1F943FC4"/>
    <w:rsid w:val="1F9F7B64"/>
    <w:rsid w:val="1FE5185A"/>
    <w:rsid w:val="217A6480"/>
    <w:rsid w:val="229B4BAE"/>
    <w:rsid w:val="24305016"/>
    <w:rsid w:val="299D554E"/>
    <w:rsid w:val="2DB65341"/>
    <w:rsid w:val="2E427576"/>
    <w:rsid w:val="308D030D"/>
    <w:rsid w:val="318F4CDC"/>
    <w:rsid w:val="31C2036A"/>
    <w:rsid w:val="320D02A5"/>
    <w:rsid w:val="33C71E98"/>
    <w:rsid w:val="348E566F"/>
    <w:rsid w:val="352A29CE"/>
    <w:rsid w:val="359F62EF"/>
    <w:rsid w:val="3A226944"/>
    <w:rsid w:val="3AB82A78"/>
    <w:rsid w:val="3AEE6A48"/>
    <w:rsid w:val="3C1620AA"/>
    <w:rsid w:val="3D8F080F"/>
    <w:rsid w:val="4193228B"/>
    <w:rsid w:val="44A84D19"/>
    <w:rsid w:val="44CE1FA4"/>
    <w:rsid w:val="468E36CB"/>
    <w:rsid w:val="487F73ED"/>
    <w:rsid w:val="4A347EAE"/>
    <w:rsid w:val="4B9A602B"/>
    <w:rsid w:val="4BAD5F2A"/>
    <w:rsid w:val="4E4A7027"/>
    <w:rsid w:val="5228755F"/>
    <w:rsid w:val="52600405"/>
    <w:rsid w:val="529B4319"/>
    <w:rsid w:val="543D7330"/>
    <w:rsid w:val="55686DF4"/>
    <w:rsid w:val="57773DD6"/>
    <w:rsid w:val="578B79AB"/>
    <w:rsid w:val="5B1246A5"/>
    <w:rsid w:val="5CCD3FD5"/>
    <w:rsid w:val="5E877F22"/>
    <w:rsid w:val="611F52D4"/>
    <w:rsid w:val="617733CB"/>
    <w:rsid w:val="61FA5F9D"/>
    <w:rsid w:val="627F24B8"/>
    <w:rsid w:val="630F4F72"/>
    <w:rsid w:val="64CD6910"/>
    <w:rsid w:val="6789158D"/>
    <w:rsid w:val="67D81BA4"/>
    <w:rsid w:val="69120823"/>
    <w:rsid w:val="6AAF1C96"/>
    <w:rsid w:val="6C717DA3"/>
    <w:rsid w:val="6EC858BF"/>
    <w:rsid w:val="70B04C0E"/>
    <w:rsid w:val="70FA630E"/>
    <w:rsid w:val="726242A2"/>
    <w:rsid w:val="74307B78"/>
    <w:rsid w:val="75681757"/>
    <w:rsid w:val="75A346A8"/>
    <w:rsid w:val="78775361"/>
    <w:rsid w:val="79B9382C"/>
    <w:rsid w:val="7B043B76"/>
    <w:rsid w:val="7C041A6A"/>
    <w:rsid w:val="7CA009BC"/>
    <w:rsid w:val="7D1C0F26"/>
    <w:rsid w:val="7E327570"/>
    <w:rsid w:val="7E6F4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GIF"/><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41"/>
    <customShpInfo spid="_x0000_s1040"/>
    <customShpInfo spid="_x0000_s1039"/>
    <customShpInfo spid="_x0000_s1038"/>
    <customShpInfo spid="_x0000_s1037"/>
    <customShpInfo spid="_x0000_s1036"/>
    <customShpInfo spid="_x0000_s1035"/>
    <customShpInfo spid="_x0000_s1034"/>
    <customShpInfo spid="_x0000_s1042"/>
    <customShpInfo spid="_x0000_s1043"/>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34</Pages>
  <Words>2098</Words>
  <Characters>11964</Characters>
  <Lines>99</Lines>
  <Paragraphs>28</Paragraphs>
  <TotalTime>2</TotalTime>
  <ScaleCrop>false</ScaleCrop>
  <LinksUpToDate>false</LinksUpToDate>
  <CharactersWithSpaces>14034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2020-09-07T07:19:00Z</cp:lastPrinted>
  <dcterms:modified xsi:type="dcterms:W3CDTF">2023-11-16T08:11:00Z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79DD9FDEE9FC4E59A1678D08F9E7B076_12</vt:lpwstr>
  </property>
</Properties>
</file>