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馆陶县城乡规划局</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馆陶县城乡规划局</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r>
        <w:rPr>
          <w:rFonts w:hint="eastAsia" w:ascii="楷体" w:hAnsi="楷体" w:eastAsia="楷体" w:cs="楷体"/>
          <w:b/>
          <w:sz w:val="40"/>
          <w:szCs w:val="40"/>
        </w:rPr>
        <w:t>（部门公章）</w:t>
      </w:r>
    </w:p>
    <w:p>
      <w:pPr>
        <w:widowControl/>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二〇一九年十二</w:t>
      </w:r>
    </w:p>
    <w:p>
      <w:pPr>
        <w:widowControl/>
        <w:spacing w:after="0" w:line="600" w:lineRule="exact"/>
        <w:jc w:val="left"/>
        <w:rPr>
          <w:rFonts w:ascii="楷体" w:hAnsi="楷体" w:eastAsia="楷体" w:cs="楷体"/>
          <w:sz w:val="32"/>
          <w:szCs w:val="32"/>
          <w:highlight w:val="yellow"/>
        </w:rPr>
      </w:pP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2576"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2576;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4"/>
          <w:szCs w:val="32"/>
        </w:rPr>
        <w:t xml:space="preserve"> </w:t>
      </w:r>
    </w:p>
    <w:p>
      <w:pPr>
        <w:widowControl/>
        <w:spacing w:line="580" w:lineRule="exact"/>
        <w:ind w:firstLine="640" w:firstLineChars="200"/>
        <w:rPr>
          <w:rFonts w:ascii="仿宋" w:hAnsi="仿宋" w:eastAsia="仿宋"/>
          <w:sz w:val="32"/>
          <w:szCs w:val="32"/>
        </w:rPr>
      </w:pPr>
      <w:r>
        <w:rPr>
          <w:rFonts w:ascii="仿宋" w:hAnsi="仿宋" w:eastAsia="仿宋"/>
          <w:sz w:val="32"/>
          <w:szCs w:val="32"/>
        </w:rPr>
        <w:t>一、部门</w:t>
      </w:r>
      <w:r>
        <w:rPr>
          <w:rFonts w:hint="eastAsia" w:ascii="仿宋" w:hAnsi="仿宋" w:eastAsia="仿宋"/>
          <w:sz w:val="32"/>
          <w:szCs w:val="32"/>
        </w:rPr>
        <w:t>职责</w:t>
      </w:r>
    </w:p>
    <w:p>
      <w:pPr>
        <w:widowControl/>
        <w:spacing w:line="580" w:lineRule="exact"/>
        <w:ind w:firstLine="640" w:firstLineChars="200"/>
        <w:rPr>
          <w:rFonts w:ascii="仿宋" w:hAnsi="仿宋" w:eastAsia="仿宋"/>
          <w:sz w:val="32"/>
          <w:szCs w:val="32"/>
        </w:rPr>
      </w:pPr>
      <w:r>
        <w:rPr>
          <w:rFonts w:ascii="仿宋" w:hAnsi="仿宋" w:eastAsia="仿宋"/>
          <w:sz w:val="32"/>
          <w:szCs w:val="32"/>
        </w:rPr>
        <w:t>二、</w:t>
      </w:r>
      <w:r>
        <w:rPr>
          <w:rFonts w:hint="eastAsia" w:ascii="仿宋" w:hAnsi="仿宋" w:eastAsia="仿宋"/>
          <w:sz w:val="32"/>
          <w:szCs w:val="32"/>
        </w:rPr>
        <w:t>机构设置</w:t>
      </w:r>
    </w:p>
    <w:p>
      <w:pPr>
        <w:widowControl/>
        <w:spacing w:line="580" w:lineRule="exact"/>
        <w:ind w:firstLine="640" w:firstLineChars="200"/>
        <w:rPr>
          <w:rFonts w:eastAsia="仿宋_GB2312"/>
          <w:sz w:val="20"/>
          <w:szCs w:val="32"/>
        </w:rPr>
      </w:pPr>
      <w:r>
        <w:rPr>
          <w:rFonts w:eastAsia="黑体"/>
          <w:sz w:val="32"/>
          <w:szCs w:val="32"/>
        </w:rPr>
        <w:t xml:space="preserve">第二部分   </w:t>
      </w:r>
      <w:r>
        <w:rPr>
          <w:rFonts w:hint="eastAsia" w:eastAsia="黑体"/>
          <w:sz w:val="32"/>
          <w:szCs w:val="32"/>
        </w:rPr>
        <w:t> 馆陶县城乡规划局</w:t>
      </w:r>
      <w:r>
        <w:rPr>
          <w:rFonts w:eastAsia="黑体"/>
          <w:sz w:val="32"/>
          <w:szCs w:val="32"/>
        </w:rPr>
        <w:t>201</w:t>
      </w:r>
      <w:r>
        <w:rPr>
          <w:rFonts w:hint="eastAsia" w:eastAsia="黑体"/>
          <w:sz w:val="32"/>
          <w:szCs w:val="32"/>
        </w:rPr>
        <w:t>8</w:t>
      </w:r>
      <w:r>
        <w:rPr>
          <w:rFonts w:eastAsia="黑体"/>
          <w:sz w:val="32"/>
          <w:szCs w:val="32"/>
        </w:rPr>
        <w:t>年度部门决算报表</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一、收入支出决算总表</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二、收入决算表</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三、支出决算表</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四、财政拨款收入支出决算总表</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五、一般公共预算财政拨款收入支出决算表</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六、一般公共预算财政拨款基本支出决算经济分类表</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七、政府性基金预算财政拨款收入支出决算表</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八、部门国有资本经营预算财政拨款收入支出决算表</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九、 “三公”经费相关信息统计表</w:t>
      </w:r>
    </w:p>
    <w:p>
      <w:pPr>
        <w:widowControl/>
        <w:spacing w:line="580" w:lineRule="exact"/>
        <w:ind w:firstLine="640" w:firstLineChars="200"/>
        <w:rPr>
          <w:rFonts w:eastAsia="仿宋_GB2312"/>
          <w:sz w:val="32"/>
          <w:szCs w:val="32"/>
        </w:rPr>
      </w:pPr>
      <w:r>
        <w:rPr>
          <w:rFonts w:hint="eastAsia" w:ascii="仿宋" w:hAnsi="仿宋" w:eastAsia="仿宋"/>
          <w:sz w:val="32"/>
          <w:szCs w:val="32"/>
        </w:rPr>
        <w:t>十、政府采购情况表</w:t>
      </w: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 馆陶县城乡规划局</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1552"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1552;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firstLine="640" w:firstLineChars="200"/>
        <w:rPr>
          <w:rFonts w:ascii="仿宋" w:hAnsi="仿宋" w:eastAsia="仿宋"/>
          <w:sz w:val="32"/>
          <w:szCs w:val="32"/>
        </w:rPr>
      </w:pPr>
      <w:r>
        <w:rPr>
          <w:rFonts w:ascii="仿宋" w:hAnsi="仿宋" w:eastAsia="仿宋"/>
          <w:sz w:val="32"/>
          <w:szCs w:val="32"/>
        </w:rPr>
        <w:t>一、收入支出决算总体情况说明</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二、</w:t>
      </w:r>
      <w:r>
        <w:rPr>
          <w:rFonts w:ascii="仿宋" w:hAnsi="仿宋" w:eastAsia="仿宋"/>
          <w:sz w:val="32"/>
          <w:szCs w:val="32"/>
        </w:rPr>
        <w:t>收入决算情况说明</w:t>
      </w:r>
    </w:p>
    <w:p>
      <w:pPr>
        <w:widowControl/>
        <w:spacing w:line="580" w:lineRule="exact"/>
        <w:ind w:firstLine="640" w:firstLineChars="200"/>
        <w:rPr>
          <w:rFonts w:ascii="仿宋" w:hAnsi="仿宋" w:eastAsia="仿宋"/>
          <w:sz w:val="32"/>
          <w:szCs w:val="32"/>
        </w:rPr>
      </w:pPr>
      <w:r>
        <w:rPr>
          <w:rFonts w:ascii="仿宋" w:hAnsi="仿宋" w:eastAsia="仿宋"/>
          <w:sz w:val="32"/>
          <w:szCs w:val="32"/>
        </w:rPr>
        <w:t>三、支出决算情况说明</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四、</w:t>
      </w:r>
      <w:r>
        <w:rPr>
          <w:rFonts w:ascii="仿宋" w:hAnsi="仿宋" w:eastAsia="仿宋"/>
          <w:sz w:val="32"/>
          <w:szCs w:val="32"/>
        </w:rPr>
        <w:t>财政拨款收入支出决算情况说明</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五、一般公共预算财政拨款</w:t>
      </w:r>
      <w:r>
        <w:rPr>
          <w:rFonts w:ascii="仿宋" w:hAnsi="仿宋" w:eastAsia="仿宋"/>
          <w:sz w:val="32"/>
          <w:szCs w:val="32"/>
        </w:rPr>
        <w:t>“三公”经费支出决算情况说明</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六</w:t>
      </w:r>
      <w:r>
        <w:rPr>
          <w:rFonts w:ascii="仿宋" w:hAnsi="仿宋" w:eastAsia="仿宋"/>
          <w:sz w:val="32"/>
          <w:szCs w:val="32"/>
        </w:rPr>
        <w:t>、预算绩效情况说明</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七、</w:t>
      </w:r>
      <w:r>
        <w:rPr>
          <w:rFonts w:ascii="仿宋" w:hAnsi="仿宋" w:eastAsia="仿宋"/>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6950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widowControl/>
        <w:spacing w:line="580" w:lineRule="exact"/>
        <w:ind w:firstLine="640" w:firstLineChars="200"/>
        <w:rPr>
          <w:rFonts w:ascii="仿宋" w:hAnsi="仿宋" w:eastAsia="仿宋"/>
          <w:sz w:val="32"/>
          <w:szCs w:val="32"/>
        </w:rPr>
      </w:pPr>
      <w:r>
        <w:rPr>
          <w:rFonts w:hint="eastAsia" w:ascii="仿宋" w:hAnsi="仿宋" w:eastAsia="仿宋"/>
          <w:sz w:val="32"/>
          <w:szCs w:val="32"/>
        </w:rPr>
        <w:t>（一）贯彻《中华人民共和国城市规划法》、《中华人民共和国测绘法》，组织实施国家、省有关城市规划（测绘）管理的相关法规、方针、政策。（二）负责拟定本县规划（测绘）管理的地方性政策、规范性文件及城乡发展战略规划和区域城镇体系规划，制定行业发展规划；负责城乡基础测绘计划编制和组织实施；组织规划（测绘）科研项目新科技的推广应用、业务技术培训、学术交流。（三）负责组织城区总体规划、分区规划、详细规划、城乡规划区内各类专业规划及项目用地规划的编制、审查、报批或按规定权限审批；负责城区土地使用权出让、转让的规划控制管理，参与制定国土规划、区域规划和土地利用总体规划。（四）负责对城乡规划区各项建筑工程和市政设施、工程管线等实施规划管理。（五）负责组织实施经政府审批的地方性规划（测绘）管理的实施办法；负责建设项目的选址、定点，负责城区规划区私房的审批与管理。（六）负责本县城乡规划区内建设项目的“一书两证”《建设项目选址意见书》、《建设用地规划许可证》、《建设工程规划许可证》的核发工作；对经批准的建设项目办理放线、验线及竣工验收手续，负责对各类规划实施过程中的违法建设行为进行查处。（七）负责全县城乡规划设计和测绘单位资质管理及规划测绘市场行业管理；负责全县基础测绘资料档案的收集和管理，对城区基础测绘成果提供有偿使用；依法查处违反《中华人民共和国测绘法》的违法行为；依法指导和监督本地区测绘业务的招标、投标；负责本县测量标志的管理，会同有关部门组织测绘技术人员的职称评审和业务培训工作；（八）承办县政府交办的其他事项；承办县人大、县政协建议、提案事宜。</w:t>
      </w:r>
      <w:bookmarkStart w:id="2" w:name="_GoBack"/>
      <w:bookmarkEnd w:id="2"/>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 w:hAnsi="仿宋" w:eastAsia="仿宋" w:cs="ArialUnicodeMS"/>
          <w:kern w:val="0"/>
          <w:sz w:val="32"/>
          <w:szCs w:val="32"/>
        </w:rPr>
      </w:pPr>
      <w:r>
        <w:rPr>
          <w:rFonts w:hint="eastAsia" w:ascii="仿宋" w:hAnsi="仿宋" w:eastAsia="仿宋" w:cs="ArialUnicodeMS"/>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馆陶县城乡规划局(本级)</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48"/>
          <w:szCs w:val="48"/>
        </w:rPr>
        <w:sectPr>
          <w:pgSz w:w="11906" w:h="16838"/>
          <w:pgMar w:top="2098" w:right="1474" w:bottom="1984" w:left="1588" w:header="851" w:footer="992" w:gutter="0"/>
          <w:cols w:space="0" w:num="1"/>
          <w:docGrid w:type="lines" w:linePitch="312" w:charSpace="0"/>
        </w:sectPr>
      </w:pPr>
      <w:r>
        <w:rPr>
          <w:rFonts w:hint="eastAsia" w:ascii="仿宋_GB2312" w:eastAsia="仿宋_GB2312" w:hAnsiTheme="majorEastAsia"/>
          <w:b/>
          <w:sz w:val="48"/>
          <w:szCs w:val="48"/>
        </w:rPr>
        <w:t>决算报表见附件</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numPr>
          <w:ilvl w:val="0"/>
          <w:numId w:val="1"/>
        </w:numPr>
        <w:spacing w:before="0" w:after="0" w:line="580" w:lineRule="exact"/>
        <w:rPr>
          <w:rFonts w:ascii="黑体" w:eastAsia="黑体"/>
          <w:b w:val="0"/>
          <w:bCs w:val="0"/>
        </w:rPr>
      </w:pPr>
      <w:r>
        <w:rPr>
          <w:rFonts w:hint="eastAsia" w:ascii="黑体" w:eastAsia="黑体"/>
          <w:b w:val="0"/>
          <w:bCs w:val="0"/>
        </w:rPr>
        <w:t>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7872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872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ind w:firstLine="640" w:firstLineChars="200"/>
      </w:pPr>
      <w:r>
        <w:rPr>
          <w:rFonts w:hint="eastAsia" w:ascii="仿宋" w:hAnsi="仿宋" w:eastAsia="仿宋" w:cs="DengXian-Regular"/>
          <w:sz w:val="32"/>
          <w:szCs w:val="32"/>
        </w:rPr>
        <w:t>本部门2018年度收支总计</w:t>
      </w:r>
      <w:r>
        <w:rPr>
          <w:rFonts w:hint="eastAsia" w:ascii="仿宋" w:hAnsi="仿宋" w:eastAsia="仿宋" w:cs="Calibri"/>
          <w:sz w:val="32"/>
          <w:szCs w:val="32"/>
        </w:rPr>
        <w:t>407.92</w:t>
      </w:r>
      <w:r>
        <w:rPr>
          <w:rFonts w:hint="eastAsia" w:ascii="仿宋" w:hAnsi="仿宋" w:eastAsia="仿宋" w:cs="DengXian-Regular"/>
          <w:sz w:val="32"/>
          <w:szCs w:val="32"/>
        </w:rPr>
        <w:t>万元。与2017年度决算相比，收入</w:t>
      </w:r>
      <w:bookmarkStart w:id="0" w:name="_Hlk73260598"/>
      <w:r>
        <w:rPr>
          <w:rFonts w:hint="eastAsia" w:ascii="仿宋" w:hAnsi="仿宋" w:eastAsia="仿宋" w:cs="DengXian-Regular"/>
          <w:sz w:val="32"/>
          <w:szCs w:val="32"/>
        </w:rPr>
        <w:t>减少</w:t>
      </w:r>
      <w:bookmarkEnd w:id="0"/>
      <w:r>
        <w:rPr>
          <w:rFonts w:hint="eastAsia" w:ascii="仿宋" w:hAnsi="仿宋" w:eastAsia="仿宋" w:cs="Calibri"/>
          <w:sz w:val="32"/>
          <w:szCs w:val="32"/>
        </w:rPr>
        <w:t>37.99</w:t>
      </w:r>
      <w:r>
        <w:rPr>
          <w:rFonts w:hint="eastAsia" w:ascii="仿宋" w:hAnsi="仿宋" w:eastAsia="仿宋" w:cs="DengXian-Regular"/>
          <w:sz w:val="32"/>
          <w:szCs w:val="32"/>
        </w:rPr>
        <w:t>万元，减少</w:t>
      </w:r>
      <w:r>
        <w:rPr>
          <w:rFonts w:hint="eastAsia" w:ascii="仿宋" w:hAnsi="仿宋" w:eastAsia="仿宋" w:cs="Calibri"/>
          <w:sz w:val="32"/>
          <w:szCs w:val="32"/>
        </w:rPr>
        <w:t>9.31</w:t>
      </w:r>
      <w:r>
        <w:rPr>
          <w:rFonts w:hint="eastAsia" w:ascii="仿宋" w:hAnsi="仿宋" w:eastAsia="仿宋" w:cs="DengXian-Regular"/>
          <w:sz w:val="32"/>
          <w:szCs w:val="32"/>
        </w:rPr>
        <w:t>%，</w:t>
      </w:r>
      <w:bookmarkStart w:id="1" w:name="_Hlk73260632"/>
      <w:r>
        <w:rPr>
          <w:rFonts w:hint="eastAsia" w:ascii="仿宋" w:hAnsi="仿宋" w:eastAsia="仿宋" w:cs="DengXian-Regular"/>
          <w:sz w:val="32"/>
          <w:szCs w:val="32"/>
        </w:rPr>
        <w:t>主要原因是</w:t>
      </w:r>
      <w:r>
        <w:rPr>
          <w:rFonts w:hint="eastAsia" w:ascii="仿宋" w:hAnsi="仿宋" w:eastAsia="仿宋" w:cs="Tahoma"/>
          <w:color w:val="000000"/>
          <w:kern w:val="0"/>
          <w:sz w:val="30"/>
          <w:szCs w:val="30"/>
        </w:rPr>
        <w:t>项目减少，同时加快推进项目进度及支出进度</w:t>
      </w:r>
      <w:bookmarkEnd w:id="1"/>
      <w:r>
        <w:rPr>
          <w:rFonts w:hint="eastAsia" w:ascii="仿宋" w:hAnsi="仿宋" w:eastAsia="仿宋" w:cs="Tahoma"/>
          <w:color w:val="000000"/>
          <w:kern w:val="0"/>
          <w:sz w:val="30"/>
          <w:szCs w:val="30"/>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本部门2018年度本年收入合计407.92万元，其中：财政拨款收入407.92元，占100%；事业收入0万元，占0%；经营收入0万元，占0%；其他收入0万元，占0%。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本部门2018年度本年支出合计394.92万元，其中：基本支出160.15万元，占40.55%；项目支出234.77万元，占59.45%；经营支出0万元，占0%。</w:t>
      </w:r>
      <w:r>
        <w:rPr>
          <w:rFonts w:ascii="仿宋" w:hAnsi="仿宋" w:eastAsia="仿宋"/>
          <w:sz w:val="44"/>
        </w:rPr>
        <mc:AlternateContent>
          <mc:Choice Requires="wpg">
            <w:drawing>
              <wp:anchor distT="0" distB="0" distL="114300" distR="114300" simplePos="0" relativeHeight="25167360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360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财政拨款本年收入407.92万元,比2017年度减少了16.1万元，降低3.8%，主要是2018年所承担的项目支出较少，拨款收入减少；本年支出394.92万元，减少了49.97万元，降低11.23%，主要是因2018年所承担的项目支出较少。</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DengXian-Regular"/>
          <w:sz w:val="32"/>
          <w:szCs w:val="32"/>
        </w:rPr>
        <w:t>其中：一般公共预算财政拨款本年收入233.15万元，比上年减少22.18万元；主要是正常范围浮动；本年支出221.72万元，比上年减少55.49万元，降低20%，主要是所承担的项目支出较少。政府性基金预算财政拨款本年收入173.2万元，比上年减少6.08万元，降低6.7%，主要原因是正常范围浮动。</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本部门2018年度财政拨款本年收入407.92万元，完成年初预算的100%,比年初预算增加0万元，决算数等于预算数，主要原因是预算等于收入</w:t>
      </w:r>
      <w:r>
        <w:rPr>
          <w:rFonts w:hint="eastAsia" w:ascii="仿宋" w:hAnsi="仿宋" w:eastAsia="仿宋" w:cs="微软雅黑"/>
          <w:sz w:val="32"/>
          <w:szCs w:val="32"/>
        </w:rPr>
        <w:t>数</w:t>
      </w:r>
      <w:r>
        <w:rPr>
          <w:rFonts w:hint="eastAsia" w:ascii="仿宋" w:hAnsi="仿宋" w:eastAsia="仿宋" w:cs="DengXian-Regular"/>
          <w:sz w:val="32"/>
          <w:szCs w:val="32"/>
        </w:rPr>
        <w:t>；本年支出394.92万元，完成年初预算的97.18%,比年初预算减少11.43万元，决算数小于预算数主要原因是主要是项目正在实施未完成，资金未拨付。</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DengXian-Regular"/>
          <w:sz w:val="32"/>
          <w:szCs w:val="32"/>
        </w:rPr>
        <w:t>其中，一般公共预算财政拨款本年收入完成年初预算100%，比年初预算增加0万元，主要是预算等于收入</w:t>
      </w:r>
      <w:r>
        <w:rPr>
          <w:rFonts w:hint="eastAsia" w:ascii="仿宋" w:hAnsi="仿宋" w:eastAsia="仿宋" w:cs="微软雅黑"/>
          <w:sz w:val="32"/>
          <w:szCs w:val="32"/>
        </w:rPr>
        <w:t>数</w:t>
      </w:r>
      <w:r>
        <w:rPr>
          <w:rFonts w:hint="eastAsia" w:ascii="仿宋" w:hAnsi="仿宋" w:eastAsia="仿宋" w:cs="DengXian-Regular"/>
          <w:sz w:val="32"/>
          <w:szCs w:val="32"/>
        </w:rPr>
        <w:t>；支出完成年初预算97.18%，比年初预算减少11.43万元，主要是项目正在实施未完成，资金未拨付。政府性基金预算财政拨款本年收入完成年初预算0%，比年初预算增加（减少）0万元，主要是没有基金收入；支出完成年初预算0%，比年初预算增加（减少）0万元，主要是没有基金收入。</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 w:hAnsi="仿宋" w:eastAsia="仿宋" w:cs="DengXian-Bold"/>
          <w:b/>
          <w:bCs/>
          <w:sz w:val="32"/>
          <w:szCs w:val="32"/>
        </w:rPr>
      </w:pPr>
      <w:r>
        <w:rPr>
          <w:rFonts w:hint="eastAsia" w:ascii="仿宋" w:hAnsi="仿宋" w:eastAsia="仿宋" w:cs="DengXian-Regular"/>
          <w:sz w:val="32"/>
          <w:szCs w:val="32"/>
        </w:rPr>
        <w:t>2018 年度财政拨款支出394.92万元，主要用于以下方面：社会保障和就业（类）支出21.6万元，占5.5%；城乡社区（类）支出373.32万元，占94.5%。</w:t>
      </w:r>
    </w:p>
    <w:p>
      <w:pPr>
        <w:adjustRightInd w:val="0"/>
        <w:snapToGrid w:val="0"/>
        <w:spacing w:after="0" w:line="580" w:lineRule="exact"/>
        <w:ind w:firstLine="440" w:firstLineChars="100"/>
        <w:rPr>
          <w:rFonts w:cs="DengXian-Regular" w:asciiTheme="minorEastAsia" w:hAnsiTheme="minorEastAsia" w:eastAsiaTheme="minorEastAsia"/>
          <w:sz w:val="32"/>
          <w:szCs w:val="32"/>
          <w:highlight w:val="yellow"/>
        </w:rPr>
      </w:pPr>
      <w:r>
        <w:rPr>
          <w:rFonts w:asciiTheme="minorEastAsia" w:hAnsiTheme="minorEastAsia" w:eastAsiaTheme="minorEastAsia"/>
          <w:sz w:val="44"/>
        </w:rPr>
        <mc:AlternateContent>
          <mc:Choice Requires="wpg">
            <w:drawing>
              <wp:anchor distT="0" distB="0" distL="114300" distR="114300" simplePos="0" relativeHeight="25167462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cs="DengXian-Bold" w:asciiTheme="minorEastAsia" w:hAnsiTheme="minorEastAsia" w:eastAsiaTheme="minorEastAsia"/>
          <w:b/>
          <w:bCs/>
          <w:sz w:val="32"/>
          <w:szCs w:val="32"/>
        </w:rPr>
        <w:t>（四）一般公共预算财政拨款基本支出决算情况说明</w:t>
      </w:r>
      <w:r>
        <w:rPr>
          <w:rFonts w:asciiTheme="minorEastAsia" w:hAnsiTheme="minorEastAsia" w:eastAsiaTheme="minorEastAsia"/>
          <w:sz w:val="44"/>
        </w:rPr>
        <mc:AlternateContent>
          <mc:Choice Requires="wpg">
            <w:drawing>
              <wp:anchor distT="0" distB="0" distL="114300" distR="114300" simplePos="0" relativeHeight="25167974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974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年度一般公共预算财政拨款基本支出160.15万元，其中：人员经费136.51万元，主要包括基本工资、津贴补贴、奖金、绩效工资、机关事业单位基本养老保险缴费、职工基本医疗保险缴费、生活补助支出；公用经费 23.64万元，主要包括办公费、印刷费、手续费、水费、电费、邮电费、物业管理费、差旅费、维修（护）费、办公设备购置。</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 “三公”经费支出共计万元，较年初预算增加（减少）</w:t>
      </w:r>
      <w:r>
        <w:rPr>
          <w:rFonts w:ascii="仿宋" w:hAnsi="仿宋" w:eastAsia="仿宋" w:cs="DengXian-Regular"/>
          <w:sz w:val="32"/>
          <w:szCs w:val="32"/>
        </w:rPr>
        <w:t>0</w:t>
      </w:r>
      <w:r>
        <w:rPr>
          <w:rFonts w:hint="eastAsia" w:ascii="仿宋" w:hAnsi="仿宋" w:eastAsia="仿宋" w:cs="DengXian-Regular"/>
          <w:sz w:val="32"/>
          <w:szCs w:val="32"/>
        </w:rPr>
        <w:t>万元，增长（降低）</w:t>
      </w:r>
      <w:r>
        <w:rPr>
          <w:rFonts w:ascii="仿宋" w:hAnsi="仿宋" w:eastAsia="仿宋" w:cs="DengXian-Regular"/>
          <w:sz w:val="32"/>
          <w:szCs w:val="32"/>
        </w:rPr>
        <w:t>0</w:t>
      </w:r>
      <w:r>
        <w:rPr>
          <w:rFonts w:hint="eastAsia" w:ascii="仿宋" w:hAnsi="仿宋" w:eastAsia="仿宋" w:cs="DengXian-Regular"/>
          <w:sz w:val="32"/>
          <w:szCs w:val="32"/>
        </w:rPr>
        <w:t>%，主要是认真贯彻落实中央八项规定精神和厉行节约要求，从严控制“三公”经费开支。具体情况如下：</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仿宋" w:hAnsi="仿宋" w:eastAsia="仿宋" w:cs="DengXian-Bold"/>
          <w:b/>
          <w:bCs/>
          <w:sz w:val="32"/>
          <w:szCs w:val="32"/>
        </w:rPr>
        <w:t>（</w:t>
      </w:r>
      <w:r>
        <w:rPr>
          <w:rFonts w:ascii="仿宋" w:hAnsi="仿宋" w:eastAsia="仿宋"/>
          <w:sz w:val="44"/>
        </w:rPr>
        <mc:AlternateContent>
          <mc:Choice Requires="wpg">
            <w:drawing>
              <wp:anchor distT="0" distB="0" distL="114300" distR="114300" simplePos="0" relativeHeight="25167564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 w:hAnsi="仿宋" w:eastAsia="仿宋" w:cs="DengXian-Bold"/>
          <w:b/>
          <w:bCs/>
          <w:sz w:val="32"/>
          <w:szCs w:val="32"/>
        </w:rPr>
        <w:t>一）因公出国（境）费支出万元。</w:t>
      </w:r>
      <w:r>
        <w:rPr>
          <w:rFonts w:hint="eastAsia" w:ascii="仿宋" w:hAnsi="仿宋" w:eastAsia="仿宋" w:cs="DengXian-Regular"/>
          <w:sz w:val="32"/>
          <w:szCs w:val="32"/>
        </w:rPr>
        <w:t>本部门2018年度因公出国（境）团组</w:t>
      </w:r>
      <w:r>
        <w:rPr>
          <w:rFonts w:ascii="仿宋" w:hAnsi="仿宋" w:eastAsia="仿宋" w:cs="DengXian-Regular"/>
          <w:sz w:val="32"/>
          <w:szCs w:val="32"/>
        </w:rPr>
        <w:t>0</w:t>
      </w:r>
      <w:r>
        <w:rPr>
          <w:rFonts w:hint="eastAsia" w:ascii="仿宋" w:hAnsi="仿宋" w:eastAsia="仿宋" w:cs="DengXian-Regular"/>
          <w:sz w:val="32"/>
          <w:szCs w:val="32"/>
        </w:rPr>
        <w:t>个、共</w:t>
      </w:r>
      <w:r>
        <w:rPr>
          <w:rFonts w:ascii="仿宋" w:hAnsi="仿宋" w:eastAsia="仿宋" w:cs="DengXian-Regular"/>
          <w:sz w:val="32"/>
          <w:szCs w:val="32"/>
        </w:rPr>
        <w:t>0</w:t>
      </w:r>
      <w:r>
        <w:rPr>
          <w:rFonts w:hint="eastAsia" w:ascii="仿宋" w:hAnsi="仿宋" w:eastAsia="仿宋" w:cs="DengXian-Regular"/>
          <w:sz w:val="32"/>
          <w:szCs w:val="32"/>
        </w:rPr>
        <w:t>人/参加其他单位组织的因公出国（境）团组</w:t>
      </w:r>
      <w:r>
        <w:rPr>
          <w:rFonts w:ascii="仿宋" w:hAnsi="仿宋" w:eastAsia="仿宋" w:cs="DengXian-Regular"/>
          <w:sz w:val="32"/>
          <w:szCs w:val="32"/>
        </w:rPr>
        <w:t>0</w:t>
      </w:r>
      <w:r>
        <w:rPr>
          <w:rFonts w:hint="eastAsia" w:ascii="仿宋" w:hAnsi="仿宋" w:eastAsia="仿宋" w:cs="DengXian-Regular"/>
          <w:sz w:val="32"/>
          <w:szCs w:val="32"/>
        </w:rPr>
        <w:t>个、共</w:t>
      </w:r>
      <w:r>
        <w:rPr>
          <w:rFonts w:ascii="仿宋" w:hAnsi="仿宋" w:eastAsia="仿宋" w:cs="DengXian-Regular"/>
          <w:sz w:val="32"/>
          <w:szCs w:val="32"/>
        </w:rPr>
        <w:t>0</w:t>
      </w:r>
      <w:r>
        <w:rPr>
          <w:rFonts w:hint="eastAsia" w:ascii="仿宋" w:hAnsi="仿宋" w:eastAsia="仿宋" w:cs="DengXian-Regular"/>
          <w:sz w:val="32"/>
          <w:szCs w:val="32"/>
        </w:rPr>
        <w:t>人/无本单位组织的出国（境）团组。因公出国（境）费支出较年初预算增加</w:t>
      </w:r>
      <w:r>
        <w:rPr>
          <w:rFonts w:ascii="仿宋" w:hAnsi="仿宋" w:eastAsia="仿宋" w:cs="DengXian-Regular"/>
          <w:sz w:val="32"/>
          <w:szCs w:val="32"/>
        </w:rPr>
        <w:t>0</w:t>
      </w:r>
      <w:r>
        <w:rPr>
          <w:rFonts w:hint="eastAsia" w:ascii="仿宋" w:hAnsi="仿宋" w:eastAsia="仿宋" w:cs="DengXian-Regular"/>
          <w:sz w:val="32"/>
          <w:szCs w:val="32"/>
        </w:rPr>
        <w:t>万元，增长</w:t>
      </w:r>
      <w:r>
        <w:rPr>
          <w:rFonts w:ascii="仿宋" w:hAnsi="仿宋" w:eastAsia="仿宋" w:cs="DengXian-Regular"/>
          <w:sz w:val="32"/>
          <w:szCs w:val="32"/>
        </w:rPr>
        <w:t>0</w:t>
      </w:r>
      <w:r>
        <w:rPr>
          <w:rFonts w:hint="eastAsia" w:ascii="仿宋" w:hAnsi="仿宋" w:eastAsia="仿宋" w:cs="DengXian-Regular"/>
          <w:sz w:val="32"/>
          <w:szCs w:val="32"/>
        </w:rPr>
        <w:t>%,主要是认真贯彻落实中央八项规定精神和厉行节约要求，从严控制“三公”经费开支。</w:t>
      </w:r>
    </w:p>
    <w:p>
      <w:pPr>
        <w:adjustRightInd w:val="0"/>
        <w:snapToGrid w:val="0"/>
        <w:spacing w:after="0" w:line="580" w:lineRule="exact"/>
        <w:ind w:firstLine="643" w:firstLineChars="200"/>
        <w:rPr>
          <w:rFonts w:ascii="仿宋" w:hAnsi="仿宋" w:eastAsia="仿宋" w:cs="DengXian-Bold"/>
          <w:b/>
          <w:bCs/>
          <w:sz w:val="32"/>
          <w:szCs w:val="32"/>
        </w:rPr>
      </w:pPr>
      <w:r>
        <w:rPr>
          <w:rFonts w:hint="eastAsia" w:ascii="仿宋" w:hAnsi="仿宋" w:eastAsia="仿宋" w:cs="DengXian-Bold"/>
          <w:b/>
          <w:bCs/>
          <w:sz w:val="32"/>
          <w:szCs w:val="32"/>
        </w:rPr>
        <w:t>（二）公务用车购置及运行维护费支出</w:t>
      </w:r>
      <w:r>
        <w:rPr>
          <w:rFonts w:ascii="仿宋" w:hAnsi="仿宋" w:eastAsia="仿宋" w:cs="DengXian-Bold"/>
          <w:b/>
          <w:bCs/>
          <w:sz w:val="32"/>
          <w:szCs w:val="32"/>
        </w:rPr>
        <w:t>0</w:t>
      </w:r>
      <w:r>
        <w:rPr>
          <w:rFonts w:hint="eastAsia" w:ascii="仿宋" w:hAnsi="仿宋" w:eastAsia="仿宋" w:cs="DengXian-Bold"/>
          <w:b/>
          <w:bCs/>
          <w:sz w:val="32"/>
          <w:szCs w:val="32"/>
        </w:rPr>
        <w:t>万元。</w:t>
      </w:r>
      <w:r>
        <w:rPr>
          <w:rFonts w:hint="eastAsia" w:ascii="仿宋" w:hAnsi="仿宋" w:eastAsia="仿宋" w:cs="DengXian-Regular"/>
          <w:sz w:val="32"/>
          <w:szCs w:val="32"/>
        </w:rPr>
        <w:t>本部门2018年度公务用车购置及运行维护费</w:t>
      </w:r>
      <w:r>
        <w:rPr>
          <w:rFonts w:ascii="仿宋" w:hAnsi="仿宋" w:eastAsia="仿宋" w:cs="DengXian-Regular"/>
          <w:sz w:val="32"/>
          <w:szCs w:val="32"/>
        </w:rPr>
        <w:t>0</w:t>
      </w:r>
      <w:r>
        <w:rPr>
          <w:rFonts w:hint="eastAsia" w:ascii="仿宋" w:hAnsi="仿宋" w:eastAsia="仿宋" w:cs="DengXian-Regular"/>
          <w:sz w:val="32"/>
          <w:szCs w:val="32"/>
        </w:rPr>
        <w:t>万元。</w:t>
      </w:r>
      <w:r>
        <w:rPr>
          <w:rFonts w:hint="eastAsia" w:ascii="仿宋" w:hAnsi="仿宋" w:eastAsia="仿宋" w:cs="DengXian-Bold"/>
          <w:b/>
          <w:bCs/>
          <w:sz w:val="32"/>
          <w:szCs w:val="32"/>
        </w:rPr>
        <w:t>其中：</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仿宋" w:hAnsi="仿宋" w:eastAsia="仿宋" w:cs="DengXian-Regular"/>
          <w:b/>
          <w:sz w:val="32"/>
          <w:szCs w:val="32"/>
        </w:rPr>
        <w:t>公务用车购置费：</w:t>
      </w:r>
      <w:r>
        <w:rPr>
          <w:rFonts w:hint="eastAsia" w:ascii="仿宋" w:hAnsi="仿宋" w:eastAsia="仿宋" w:cs="DengXian-Regular"/>
          <w:sz w:val="32"/>
          <w:szCs w:val="32"/>
        </w:rPr>
        <w:t>本部门2018年度公务用车购置量</w:t>
      </w:r>
      <w:r>
        <w:rPr>
          <w:rFonts w:ascii="仿宋" w:hAnsi="仿宋" w:eastAsia="仿宋" w:cs="DengXian-Regular"/>
          <w:sz w:val="32"/>
          <w:szCs w:val="32"/>
        </w:rPr>
        <w:t>0</w:t>
      </w:r>
      <w:r>
        <w:rPr>
          <w:rFonts w:hint="eastAsia" w:ascii="仿宋" w:hAnsi="仿宋" w:eastAsia="仿宋" w:cs="DengXian-Regular"/>
          <w:sz w:val="32"/>
          <w:szCs w:val="32"/>
        </w:rPr>
        <w:t>辆，发生“公务用车购置”经费支出</w:t>
      </w:r>
      <w:r>
        <w:rPr>
          <w:rFonts w:ascii="仿宋" w:hAnsi="仿宋" w:eastAsia="仿宋" w:cs="DengXian-Regular"/>
          <w:sz w:val="32"/>
          <w:szCs w:val="32"/>
        </w:rPr>
        <w:t>0</w:t>
      </w:r>
      <w:r>
        <w:rPr>
          <w:rFonts w:hint="eastAsia" w:ascii="仿宋" w:hAnsi="仿宋" w:eastAsia="仿宋" w:cs="DengXian-Regular"/>
          <w:sz w:val="32"/>
          <w:szCs w:val="32"/>
        </w:rPr>
        <w:t>万元。公务用车购置费支出较年初预算增加（减少）0万元，未发生公务用车购置费支出。</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仿宋" w:hAnsi="仿宋" w:eastAsia="仿宋" w:cs="DengXian-Regular"/>
          <w:b/>
          <w:sz w:val="32"/>
          <w:szCs w:val="32"/>
        </w:rPr>
        <w:t>公务用车运行维护费：</w:t>
      </w:r>
      <w:r>
        <w:rPr>
          <w:rFonts w:hint="eastAsia" w:ascii="仿宋" w:hAnsi="仿宋" w:eastAsia="仿宋" w:cs="DengXian-Regular"/>
          <w:sz w:val="32"/>
          <w:szCs w:val="32"/>
        </w:rPr>
        <w:t>本部门2018年度单位公务用车保有量0辆。公车运行维护费支出较年初预算增加（减少）0万元，未发生公车运行维护费支出。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 w:hAnsi="仿宋" w:eastAsia="仿宋" w:cs="DengXian-Bold"/>
          <w:b/>
          <w:bCs/>
          <w:sz w:val="32"/>
          <w:szCs w:val="32"/>
        </w:rPr>
        <w:t>（三）公务接待费支出0万元。</w:t>
      </w:r>
      <w:r>
        <w:rPr>
          <w:rFonts w:ascii="仿宋" w:hAnsi="仿宋" w:eastAsia="仿宋"/>
          <w:sz w:val="44"/>
        </w:rPr>
        <mc:AlternateContent>
          <mc:Choice Requires="wpg">
            <w:drawing>
              <wp:anchor distT="0" distB="0" distL="114300" distR="114300" simplePos="0" relativeHeight="25167667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 w:hAnsi="仿宋" w:eastAsia="仿宋" w:cs="DengXian-Regular"/>
          <w:sz w:val="32"/>
          <w:szCs w:val="32"/>
        </w:rPr>
        <w:t>本部门2018年度公务接待共0批次、0人次。未发生公务接待费支出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年，根据财政部《财政支出绩效评价管理暂行办法》（财预[2011]285号）的规定，对纳入年度绩效评价范围的项目，围绕“预算编制有目标、预算执行有监控、预算完成有评价、评价结果有反馈，反馈结果有应用”的绩效目标要求，认真开展绩效评价，促进提高项目资金使用绩效。</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按照绩效评价的有关程序，组织具体项目单位对项目绩效开展了自我评价，在各单位自评的基础上，进行了综合评价，从项目年度目标，效率目标、项目管理和项目结果等方面进行了评价。</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DengXian-Regular"/>
          <w:sz w:val="32"/>
          <w:szCs w:val="32"/>
        </w:rPr>
        <w:t>今后，将进一步建立完善事前审核、事中监控、事后检查制度，严把资金的使用、管理、绩效考评等各环节关口，加强资金监督管理，严格专项资金专款专用，确保证各项资金安全使用，发挥最大效益。加强部门协作，积极配合相关部门筹措资金，加快资金周转，提高资金使用效率，做好土地经营。强化制度建设，通过建章立制规范资金的管理、拨付和使用，使财务工作更加规范化、透明化和制度化。</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（一）机关运行经费情况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本部门2018年度机关运行经费支出0万元，未发生机关运行经费支出。</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（二）政府采购情况</w:t>
      </w:r>
    </w:p>
    <w:p>
      <w:pPr>
        <w:widowControl/>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本部门2018年度政府采购支出总额0万元，从采购类型来看，</w:t>
      </w:r>
      <w:r>
        <w:rPr>
          <w:rFonts w:ascii="仿宋" w:hAnsi="仿宋" w:eastAsia="仿宋" w:cs="仿宋_GB2312"/>
          <w:color w:val="000000"/>
          <w:kern w:val="0"/>
          <w:sz w:val="32"/>
          <w:szCs w:val="32"/>
          <w:lang w:bidi="ar"/>
        </w:rPr>
        <w:t>政府采购货物支出</w:t>
      </w:r>
      <w:r>
        <w:rPr>
          <w:rFonts w:hint="eastAsia" w:ascii="仿宋" w:hAnsi="仿宋" w:eastAsia="仿宋" w:cs="仿宋_GB2312"/>
          <w:color w:val="000000"/>
          <w:kern w:val="0"/>
          <w:sz w:val="32"/>
          <w:szCs w:val="32"/>
          <w:lang w:bidi="ar"/>
        </w:rPr>
        <w:t>0</w:t>
      </w:r>
      <w:r>
        <w:rPr>
          <w:rFonts w:ascii="仿宋" w:hAnsi="仿宋" w:eastAsia="仿宋" w:cs="仿宋_GB2312"/>
          <w:color w:val="000000"/>
          <w:kern w:val="0"/>
          <w:sz w:val="32"/>
          <w:szCs w:val="32"/>
          <w:lang w:bidi="ar"/>
        </w:rPr>
        <w:t>万元、政府采购工程支出</w:t>
      </w:r>
      <w:r>
        <w:rPr>
          <w:rFonts w:hint="eastAsia" w:ascii="仿宋" w:hAnsi="仿宋" w:eastAsia="仿宋" w:cs="仿宋_GB2312"/>
          <w:color w:val="000000"/>
          <w:kern w:val="0"/>
          <w:sz w:val="32"/>
          <w:szCs w:val="32"/>
          <w:lang w:bidi="ar"/>
        </w:rPr>
        <w:t>0</w:t>
      </w:r>
      <w:r>
        <w:rPr>
          <w:rFonts w:ascii="仿宋" w:hAnsi="仿宋" w:eastAsia="仿宋" w:cs="仿宋_GB2312"/>
          <w:color w:val="000000"/>
          <w:kern w:val="0"/>
          <w:sz w:val="32"/>
          <w:szCs w:val="32"/>
          <w:lang w:bidi="ar"/>
        </w:rPr>
        <w:t>万元、政府采购服务支出</w:t>
      </w:r>
      <w:r>
        <w:rPr>
          <w:rFonts w:hint="eastAsia" w:ascii="仿宋" w:hAnsi="仿宋" w:eastAsia="仿宋" w:cs="仿宋_GB2312"/>
          <w:color w:val="000000"/>
          <w:kern w:val="0"/>
          <w:sz w:val="32"/>
          <w:szCs w:val="32"/>
          <w:lang w:bidi="ar"/>
        </w:rPr>
        <w:t>113</w:t>
      </w:r>
      <w:r>
        <w:rPr>
          <w:rFonts w:ascii="仿宋" w:hAnsi="仿宋" w:eastAsia="仿宋" w:cs="仿宋_GB2312"/>
          <w:color w:val="000000"/>
          <w:kern w:val="0"/>
          <w:sz w:val="32"/>
          <w:szCs w:val="32"/>
          <w:lang w:bidi="ar"/>
        </w:rPr>
        <w:t>万元。</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（三）国有资产占用情况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截至2018年12月31日，本部门共有车辆0辆，比上年增加（减少）0辆，主要是公车改革，未有公务用车。</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（四）其他需要说明的情况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1、本部门2018年度三公经费无收支及结转结余情况，故一般公共预算财政拨款“三公”经费支出决算表以空表列示。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DengXian-Regular"/>
          <w:sz w:val="32"/>
          <w:szCs w:val="32"/>
        </w:rPr>
        <w:t>2、由于决算公开表格中金额数值应当保留两位小数，公开数据为四舍五入计算结</w:t>
      </w:r>
      <w:r>
        <w:rPr>
          <w:rFonts w:ascii="仿宋" w:hAnsi="仿宋" w:eastAsia="仿宋"/>
          <w:sz w:val="44"/>
        </w:rPr>
        <mc:AlternateContent>
          <mc:Choice Requires="wpg">
            <w:drawing>
              <wp:anchor distT="0" distB="0" distL="114300" distR="114300" simplePos="0" relativeHeight="25167769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 w:hAnsi="仿宋" w:eastAsia="仿宋"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052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052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0" w:firstLineChars="200"/>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DFCCEB-E275-4B35-A168-BE474EBCA3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54606809-174B-4F19-AFF2-526F87553580}"/>
  </w:font>
  <w:font w:name="Cambria">
    <w:panose1 w:val="02040503050406030204"/>
    <w:charset w:val="00"/>
    <w:family w:val="roman"/>
    <w:pitch w:val="default"/>
    <w:sig w:usb0="E00006FF" w:usb1="420024FF" w:usb2="02000000" w:usb3="00000000" w:csb0="2000019F" w:csb1="00000000"/>
    <w:embedRegular r:id="rId3" w:fontKey="{7D32BFE4-89B6-4ADD-9E5A-B21002B191C1}"/>
  </w:font>
  <w:font w:name="楷体">
    <w:panose1 w:val="02010609060101010101"/>
    <w:charset w:val="86"/>
    <w:family w:val="modern"/>
    <w:pitch w:val="default"/>
    <w:sig w:usb0="800002BF" w:usb1="38CF7CFA" w:usb2="00000016" w:usb3="00000000" w:csb0="00040001" w:csb1="00000000"/>
    <w:embedRegular r:id="rId4" w:fontKey="{7AE7608D-4A57-4A4C-A2D8-4B66E783D45F}"/>
  </w:font>
  <w:font w:name="仿宋_GB2312">
    <w:panose1 w:val="02010609030101010101"/>
    <w:charset w:val="86"/>
    <w:family w:val="modern"/>
    <w:pitch w:val="default"/>
    <w:sig w:usb0="00000001" w:usb1="080E0000" w:usb2="00000000" w:usb3="00000000" w:csb0="00040000" w:csb1="00000000"/>
    <w:embedRegular r:id="rId5" w:fontKey="{C89F2D30-8697-4C55-98DC-541B61C05C77}"/>
  </w:font>
  <w:font w:name="仿宋">
    <w:panose1 w:val="02010609060101010101"/>
    <w:charset w:val="86"/>
    <w:family w:val="modern"/>
    <w:pitch w:val="default"/>
    <w:sig w:usb0="800002BF" w:usb1="38CF7CFA" w:usb2="00000016" w:usb3="00000000" w:csb0="00040001" w:csb1="00000000"/>
    <w:embedRegular r:id="rId6" w:fontKey="{3902A94C-57CE-4705-9ECF-6C4AD6DFC799}"/>
  </w:font>
  <w:font w:name="ArialUnicodeMS">
    <w:altName w:val="Malgun Gothic"/>
    <w:panose1 w:val="00000000000000000000"/>
    <w:charset w:val="81"/>
    <w:family w:val="auto"/>
    <w:pitch w:val="default"/>
    <w:sig w:usb0="00000000" w:usb1="00000000" w:usb2="00000010" w:usb3="00000000" w:csb0="00080001" w:csb1="00000000"/>
    <w:embedRegular r:id="rId7" w:fontKey="{F1C27894-DF40-450F-9207-4C92520E9D21}"/>
  </w:font>
  <w:font w:name="MS-UIGothic,Bold">
    <w:altName w:val="Malgun Gothic"/>
    <w:panose1 w:val="00000000000000000000"/>
    <w:charset w:val="81"/>
    <w:family w:val="auto"/>
    <w:pitch w:val="default"/>
    <w:sig w:usb0="00000000" w:usb1="00000000" w:usb2="00000010" w:usb3="00000000" w:csb0="00080000" w:csb1="00000000"/>
    <w:embedRegular r:id="rId8" w:fontKey="{464D61CC-2405-442D-9C7D-DCDFC508ECB3}"/>
  </w:font>
  <w:font w:name="DengXian-Regular">
    <w:altName w:val="宋体"/>
    <w:panose1 w:val="00000000000000000000"/>
    <w:charset w:val="86"/>
    <w:family w:val="auto"/>
    <w:pitch w:val="default"/>
    <w:sig w:usb0="00000000" w:usb1="00000000" w:usb2="00000010" w:usb3="00000000" w:csb0="00040001" w:csb1="00000000"/>
    <w:embedRegular r:id="rId9" w:fontKey="{4B4F665F-FE28-4E6E-AD5F-0CEF5648BABB}"/>
  </w:font>
  <w:font w:name="Tahoma">
    <w:panose1 w:val="020B0604030504040204"/>
    <w:charset w:val="00"/>
    <w:family w:val="swiss"/>
    <w:pitch w:val="default"/>
    <w:sig w:usb0="E1002EFF" w:usb1="C000605B" w:usb2="00000029" w:usb3="00000000" w:csb0="200101FF" w:csb1="20280000"/>
    <w:embedRegular r:id="rId10" w:fontKey="{B76CCF5D-330C-413E-9DE7-BC8395A50A38}"/>
  </w:font>
  <w:font w:name="楷体_GB2312">
    <w:altName w:val="楷体"/>
    <w:panose1 w:val="00000000000000000000"/>
    <w:charset w:val="86"/>
    <w:family w:val="modern"/>
    <w:pitch w:val="default"/>
    <w:sig w:usb0="00000000" w:usb1="00000000" w:usb2="00000000" w:usb3="00000000" w:csb0="00000000" w:csb1="00000000"/>
    <w:embedRegular r:id="rId11" w:fontKey="{6A820A71-672B-4F68-B33E-FBC83A511796}"/>
  </w:font>
  <w:font w:name="DengXian-Bold">
    <w:altName w:val="宋体"/>
    <w:panose1 w:val="00000000000000000000"/>
    <w:charset w:val="86"/>
    <w:family w:val="auto"/>
    <w:pitch w:val="default"/>
    <w:sig w:usb0="00000000" w:usb1="00000000" w:usb2="00000010" w:usb3="00000000" w:csb0="00040001" w:csb1="00000000"/>
    <w:embedRegular r:id="rId12" w:fontKey="{66E44800-E5E3-4353-A4BB-58468541563A}"/>
  </w:font>
  <w:font w:name="微软雅黑">
    <w:panose1 w:val="020B0503020204020204"/>
    <w:charset w:val="86"/>
    <w:family w:val="swiss"/>
    <w:pitch w:val="default"/>
    <w:sig w:usb0="80000287" w:usb1="2ACF3C50" w:usb2="00000016" w:usb3="00000000" w:csb0="0004001F" w:csb1="00000000"/>
    <w:embedRegular r:id="rId13" w:fontKey="{CB54FFAB-AFB3-4B53-BFA7-FBE0452785C9}"/>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61A8313D"/>
    <w:multiLevelType w:val="multilevel"/>
    <w:tmpl w:val="61A8313D"/>
    <w:lvl w:ilvl="0" w:tentative="0">
      <w:start w:val="1"/>
      <w:numFmt w:val="japaneseCounting"/>
      <w:lvlText w:val="%1、"/>
      <w:lvlJc w:val="left"/>
      <w:pPr>
        <w:ind w:left="1280" w:hanging="64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E3MzdkNjM4ODgwYzA2ODU2MjM2OTJlMmM0YWU3ZDAifQ=="/>
  </w:docVars>
  <w:rsids>
    <w:rsidRoot w:val="003C1413"/>
    <w:rsid w:val="00024E7F"/>
    <w:rsid w:val="000475A0"/>
    <w:rsid w:val="000838C3"/>
    <w:rsid w:val="000B2446"/>
    <w:rsid w:val="000D7C65"/>
    <w:rsid w:val="000E2F81"/>
    <w:rsid w:val="00117946"/>
    <w:rsid w:val="00117E2C"/>
    <w:rsid w:val="00146C47"/>
    <w:rsid w:val="00152FB8"/>
    <w:rsid w:val="00172788"/>
    <w:rsid w:val="00176658"/>
    <w:rsid w:val="0018239E"/>
    <w:rsid w:val="001B3410"/>
    <w:rsid w:val="001C030D"/>
    <w:rsid w:val="001C4A84"/>
    <w:rsid w:val="001E5902"/>
    <w:rsid w:val="00233705"/>
    <w:rsid w:val="00275CA2"/>
    <w:rsid w:val="002A65A5"/>
    <w:rsid w:val="002C04C4"/>
    <w:rsid w:val="002D08B0"/>
    <w:rsid w:val="002D1AE3"/>
    <w:rsid w:val="002F2ECE"/>
    <w:rsid w:val="0030634C"/>
    <w:rsid w:val="00341C8F"/>
    <w:rsid w:val="0035463A"/>
    <w:rsid w:val="00391D9D"/>
    <w:rsid w:val="003B6C51"/>
    <w:rsid w:val="003C1413"/>
    <w:rsid w:val="003C549F"/>
    <w:rsid w:val="003D5A16"/>
    <w:rsid w:val="003D66EE"/>
    <w:rsid w:val="003E7DB3"/>
    <w:rsid w:val="00431175"/>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171A3"/>
    <w:rsid w:val="00944CD7"/>
    <w:rsid w:val="00951BA3"/>
    <w:rsid w:val="009831B2"/>
    <w:rsid w:val="00986B3A"/>
    <w:rsid w:val="009A1ABE"/>
    <w:rsid w:val="009E21A4"/>
    <w:rsid w:val="009F22C6"/>
    <w:rsid w:val="00A07E50"/>
    <w:rsid w:val="00A15397"/>
    <w:rsid w:val="00A35CE0"/>
    <w:rsid w:val="00A4462E"/>
    <w:rsid w:val="00A44AA4"/>
    <w:rsid w:val="00A61623"/>
    <w:rsid w:val="00A84687"/>
    <w:rsid w:val="00AB0A0E"/>
    <w:rsid w:val="00AD3B6E"/>
    <w:rsid w:val="00AE27C4"/>
    <w:rsid w:val="00B1751F"/>
    <w:rsid w:val="00B53752"/>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0409E"/>
    <w:rsid w:val="00F6252C"/>
    <w:rsid w:val="00F679C7"/>
    <w:rsid w:val="00F7711A"/>
    <w:rsid w:val="00FA0D58"/>
    <w:rsid w:val="00FA56F4"/>
    <w:rsid w:val="00FB4EDA"/>
    <w:rsid w:val="00FD3BD5"/>
    <w:rsid w:val="00FE3DC8"/>
    <w:rsid w:val="04073F84"/>
    <w:rsid w:val="04B65A5D"/>
    <w:rsid w:val="071E6C43"/>
    <w:rsid w:val="093F2AAF"/>
    <w:rsid w:val="0B60750A"/>
    <w:rsid w:val="0CEB22AC"/>
    <w:rsid w:val="10686488"/>
    <w:rsid w:val="10DF728A"/>
    <w:rsid w:val="1264200E"/>
    <w:rsid w:val="141C5B77"/>
    <w:rsid w:val="18D8339D"/>
    <w:rsid w:val="1A21388F"/>
    <w:rsid w:val="1A570D2F"/>
    <w:rsid w:val="1EEF0C49"/>
    <w:rsid w:val="242E1CDC"/>
    <w:rsid w:val="26274E5E"/>
    <w:rsid w:val="27A33318"/>
    <w:rsid w:val="28FB0B8D"/>
    <w:rsid w:val="2A9870FC"/>
    <w:rsid w:val="2D2B7942"/>
    <w:rsid w:val="2D46481D"/>
    <w:rsid w:val="2E733B28"/>
    <w:rsid w:val="31852B5A"/>
    <w:rsid w:val="324C5379"/>
    <w:rsid w:val="32D01238"/>
    <w:rsid w:val="33293D51"/>
    <w:rsid w:val="35116C91"/>
    <w:rsid w:val="3DFC59A8"/>
    <w:rsid w:val="3E470245"/>
    <w:rsid w:val="3ECF245E"/>
    <w:rsid w:val="3FB96314"/>
    <w:rsid w:val="4D310787"/>
    <w:rsid w:val="4F990ED4"/>
    <w:rsid w:val="53A44FAF"/>
    <w:rsid w:val="594329EC"/>
    <w:rsid w:val="5BEE1540"/>
    <w:rsid w:val="5DE61A5D"/>
    <w:rsid w:val="63684390"/>
    <w:rsid w:val="63C04243"/>
    <w:rsid w:val="649C01C7"/>
    <w:rsid w:val="678F0E3C"/>
    <w:rsid w:val="699A3F60"/>
    <w:rsid w:val="72902E62"/>
    <w:rsid w:val="73C61104"/>
    <w:rsid w:val="764B7D32"/>
    <w:rsid w:val="767B3005"/>
    <w:rsid w:val="776452EA"/>
    <w:rsid w:val="7CEA5BFD"/>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5">
    <w:name w:val="页眉 字符"/>
    <w:basedOn w:val="14"/>
    <w:link w:val="9"/>
    <w:qFormat/>
    <w:uiPriority w:val="99"/>
    <w:rPr>
      <w:sz w:val="18"/>
      <w:szCs w:val="18"/>
    </w:rPr>
  </w:style>
  <w:style w:type="character" w:customStyle="1" w:styleId="16">
    <w:name w:val="页脚 字符"/>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字符"/>
    <w:basedOn w:val="14"/>
    <w:link w:val="17"/>
    <w:qFormat/>
    <w:uiPriority w:val="1"/>
    <w:rPr>
      <w:kern w:val="0"/>
      <w:sz w:val="22"/>
    </w:rPr>
  </w:style>
  <w:style w:type="character" w:customStyle="1" w:styleId="19">
    <w:name w:val="批注框文本 字符"/>
    <w:basedOn w:val="14"/>
    <w:link w:val="7"/>
    <w:semiHidden/>
    <w:qFormat/>
    <w:uiPriority w:val="99"/>
    <w:rPr>
      <w:rFonts w:ascii="Times New Roman" w:hAnsi="Times New Roman" w:eastAsia="宋体" w:cs="Times New Roman"/>
      <w:sz w:val="18"/>
      <w:szCs w:val="18"/>
    </w:rPr>
  </w:style>
  <w:style w:type="character" w:customStyle="1" w:styleId="20">
    <w:name w:val="标题 字符"/>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字符"/>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字符"/>
    <w:basedOn w:val="14"/>
    <w:link w:val="2"/>
    <w:qFormat/>
    <w:uiPriority w:val="9"/>
    <w:rPr>
      <w:rFonts w:ascii="Times New Roman" w:hAnsi="Times New Roman" w:eastAsia="宋体" w:cs="Times New Roman"/>
      <w:b/>
      <w:bCs/>
      <w:kern w:val="44"/>
      <w:sz w:val="44"/>
      <w:szCs w:val="44"/>
    </w:rPr>
  </w:style>
  <w:style w:type="character" w:customStyle="1" w:styleId="28">
    <w:name w:val="标题 2 字符"/>
    <w:basedOn w:val="14"/>
    <w:link w:val="3"/>
    <w:qFormat/>
    <w:uiPriority w:val="9"/>
    <w:rPr>
      <w:rFonts w:asciiTheme="majorHAnsi" w:hAnsiTheme="majorHAnsi" w:eastAsiaTheme="majorEastAsia" w:cstheme="majorBidi"/>
      <w:b/>
      <w:bCs/>
      <w:sz w:val="32"/>
      <w:szCs w:val="32"/>
    </w:rPr>
  </w:style>
  <w:style w:type="character" w:customStyle="1" w:styleId="29">
    <w:name w:val="标题 3 字符"/>
    <w:basedOn w:val="14"/>
    <w:link w:val="4"/>
    <w:qFormat/>
    <w:uiPriority w:val="9"/>
    <w:rPr>
      <w:rFonts w:ascii="Times New Roman" w:hAnsi="Times New Roman" w:eastAsia="宋体" w:cs="Times New Roman"/>
      <w:b/>
      <w:bCs/>
      <w:sz w:val="32"/>
      <w:szCs w:val="32"/>
    </w:rPr>
  </w:style>
  <w:style w:type="character" w:customStyle="1" w:styleId="30">
    <w:name w:val="标题 4 字符"/>
    <w:basedOn w:val="14"/>
    <w:link w:val="5"/>
    <w:qFormat/>
    <w:uiPriority w:val="9"/>
    <w:rPr>
      <w:rFonts w:asciiTheme="majorHAnsi" w:hAnsiTheme="majorHAnsi" w:eastAsiaTheme="majorEastAsia" w:cstheme="majorBidi"/>
      <w:b/>
      <w:bCs/>
      <w:sz w:val="28"/>
      <w:szCs w:val="28"/>
    </w:rPr>
  </w:style>
  <w:style w:type="character" w:customStyle="1" w:styleId="31">
    <w:name w:val="日期 字符"/>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2B6CD849-8498-4D71-8BA8-27EB336527A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600</Words>
  <Characters>3425</Characters>
  <Lines>28</Lines>
  <Paragraphs>8</Paragraphs>
  <TotalTime>1</TotalTime>
  <ScaleCrop>false</ScaleCrop>
  <LinksUpToDate>false</LinksUpToDate>
  <CharactersWithSpaces>4017</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2021-05-30T07:57:00Z</dcterms:created>
  <dc:creator>User</dc:creator>
  <cp:lastModifiedBy>领衔 80后</cp:lastModifiedBy>
  <cp:lastPrinted>2019-08-02T01:01:00Z</cp:lastPrinted>
  <dcterms:modified xsi:type="dcterms:W3CDTF">2024-05-21T03:32:13Z</dcterms:modified>
  <dc:subject>石家庄市xxx部门</dc:subject>
  <dc:title>2017年度部门决算</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2479E7ABF5004752967882E9A2104263</vt:lpwstr>
  </property>
</Properties>
</file>