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45720</wp:posOffset>
            </wp:positionH>
            <wp:positionV relativeFrom="page">
              <wp:posOffset>28575</wp:posOffset>
            </wp:positionV>
            <wp:extent cx="7552690" cy="106921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23"/>
        </w:rPr>
      </w:pPr>
    </w:p>
    <w:p>
      <w:pPr>
        <w:spacing w:before="0" w:line="1184" w:lineRule="exact"/>
        <w:ind w:left="11" w:right="0" w:firstLine="0"/>
        <w:jc w:val="center"/>
        <w:rPr>
          <w:rFonts w:hint="eastAsia" w:ascii="黑体" w:eastAsia="黑体"/>
          <w:sz w:val="96"/>
        </w:rPr>
      </w:pPr>
      <w:bookmarkStart w:id="0" w:name="馆陶县发展改革局 2018 年"/>
      <w:bookmarkEnd w:id="0"/>
      <w:r>
        <w:rPr>
          <w:rFonts w:hint="eastAsia" w:ascii="黑体" w:eastAsia="黑体"/>
          <w:color w:val="FBEDBC"/>
          <w:spacing w:val="-29"/>
          <w:sz w:val="96"/>
        </w:rPr>
        <w:t>馆陶县</w:t>
      </w:r>
      <w:r>
        <w:rPr>
          <w:rFonts w:hint="eastAsia" w:ascii="黑体" w:eastAsia="黑体"/>
          <w:color w:val="FBEDBC"/>
          <w:spacing w:val="-29"/>
          <w:sz w:val="96"/>
          <w:lang w:eastAsia="zh-CN"/>
        </w:rPr>
        <w:t>应急管理局</w:t>
      </w:r>
      <w:r>
        <w:rPr>
          <w:rFonts w:hint="eastAsia" w:ascii="黑体" w:eastAsia="黑体"/>
          <w:color w:val="FBEDBC"/>
          <w:sz w:val="96"/>
        </w:rPr>
        <w:t>2018</w:t>
      </w:r>
      <w:r>
        <w:rPr>
          <w:rFonts w:hint="eastAsia" w:ascii="黑体" w:eastAsia="黑体"/>
          <w:color w:val="FBEDBC"/>
          <w:spacing w:val="-60"/>
          <w:sz w:val="96"/>
        </w:rPr>
        <w:t>年</w:t>
      </w:r>
    </w:p>
    <w:p>
      <w:pPr>
        <w:spacing w:before="0" w:line="1219" w:lineRule="exact"/>
        <w:ind w:left="101" w:right="209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度部门决算</w:t>
      </w:r>
    </w:p>
    <w:p>
      <w:pPr>
        <w:pStyle w:val="4"/>
        <w:rPr>
          <w:rFonts w:ascii="黑体"/>
          <w:sz w:val="96"/>
        </w:rPr>
      </w:pPr>
    </w:p>
    <w:p>
      <w:pPr>
        <w:pStyle w:val="4"/>
        <w:rPr>
          <w:rFonts w:ascii="黑体"/>
          <w:sz w:val="96"/>
        </w:rPr>
      </w:pPr>
    </w:p>
    <w:p>
      <w:pPr>
        <w:pStyle w:val="4"/>
        <w:rPr>
          <w:rFonts w:ascii="黑体"/>
          <w:sz w:val="96"/>
        </w:rPr>
      </w:pPr>
    </w:p>
    <w:p>
      <w:pPr>
        <w:pStyle w:val="4"/>
        <w:rPr>
          <w:rFonts w:ascii="黑体"/>
          <w:sz w:val="96"/>
        </w:rPr>
      </w:pPr>
    </w:p>
    <w:p>
      <w:pPr>
        <w:pStyle w:val="4"/>
        <w:spacing w:before="5"/>
        <w:rPr>
          <w:rFonts w:ascii="黑体"/>
          <w:sz w:val="131"/>
        </w:rPr>
      </w:pPr>
    </w:p>
    <w:p>
      <w:pPr>
        <w:spacing w:before="1"/>
        <w:ind w:left="101" w:right="513" w:firstLine="0"/>
        <w:jc w:val="center"/>
        <w:rPr>
          <w:rFonts w:hint="eastAsia" w:ascii="楷体" w:eastAsia="楷体"/>
          <w:b/>
          <w:sz w:val="40"/>
        </w:rPr>
      </w:pPr>
      <w:r>
        <w:rPr>
          <w:rFonts w:hint="eastAsia" w:ascii="楷体" w:eastAsia="楷体"/>
          <w:b/>
          <w:sz w:val="40"/>
        </w:rPr>
        <w:t>二〇一九年十二月</w:t>
      </w:r>
    </w:p>
    <w:p>
      <w:pPr>
        <w:spacing w:after="0"/>
        <w:jc w:val="center"/>
        <w:rPr>
          <w:rFonts w:hint="eastAsia" w:ascii="楷体" w:eastAsia="楷体"/>
          <w:sz w:val="40"/>
        </w:rPr>
        <w:sectPr>
          <w:type w:val="continuous"/>
          <w:pgSz w:w="11910" w:h="16840"/>
          <w:pgMar w:top="1600" w:right="280" w:bottom="280" w:left="260" w:header="720" w:footer="720" w:gutter="0"/>
          <w:cols w:space="720" w:num="1"/>
        </w:sect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rPr>
          <w:rFonts w:ascii="楷体"/>
          <w:b/>
          <w:sz w:val="20"/>
        </w:rPr>
      </w:pPr>
    </w:p>
    <w:p>
      <w:pPr>
        <w:pStyle w:val="4"/>
        <w:spacing w:before="4"/>
        <w:rPr>
          <w:rFonts w:ascii="楷体"/>
          <w:b/>
          <w:sz w:val="20"/>
        </w:rPr>
      </w:pPr>
    </w:p>
    <w:p>
      <w:pPr>
        <w:tabs>
          <w:tab w:val="left" w:pos="1573"/>
        </w:tabs>
        <w:spacing w:before="33"/>
        <w:ind w:left="134" w:right="0" w:firstLine="0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目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录</w:t>
      </w:r>
    </w:p>
    <w:p>
      <w:pPr>
        <w:pStyle w:val="4"/>
        <w:rPr>
          <w:rFonts w:ascii="黑体"/>
          <w:sz w:val="48"/>
        </w:rPr>
      </w:pPr>
    </w:p>
    <w:p>
      <w:pPr>
        <w:pStyle w:val="4"/>
        <w:tabs>
          <w:tab w:val="left" w:pos="3728"/>
        </w:tabs>
        <w:spacing w:before="353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部门概况</w:t>
      </w:r>
    </w:p>
    <w:p>
      <w:pPr>
        <w:pStyle w:val="4"/>
        <w:spacing w:before="3"/>
        <w:rPr>
          <w:rFonts w:ascii="黑体"/>
          <w:sz w:val="26"/>
        </w:rPr>
      </w:pPr>
    </w:p>
    <w:p>
      <w:pPr>
        <w:pStyle w:val="4"/>
        <w:spacing w:before="1" w:line="436" w:lineRule="auto"/>
        <w:ind w:left="2600" w:right="6847"/>
      </w:pPr>
      <w:r>
        <w:t>一、部门职责二、机构设置</w:t>
      </w:r>
    </w:p>
    <w:p>
      <w:pPr>
        <w:pStyle w:val="4"/>
        <w:tabs>
          <w:tab w:val="left" w:pos="3728"/>
        </w:tabs>
        <w:spacing w:before="7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第二部分</w:t>
      </w:r>
      <w:r>
        <w:rPr>
          <w:rFonts w:hint="eastAsia" w:ascii="黑体" w:eastAsia="黑体"/>
        </w:rPr>
        <w:tab/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hint="eastAsia" w:ascii="黑体" w:eastAsia="黑体"/>
        </w:rPr>
        <w:t>年度部门决算报表</w:t>
      </w:r>
    </w:p>
    <w:p>
      <w:pPr>
        <w:pStyle w:val="4"/>
        <w:spacing w:before="3"/>
        <w:rPr>
          <w:rFonts w:ascii="黑体"/>
          <w:sz w:val="26"/>
        </w:rPr>
      </w:pPr>
    </w:p>
    <w:p>
      <w:pPr>
        <w:pStyle w:val="4"/>
        <w:spacing w:line="436" w:lineRule="auto"/>
        <w:ind w:left="2608" w:right="5531"/>
      </w:pPr>
      <w:r>
        <w:t>一、收入支出决算总表二、收入决算表</w:t>
      </w:r>
    </w:p>
    <w:p>
      <w:pPr>
        <w:pStyle w:val="4"/>
        <w:spacing w:before="8"/>
        <w:ind w:left="2608"/>
      </w:pPr>
      <w:r>
        <w:t>三、支出决算表</w:t>
      </w:r>
    </w:p>
    <w:p>
      <w:pPr>
        <w:pStyle w:val="4"/>
        <w:spacing w:before="3"/>
        <w:rPr>
          <w:sz w:val="26"/>
        </w:rPr>
      </w:pPr>
    </w:p>
    <w:p>
      <w:pPr>
        <w:pStyle w:val="4"/>
        <w:ind w:left="2608"/>
      </w:pPr>
      <w:r>
        <w:t>四、财政拨款收入支出决算总表</w:t>
      </w:r>
    </w:p>
    <w:p>
      <w:pPr>
        <w:pStyle w:val="4"/>
        <w:spacing w:before="6"/>
        <w:rPr>
          <w:sz w:val="26"/>
        </w:rPr>
      </w:pPr>
    </w:p>
    <w:p>
      <w:pPr>
        <w:pStyle w:val="4"/>
        <w:ind w:left="2608"/>
      </w:pPr>
      <w:r>
        <w:t>五、一般公共预算财政拨款支出决算表</w:t>
      </w:r>
    </w:p>
    <w:p>
      <w:pPr>
        <w:pStyle w:val="4"/>
        <w:spacing w:before="8"/>
        <w:rPr>
          <w:sz w:val="26"/>
        </w:rPr>
      </w:pPr>
    </w:p>
    <w:p>
      <w:pPr>
        <w:pStyle w:val="4"/>
        <w:ind w:left="2608"/>
      </w:pPr>
      <w:r>
        <w:t>六、一般公共预算财政拨款基本支出决算表</w:t>
      </w:r>
    </w:p>
    <w:p>
      <w:pPr>
        <w:pStyle w:val="4"/>
        <w:spacing w:before="6"/>
        <w:rPr>
          <w:sz w:val="26"/>
        </w:rPr>
      </w:pPr>
    </w:p>
    <w:p>
      <w:pPr>
        <w:pStyle w:val="4"/>
        <w:spacing w:line="436" w:lineRule="auto"/>
        <w:ind w:left="2608" w:right="1757"/>
      </w:pPr>
      <w:r>
        <w:t>七、一般公共预算财政拨款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>经费支出决算表八、政府性基金预算财政拨款收入支出决算表</w:t>
      </w:r>
    </w:p>
    <w:p>
      <w:pPr>
        <w:pStyle w:val="4"/>
        <w:spacing w:before="5" w:line="439" w:lineRule="auto"/>
        <w:ind w:left="2608" w:right="2681"/>
      </w:pPr>
      <w:r>
        <w:t>九、国有资本经营预算财政拨款支出决算表十、政府采购情况表</w:t>
      </w:r>
    </w:p>
    <w:p>
      <w:pPr>
        <w:spacing w:after="0" w:line="439" w:lineRule="auto"/>
        <w:sectPr>
          <w:headerReference r:id="rId5" w:type="default"/>
          <w:pgSz w:w="11910" w:h="16840"/>
          <w:pgMar w:top="820" w:right="280" w:bottom="280" w:left="260" w:header="62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4"/>
        </w:rPr>
      </w:pPr>
    </w:p>
    <w:p>
      <w:pPr>
        <w:pStyle w:val="4"/>
        <w:tabs>
          <w:tab w:val="left" w:pos="3567"/>
        </w:tabs>
        <w:spacing w:before="64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第三部分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馆陶县</w:t>
      </w:r>
      <w:r>
        <w:rPr>
          <w:rFonts w:hint="eastAsia" w:ascii="黑体" w:eastAsia="黑体"/>
          <w:lang w:eastAsia="zh-CN"/>
        </w:rPr>
        <w:t>应急管理</w:t>
      </w:r>
      <w:r>
        <w:rPr>
          <w:rFonts w:hint="eastAsia" w:ascii="黑体" w:eastAsia="黑体"/>
        </w:rPr>
        <w:t>局</w:t>
      </w:r>
      <w:r>
        <w:rPr>
          <w:rFonts w:hint="eastAsia" w:ascii="黑体" w:eastAsia="黑体"/>
          <w:spacing w:val="-80"/>
        </w:rPr>
        <w:t xml:space="preserve"> </w:t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hint="eastAsia" w:ascii="黑体" w:eastAsia="黑体"/>
        </w:rPr>
        <w:t>年度部门决算情况说明</w:t>
      </w:r>
    </w:p>
    <w:p>
      <w:pPr>
        <w:pStyle w:val="4"/>
        <w:spacing w:before="8"/>
        <w:rPr>
          <w:rFonts w:ascii="黑体"/>
          <w:sz w:val="26"/>
        </w:rPr>
      </w:pPr>
    </w:p>
    <w:p>
      <w:pPr>
        <w:pStyle w:val="4"/>
        <w:spacing w:line="436" w:lineRule="auto"/>
        <w:ind w:left="2608" w:right="4247"/>
      </w:pPr>
      <w:r>
        <w:t>一、收入支出决算总体情况说明二、收入决算情况说明</w:t>
      </w:r>
    </w:p>
    <w:p>
      <w:pPr>
        <w:pStyle w:val="4"/>
        <w:spacing w:before="5"/>
        <w:ind w:left="2608"/>
      </w:pPr>
      <w:r>
        <w:t>三、支出决算情况说明</w:t>
      </w:r>
    </w:p>
    <w:p>
      <w:pPr>
        <w:pStyle w:val="4"/>
        <w:spacing w:before="6"/>
        <w:rPr>
          <w:sz w:val="26"/>
        </w:rPr>
      </w:pPr>
    </w:p>
    <w:p>
      <w:pPr>
        <w:pStyle w:val="4"/>
        <w:ind w:left="2608"/>
      </w:pPr>
      <w:r>
        <w:t>四、财政拨款收入支出决算情况说明</w:t>
      </w:r>
    </w:p>
    <w:p>
      <w:pPr>
        <w:pStyle w:val="4"/>
        <w:spacing w:before="5"/>
        <w:rPr>
          <w:sz w:val="21"/>
        </w:rPr>
      </w:pPr>
    </w:p>
    <w:p>
      <w:pPr>
        <w:pStyle w:val="4"/>
        <w:spacing w:before="65"/>
        <w:ind w:left="2608"/>
      </w:pPr>
      <w:r>
        <w:t>五、一般公共预算财政拨款</w:t>
      </w:r>
      <w:r>
        <w:rPr>
          <w:rFonts w:ascii="Times New Roman" w:hAnsi="Times New Roman" w:eastAsia="Times New Roman"/>
        </w:rPr>
        <w:t>“</w:t>
      </w:r>
      <w:r>
        <w:t>三公</w:t>
      </w:r>
      <w:r>
        <w:rPr>
          <w:rFonts w:ascii="Times New Roman" w:hAnsi="Times New Roman" w:eastAsia="Times New Roman"/>
        </w:rPr>
        <w:t>”</w:t>
      </w:r>
      <w:r>
        <w:t>经费支出决算情况说</w:t>
      </w:r>
    </w:p>
    <w:p>
      <w:pPr>
        <w:pStyle w:val="4"/>
        <w:spacing w:before="175"/>
        <w:ind w:left="1967"/>
      </w:pPr>
      <w:r>
        <w:rPr>
          <w:w w:val="97"/>
        </w:rPr>
        <w:t>明</w:t>
      </w:r>
    </w:p>
    <w:p>
      <w:pPr>
        <w:pStyle w:val="4"/>
        <w:spacing w:before="1"/>
        <w:rPr>
          <w:sz w:val="22"/>
        </w:rPr>
      </w:pPr>
    </w:p>
    <w:p>
      <w:pPr>
        <w:pStyle w:val="4"/>
        <w:spacing w:before="54" w:line="436" w:lineRule="auto"/>
        <w:ind w:left="2608" w:right="5261"/>
      </w:pPr>
      <w:r>
        <w:t>六、预算绩效情况说明</w:t>
      </w:r>
      <w:r>
        <w:rPr>
          <w:spacing w:val="-4"/>
        </w:rPr>
        <w:t>七、其他重要事项的说明</w:t>
      </w:r>
    </w:p>
    <w:p>
      <w:pPr>
        <w:pStyle w:val="4"/>
        <w:tabs>
          <w:tab w:val="left" w:pos="3567"/>
        </w:tabs>
        <w:spacing w:before="8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第四部分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名词解释</w:t>
      </w:r>
    </w:p>
    <w:p>
      <w:pPr>
        <w:spacing w:after="0"/>
        <w:rPr>
          <w:rFonts w:hint="eastAsia" w:ascii="黑体" w:eastAsia="黑体"/>
        </w:rPr>
        <w:sectPr>
          <w:headerReference r:id="rId6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2"/>
        <w:rPr>
          <w:rFonts w:ascii="黑体"/>
          <w:sz w:val="25"/>
        </w:rPr>
      </w:pPr>
    </w:p>
    <w:p>
      <w:pPr>
        <w:pStyle w:val="4"/>
        <w:spacing w:before="54"/>
        <w:ind w:left="1328"/>
        <w:rPr>
          <w:rFonts w:hint="eastAsia" w:ascii="黑体" w:eastAsia="黑体"/>
        </w:rPr>
      </w:pPr>
      <w:r>
        <w:rPr>
          <w:rFonts w:hint="eastAsia" w:ascii="黑体" w:eastAsia="黑体"/>
        </w:rPr>
        <w:t>一、部门职责</w:t>
      </w:r>
    </w:p>
    <w:p>
      <w:pPr>
        <w:pStyle w:val="4"/>
        <w:rPr>
          <w:rFonts w:ascii="黑体"/>
          <w:sz w:val="30"/>
        </w:rPr>
      </w:pPr>
    </w:p>
    <w:p>
      <w:pPr>
        <w:pStyle w:val="4"/>
        <w:ind w:left="1928"/>
      </w:pPr>
      <w:r>
        <w:t>主要职责</w:t>
      </w:r>
    </w:p>
    <w:p>
      <w:pPr>
        <w:pStyle w:val="4"/>
        <w:spacing w:before="11"/>
        <w:rPr>
          <w:sz w:val="29"/>
        </w:rPr>
      </w:pP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（一）与县自然资源和规划局（县林业局）、县水利局等部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门在自然灾害防救方面的职责分工。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1.县应急管理局负责组织编制全县总体应急预案和安全生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产类、自然灾害类专项预案，综合协调应急预案衔接工作，组织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开展预案演练；按照分级负责的原则，指导自然灾害类应急救援；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组织协调较大灾害应急救援工作，并按权限作出决定；承担县应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对一般灾害指挥部工作，协助县委、县政府指定的负责同志组织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一般灾害应急处置工作；组织编制综合防灾减灾规划，指导协调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相关部门森林和草原火灾、水旱灾害、地质灾害等防治工作；会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同县自然资源和规划局、县水利局、县气象局、县自然资源和规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划局（县林业局）等有关部门建立统一的应急管理信息平台，建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立监测预警和灾情报告制度，健全自然灾害信息资源获取和共享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机制，依法统一发布灾情；开展多灾种和灾害链综合监测预警，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指导开展自然灾害综合风险评估。负责森林和草原火情监测预警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工作，发布森林和草原火险、火灾信息。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2.县自然资源和规划局（县林业局）负责落实综合防灾减灾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规划相关要求，组织编制地质灾害防治、森林和草原火灾防治规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划并指导实施；组织指导协调和监督地质灾害调查评价及隐患的 </w:t>
      </w:r>
    </w:p>
    <w:p>
      <w:pPr>
        <w:keepNext w:val="0"/>
        <w:keepLines w:val="0"/>
        <w:widowControl/>
        <w:suppressLineNumbers w:val="0"/>
        <w:ind w:left="957" w:leftChars="435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普查、详查、排查；指导开展群测群防、专业监测和预报预警等</w:t>
      </w:r>
    </w:p>
    <w:p>
      <w:pPr>
        <w:keepNext w:val="0"/>
        <w:keepLines w:val="0"/>
        <w:widowControl/>
        <w:suppressLineNumbers w:val="0"/>
        <w:ind w:left="957" w:leftChars="435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工作，指导开展地质灾害工程治理工作；承担地质灾害应急救援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的技术支撑工作；指导开展防火巡护、火源管理、防火设施建设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等工作；组织指导国有林场林区和草原开展防火宣传教育、监测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预警、督促检查等工作。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3.县水利局负责落实综合防灾减灾规划相关要求，组织编制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洪水干旱灾害防治规划和防护标准并指导实施；承担水情旱情监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测预警工作；组织编制重要江河湖泊和重要水工程的防御洪水抗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御旱灾调度和应急水量调度方案，按程序报批并组织实施；承担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防御洪水应急抢险的技术支撑工作；承担台风防御期间重要水工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程调度工作。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4.必要时，县自然资源和规划局（县林业局）、县水利局等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部门可以提请县应急管理局，以县应急指挥机构名义部署相关防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治工作。</w:t>
      </w:r>
    </w:p>
    <w:p>
      <w:pPr>
        <w:keepNext w:val="0"/>
        <w:keepLines w:val="0"/>
        <w:widowControl/>
        <w:suppressLineNumbers w:val="0"/>
        <w:ind w:firstLine="1240" w:firstLineChars="4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（二）与县发展改革局（县粮食和物资储备局）在救灾物资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储备方面的职责分工。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县应急管理局负责提出救灾物资的储备需求和动用预案，组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织编制救灾物资储备规划、品种目录，确定年度购置计划，根据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需要下达动用指令。县发展和改革局（县粮食和物资储备局）负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责收储、轮换和管理有关应急救灾物资，按程序及时做好调出、 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运送等工作。</w:t>
      </w:r>
    </w:p>
    <w:p>
      <w:pPr>
        <w:pStyle w:val="4"/>
        <w:spacing w:before="33"/>
        <w:ind w:left="1328"/>
        <w:rPr>
          <w:rFonts w:hint="eastAsia" w:ascii="黑体" w:eastAsia="黑体"/>
        </w:rPr>
      </w:pPr>
      <w:r>
        <w:rPr>
          <w:rFonts w:hint="eastAsia" w:ascii="黑体" w:eastAsia="黑体"/>
        </w:rPr>
        <w:t>二、机构设置</w:t>
      </w:r>
    </w:p>
    <w:p>
      <w:pPr>
        <w:pStyle w:val="4"/>
        <w:spacing w:before="163"/>
        <w:ind w:left="1967"/>
      </w:pPr>
      <w:r>
        <w:t>从决算编报单位构成看，纳入 2018 年度本部门决算汇编范</w:t>
      </w:r>
    </w:p>
    <w:p>
      <w:pPr>
        <w:pStyle w:val="4"/>
        <w:spacing w:before="154"/>
        <w:ind w:left="1328"/>
      </w:pPr>
      <w:r>
        <w:t>围的独立核算单位（以下简称“单位”）共 1 个，具体情况如下：</w:t>
      </w:r>
    </w:p>
    <w:p>
      <w:pPr>
        <w:pStyle w:val="4"/>
        <w:spacing w:before="7"/>
        <w:rPr>
          <w:sz w:val="23"/>
        </w:rPr>
      </w:pPr>
    </w:p>
    <w:tbl>
      <w:tblPr>
        <w:tblStyle w:val="5"/>
        <w:tblW w:w="9580" w:type="dxa"/>
        <w:tblInd w:w="10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485"/>
        <w:gridCol w:w="2445"/>
        <w:gridCol w:w="2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985" w:type="dxa"/>
          </w:tcPr>
          <w:p>
            <w:pPr>
              <w:pStyle w:val="9"/>
              <w:spacing w:before="285"/>
              <w:ind w:left="213"/>
              <w:rPr>
                <w:rFonts w:hint="eastAsia" w:ascii="微软雅黑" w:eastAsia="微软雅黑"/>
                <w:b/>
                <w:i/>
                <w:sz w:val="28"/>
              </w:rPr>
            </w:pPr>
            <w:r>
              <w:rPr>
                <w:rFonts w:hint="eastAsia" w:ascii="微软雅黑" w:eastAsia="微软雅黑"/>
                <w:b/>
                <w:i/>
                <w:sz w:val="28"/>
              </w:rPr>
              <w:t>序号</w:t>
            </w:r>
          </w:p>
        </w:tc>
        <w:tc>
          <w:tcPr>
            <w:tcW w:w="3485" w:type="dxa"/>
          </w:tcPr>
          <w:p>
            <w:pPr>
              <w:pStyle w:val="9"/>
              <w:spacing w:before="285"/>
              <w:ind w:left="1167" w:right="1147"/>
              <w:jc w:val="center"/>
              <w:rPr>
                <w:rFonts w:hint="eastAsia" w:ascii="微软雅黑" w:eastAsia="微软雅黑"/>
                <w:b/>
                <w:i/>
                <w:sz w:val="28"/>
              </w:rPr>
            </w:pPr>
            <w:r>
              <w:rPr>
                <w:rFonts w:hint="eastAsia" w:ascii="微软雅黑" w:eastAsia="微软雅黑"/>
                <w:b/>
                <w:i/>
                <w:sz w:val="28"/>
              </w:rPr>
              <w:t>单位名称</w:t>
            </w:r>
          </w:p>
        </w:tc>
        <w:tc>
          <w:tcPr>
            <w:tcW w:w="2445" w:type="dxa"/>
          </w:tcPr>
          <w:p>
            <w:pPr>
              <w:pStyle w:val="9"/>
              <w:spacing w:before="285"/>
              <w:ind w:left="382"/>
              <w:rPr>
                <w:rFonts w:hint="eastAsia" w:ascii="微软雅黑" w:eastAsia="微软雅黑"/>
                <w:b/>
                <w:i/>
                <w:sz w:val="28"/>
              </w:rPr>
            </w:pPr>
            <w:r>
              <w:rPr>
                <w:rFonts w:hint="eastAsia" w:ascii="微软雅黑" w:eastAsia="微软雅黑"/>
                <w:b/>
                <w:i/>
                <w:sz w:val="28"/>
              </w:rPr>
              <w:t>单位基本性质</w:t>
            </w:r>
          </w:p>
        </w:tc>
        <w:tc>
          <w:tcPr>
            <w:tcW w:w="2665" w:type="dxa"/>
          </w:tcPr>
          <w:p>
            <w:pPr>
              <w:pStyle w:val="9"/>
              <w:spacing w:before="285"/>
              <w:ind w:left="774"/>
              <w:rPr>
                <w:rFonts w:hint="eastAsia" w:ascii="微软雅黑" w:eastAsia="微软雅黑"/>
                <w:b/>
                <w:i/>
                <w:sz w:val="28"/>
              </w:rPr>
            </w:pPr>
            <w:r>
              <w:rPr>
                <w:rFonts w:hint="eastAsia" w:ascii="微软雅黑" w:eastAsia="微软雅黑"/>
                <w:b/>
                <w:i/>
                <w:sz w:val="28"/>
              </w:rPr>
              <w:t>经费形式</w:t>
            </w:r>
          </w:p>
        </w:tc>
      </w:tr>
    </w:tbl>
    <w:p>
      <w:pPr>
        <w:pStyle w:val="4"/>
        <w:spacing w:before="2"/>
        <w:rPr>
          <w:sz w:val="16"/>
        </w:rPr>
      </w:pPr>
    </w:p>
    <w:tbl>
      <w:tblPr>
        <w:tblStyle w:val="5"/>
        <w:tblW w:w="9580" w:type="dxa"/>
        <w:tblInd w:w="1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485"/>
        <w:gridCol w:w="2445"/>
        <w:gridCol w:w="2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85" w:type="dxa"/>
          </w:tcPr>
          <w:p>
            <w:pPr>
              <w:pStyle w:val="9"/>
              <w:spacing w:before="172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85" w:type="dxa"/>
          </w:tcPr>
          <w:p>
            <w:pPr>
              <w:pStyle w:val="9"/>
              <w:spacing w:before="172"/>
              <w:ind w:left="1044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应急管理局</w:t>
            </w:r>
          </w:p>
        </w:tc>
        <w:tc>
          <w:tcPr>
            <w:tcW w:w="2445" w:type="dxa"/>
          </w:tcPr>
          <w:p>
            <w:pPr>
              <w:pStyle w:val="9"/>
              <w:spacing w:before="172"/>
              <w:ind w:left="929" w:right="906"/>
              <w:jc w:val="center"/>
              <w:rPr>
                <w:sz w:val="28"/>
              </w:rPr>
            </w:pPr>
            <w:r>
              <w:rPr>
                <w:sz w:val="28"/>
              </w:rPr>
              <w:t>行政</w:t>
            </w:r>
          </w:p>
        </w:tc>
        <w:tc>
          <w:tcPr>
            <w:tcW w:w="2665" w:type="dxa"/>
          </w:tcPr>
          <w:p>
            <w:pPr>
              <w:pStyle w:val="9"/>
              <w:spacing w:before="172"/>
              <w:ind w:left="773"/>
              <w:rPr>
                <w:sz w:val="28"/>
              </w:rPr>
            </w:pPr>
            <w:r>
              <w:rPr>
                <w:sz w:val="28"/>
              </w:rPr>
              <w:t>财政拨款</w:t>
            </w:r>
          </w:p>
        </w:tc>
      </w:tr>
    </w:tbl>
    <w:p>
      <w:pPr>
        <w:spacing w:after="0"/>
        <w:rPr>
          <w:sz w:val="28"/>
        </w:rPr>
        <w:sectPr>
          <w:headerReference r:id="rId7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spacing w:before="7"/>
        <w:rPr>
          <w:sz w:val="15"/>
        </w:rPr>
      </w:pPr>
    </w:p>
    <w:p>
      <w:pPr>
        <w:spacing w:after="0"/>
        <w:rPr>
          <w:sz w:val="15"/>
        </w:rPr>
        <w:sectPr>
          <w:headerReference r:id="rId8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4445</wp:posOffset>
            </wp:positionV>
            <wp:extent cx="7555865" cy="106800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4"/>
        </w:rPr>
      </w:pPr>
    </w:p>
    <w:p>
      <w:pPr>
        <w:spacing w:before="0" w:line="1196" w:lineRule="exact"/>
        <w:ind w:left="239" w:right="0" w:firstLine="0"/>
        <w:jc w:val="center"/>
        <w:rPr>
          <w:rFonts w:hint="eastAsia" w:ascii="黑体" w:eastAsia="黑体"/>
          <w:sz w:val="96"/>
        </w:rPr>
      </w:pPr>
      <w:bookmarkStart w:id="1" w:name="第二部分"/>
      <w:bookmarkEnd w:id="1"/>
      <w:r>
        <w:rPr>
          <w:rFonts w:hint="eastAsia" w:ascii="黑体" w:eastAsia="黑体"/>
          <w:color w:val="FBEDBC"/>
          <w:sz w:val="96"/>
        </w:rPr>
        <w:t>第二部分</w:t>
      </w:r>
    </w:p>
    <w:p>
      <w:pPr>
        <w:tabs>
          <w:tab w:val="left" w:pos="2639"/>
        </w:tabs>
        <w:spacing w:before="106"/>
        <w:ind w:left="239" w:right="0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2018</w:t>
      </w:r>
      <w:r>
        <w:rPr>
          <w:rFonts w:hint="eastAsia" w:ascii="黑体" w:eastAsia="黑体"/>
          <w:color w:val="FBEDBC"/>
          <w:sz w:val="96"/>
        </w:rPr>
        <w:tab/>
      </w:r>
      <w:r>
        <w:rPr>
          <w:rFonts w:hint="eastAsia" w:ascii="黑体" w:eastAsia="黑体"/>
          <w:color w:val="FBEDBC"/>
          <w:sz w:val="96"/>
        </w:rPr>
        <w:t>年度部门决算报表</w:t>
      </w:r>
    </w:p>
    <w:p>
      <w:pPr>
        <w:spacing w:after="0"/>
        <w:jc w:val="center"/>
        <w:rPr>
          <w:rFonts w:hint="eastAsia" w:ascii="黑体" w:eastAsia="黑体"/>
          <w:sz w:val="96"/>
        </w:rPr>
        <w:sectPr>
          <w:headerReference r:id="rId9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3"/>
        <w:rPr>
          <w:rFonts w:ascii="黑体"/>
          <w:sz w:val="20"/>
        </w:rPr>
      </w:pPr>
    </w:p>
    <w:p>
      <w:pPr>
        <w:pStyle w:val="4"/>
        <w:rPr>
          <w:rFonts w:hint="eastAsia"/>
          <w:sz w:val="20"/>
          <w:lang w:eastAsia="zh-CN"/>
        </w:rPr>
      </w:pPr>
      <w:bookmarkStart w:id="2" w:name="收入支出决算总表"/>
      <w:bookmarkEnd w:id="2"/>
    </w:p>
    <w:p>
      <w:pPr>
        <w:pStyle w:val="4"/>
        <w:rPr>
          <w:rFonts w:hint="eastAsia"/>
          <w:sz w:val="20"/>
          <w:lang w:eastAsia="zh-CN"/>
        </w:rPr>
      </w:pPr>
    </w:p>
    <w:p>
      <w:pPr>
        <w:pStyle w:val="4"/>
        <w:ind w:firstLine="960" w:firstLineChars="300"/>
        <w:rPr>
          <w:rFonts w:hint="eastAsia" w:eastAsia="宋体"/>
          <w:sz w:val="32"/>
          <w:szCs w:val="52"/>
          <w:lang w:eastAsia="zh-CN"/>
        </w:rPr>
      </w:pPr>
      <w:r>
        <w:rPr>
          <w:rFonts w:hint="eastAsia"/>
          <w:sz w:val="32"/>
          <w:szCs w:val="52"/>
          <w:lang w:eastAsia="zh-CN"/>
        </w:rPr>
        <w:t>决算报表见附件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7"/>
        </w:rPr>
      </w:pPr>
    </w:p>
    <w:p>
      <w:pPr>
        <w:spacing w:after="0" w:line="271" w:lineRule="auto"/>
        <w:jc w:val="left"/>
        <w:rPr>
          <w:sz w:val="21"/>
        </w:rPr>
        <w:sectPr>
          <w:headerReference r:id="rId10" w:type="default"/>
          <w:type w:val="continuous"/>
          <w:pgSz w:w="11910" w:h="16840"/>
          <w:pgMar w:top="1600" w:right="280" w:bottom="280" w:left="260" w:header="720" w:footer="720" w:gutter="0"/>
          <w:cols w:space="720" w:num="1"/>
        </w:sectPr>
      </w:pPr>
      <w:bookmarkStart w:id="3" w:name="收入决算表"/>
      <w:bookmarkEnd w:id="3"/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22"/>
        </w:rPr>
      </w:pPr>
    </w:p>
    <w:p>
      <w:pPr>
        <w:pStyle w:val="4"/>
        <w:rPr>
          <w:sz w:val="20"/>
        </w:rPr>
      </w:pPr>
      <w:bookmarkStart w:id="4" w:name="政府采购情况表"/>
      <w:bookmarkEnd w:id="4"/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150" cy="106743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896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before="0" w:line="1196" w:lineRule="exact"/>
        <w:ind w:left="66" w:right="0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第三部分</w:t>
      </w:r>
    </w:p>
    <w:p>
      <w:pPr>
        <w:spacing w:before="147"/>
        <w:ind w:left="66" w:right="0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部门决算情况说明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4"/>
        </w:rPr>
      </w:pPr>
    </w:p>
    <w:p>
      <w:pPr>
        <w:spacing w:after="0"/>
        <w:jc w:val="center"/>
        <w:rPr>
          <w:rFonts w:hint="eastAsia" w:ascii="黑体" w:eastAsia="黑体"/>
          <w:sz w:val="96"/>
        </w:rPr>
        <w:sectPr>
          <w:headerReference r:id="rId11" w:type="default"/>
          <w:pgSz w:w="11910" w:h="16840"/>
          <w:pgMar w:top="1600" w:right="280" w:bottom="280" w:left="260" w:header="0" w:footer="0" w:gutter="0"/>
          <w:cols w:space="720" w:num="1"/>
        </w:sectPr>
      </w:pPr>
      <w:bookmarkStart w:id="5" w:name="第三部分"/>
      <w:bookmarkEnd w:id="5"/>
    </w:p>
    <w:p>
      <w:pPr>
        <w:pStyle w:val="4"/>
        <w:spacing w:line="41" w:lineRule="exact"/>
        <w:ind w:left="-260"/>
        <w:rPr>
          <w:rFonts w:ascii="黑体"/>
          <w:sz w:val="4"/>
        </w:rPr>
      </w:pPr>
      <w:r>
        <w:rPr>
          <w:rFonts w:ascii="黑体"/>
          <w:position w:val="0"/>
          <w:sz w:val="4"/>
        </w:rPr>
        <w:pict>
          <v:group id="_x0000_s1030" o:spid="_x0000_s1030" o:spt="203" style="height:2.05pt;width:301.3pt;" coordsize="6026,41">
            <o:lock v:ext="edit"/>
            <v:shape id="_x0000_s1031" o:spid="_x0000_s1031" style="position:absolute;left:0;top:19;height:2;width:6026;" fillcolor="#D9D9D9" filled="t" stroked="f" coordorigin="0,19" coordsize="6026,2" path="m0,21l0,19,6026,19,6026,20,0,21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7;top:19;height:2;width:5880;" fillcolor="#AC002C" filled="t" stroked="f" coordorigin="7,19" coordsize="5880,2" path="m7,21l7,19,5887,19,5887,20,7,21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0;top:0;height:41;width:5907;" fillcolor="#AE761F" filled="t" stroked="f" coordsize="5907,41" path="m5891,41l3,41,0,40,0,2,3,1,7,0,5887,0,5891,1,7,1,27,21,7,40,5893,40,5891,41xm27,21l7,1,5887,1,5868,20,27,20,27,21xm5895,40l5887,40,5868,21,5887,1,5893,1,5895,2,5898,4,5902,6,5904,9,5906,13,5907,16,5907,25,5906,29,5902,35,5898,38,5895,40xm5887,40l7,40,27,21,27,20,5867,20,5867,21,5868,21,5887,40xm5868,21l5867,21,5867,20,5868,21xm5868,21l5867,20,5868,20,5868,21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0;top:19;height:2;width:6026;" fillcolor="#D9D9D9" filled="t" stroked="f" coordorigin="0,19" coordsize="6026,2" path="m0,21l0,19,6026,19,6026,20,0,21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7;top:19;height:2;width:5880;" fillcolor="#AC002C" filled="t" stroked="f" coordorigin="7,19" coordsize="5880,2" path="m7,21l7,19,5887,19,5887,20,7,21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0;top:0;height:41;width:5907;" fillcolor="#AE761F" filled="t" stroked="f" coordsize="5907,41" path="m5891,41l3,41,0,40,0,2,3,1,7,0,5887,0,5891,1,7,1,27,21,7,40,5893,40,5891,41xm27,21l7,1,5887,1,5868,20,27,20,27,21xm5895,40l5887,40,5868,21,5887,1,5893,1,5895,2,5898,4,5902,6,5904,9,5906,13,5907,16,5907,25,5906,29,5902,35,5898,38,5895,40xm5887,40l7,40,27,21,27,20,5867,20,5867,21,5868,21,5887,40xm5868,21l5867,21,5867,20,5868,21xm5868,21l5867,20,5868,20,5868,21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24"/>
        </w:rPr>
      </w:pPr>
    </w:p>
    <w:p>
      <w:pPr>
        <w:pStyle w:val="4"/>
        <w:spacing w:before="54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一、收入支出决算总体情况说明</w:t>
      </w:r>
    </w:p>
    <w:p>
      <w:pPr>
        <w:keepNext w:val="0"/>
        <w:keepLines w:val="0"/>
        <w:widowControl/>
        <w:suppressLineNumbers w:val="0"/>
        <w:ind w:firstLine="2560" w:firstLineChars="8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本部门 2018 年度收支总计（含结转和结余）106.85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万元。 与 2017 年度决算相比，收支各增加 6.41 万元，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增长 0.009%， 主要原因是人员增加。</w:t>
      </w:r>
    </w:p>
    <w:p>
      <w:pPr>
        <w:pStyle w:val="4"/>
        <w:spacing w:line="340" w:lineRule="auto"/>
        <w:ind w:left="1328" w:right="1233"/>
        <w:jc w:val="both"/>
      </w:pPr>
    </w:p>
    <w:p>
      <w:pPr>
        <w:spacing w:before="39"/>
        <w:ind w:left="1888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二、收入决算情况说明</w:t>
      </w:r>
    </w:p>
    <w:p>
      <w:pPr>
        <w:keepNext w:val="0"/>
        <w:keepLines w:val="0"/>
        <w:widowControl/>
        <w:suppressLineNumbers w:val="0"/>
        <w:ind w:firstLine="2560" w:firstLineChars="8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本部门 2018 年度本年收入合计 106.85 万元，其中：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财政拨 款收入 106.85万元，事业收入 101.85 万元</w:t>
      </w:r>
      <w:r>
        <w:rPr>
          <w:rFonts w:hint="eastAsia" w:cs="宋体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spacing w:before="171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三、支出决算情况说明</w:t>
      </w:r>
    </w:p>
    <w:p>
      <w:pPr>
        <w:keepNext w:val="0"/>
        <w:keepLines w:val="0"/>
        <w:widowControl/>
        <w:suppressLineNumbers w:val="0"/>
        <w:ind w:firstLine="2560" w:firstLineChars="8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本部门 2018 年度本年支出合计 106.85万元，其中：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基本支 出 106.85万元，占 100%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pStyle w:val="4"/>
        <w:spacing w:before="170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四、财政拨款收入支出决算情况说明</w:t>
      </w:r>
    </w:p>
    <w:p>
      <w:pPr>
        <w:pStyle w:val="3"/>
        <w:spacing w:before="174"/>
      </w:pPr>
      <w:bookmarkStart w:id="6" w:name="（一）财政拨款收支与 2017 年度决算对比情况"/>
      <w:bookmarkEnd w:id="6"/>
      <w:r>
        <w:t>（一）财政拨款收支与 2017 年度决算对比情况</w:t>
      </w:r>
    </w:p>
    <w:p>
      <w:pPr>
        <w:keepNext w:val="0"/>
        <w:keepLines w:val="0"/>
        <w:widowControl/>
        <w:suppressLineNumbers w:val="0"/>
        <w:ind w:firstLine="2240" w:firstLineChars="7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bookmarkStart w:id="7" w:name="（二）财政拨款收支与年初预算数对比情况"/>
      <w:bookmarkEnd w:id="7"/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本部门 2018 年度形成的财政拨款收支均为一般公共预算</w:t>
      </w:r>
    </w:p>
    <w:p>
      <w:pPr>
        <w:keepNext w:val="0"/>
        <w:keepLines w:val="0"/>
        <w:widowControl/>
        <w:suppressLineNumbers w:val="0"/>
        <w:ind w:firstLine="1600" w:firstLineChars="5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财政拨款，其中一般公共预算财政拨款本年收入106.85万元</w:t>
      </w:r>
    </w:p>
    <w:p>
      <w:pPr>
        <w:keepNext w:val="0"/>
        <w:keepLines w:val="0"/>
        <w:widowControl/>
        <w:suppressLineNumbers w:val="0"/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,比2017 年度增加 6.41万元</w:t>
      </w:r>
      <w:r>
        <w:rPr>
          <w:rFonts w:hint="eastAsia" w:cs="宋体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spacing w:before="14"/>
      </w:pPr>
      <w:r>
        <w:t>（二）财政拨款收支与年初预算数对比情况</w:t>
      </w:r>
    </w:p>
    <w:p>
      <w:pPr>
        <w:pStyle w:val="4"/>
        <w:spacing w:before="173" w:line="343" w:lineRule="auto"/>
        <w:ind w:left="1328" w:right="1149" w:firstLine="636"/>
      </w:pPr>
      <w:r>
        <w:rPr>
          <w:spacing w:val="-22"/>
        </w:rPr>
        <w:t xml:space="preserve">本部门 </w:t>
      </w:r>
      <w:r>
        <w:t>2018</w:t>
      </w:r>
      <w:r>
        <w:rPr>
          <w:spacing w:val="-18"/>
        </w:rPr>
        <w:t xml:space="preserve"> 年度一般公共预算财政拨款收入 </w:t>
      </w:r>
      <w:r>
        <w:rPr>
          <w:rFonts w:hint="eastAsia"/>
          <w:lang w:val="en-US" w:eastAsia="zh-CN"/>
        </w:rPr>
        <w:t>106.85</w:t>
      </w:r>
      <w:r>
        <w:rPr>
          <w:spacing w:val="-18"/>
        </w:rPr>
        <w:t xml:space="preserve">万元， </w:t>
      </w:r>
      <w:r>
        <w:rPr>
          <w:spacing w:val="-11"/>
        </w:rPr>
        <w:t xml:space="preserve">比年初预算增加 </w:t>
      </w:r>
      <w:r>
        <w:rPr>
          <w:rFonts w:hint="eastAsia"/>
          <w:spacing w:val="-11"/>
          <w:lang w:val="en-US" w:eastAsia="zh-CN"/>
        </w:rPr>
        <w:t>6.41</w:t>
      </w:r>
      <w:r>
        <w:rPr>
          <w:spacing w:val="-14"/>
        </w:rPr>
        <w:t>万元，决算数大于预算数主要</w:t>
      </w:r>
      <w:r>
        <w:rPr>
          <w:spacing w:val="-11"/>
        </w:rPr>
        <w:t>原因是</w:t>
      </w:r>
      <w:r>
        <w:rPr>
          <w:rFonts w:hint="eastAsia"/>
          <w:spacing w:val="-11"/>
          <w:lang w:eastAsia="zh-CN"/>
        </w:rPr>
        <w:t>人员增加</w:t>
      </w:r>
      <w:r>
        <w:rPr>
          <w:spacing w:val="-11"/>
        </w:rPr>
        <w:t>。</w:t>
      </w:r>
    </w:p>
    <w:p>
      <w:pPr>
        <w:pStyle w:val="3"/>
        <w:spacing w:before="2"/>
      </w:pPr>
      <w:bookmarkStart w:id="8" w:name="（三）财政拨款支出决算结构情况。"/>
      <w:bookmarkEnd w:id="8"/>
      <w:r>
        <w:t>（三）财政拨款支出决算结构情况。</w:t>
      </w:r>
    </w:p>
    <w:p>
      <w:pPr>
        <w:pStyle w:val="4"/>
        <w:spacing w:before="173" w:line="343" w:lineRule="auto"/>
        <w:ind w:left="1328" w:right="1082" w:firstLine="924"/>
      </w:pPr>
      <w:r>
        <w:rPr>
          <w:spacing w:val="-24"/>
        </w:rPr>
        <w:t>2018</w:t>
      </w:r>
      <w:r>
        <w:rPr>
          <w:spacing w:val="-38"/>
        </w:rPr>
        <w:t xml:space="preserve"> 年度财政拨款支出 </w:t>
      </w:r>
      <w:r>
        <w:rPr>
          <w:spacing w:val="-27"/>
        </w:rPr>
        <w:t>1</w:t>
      </w:r>
      <w:r>
        <w:rPr>
          <w:rFonts w:hint="eastAsia"/>
          <w:spacing w:val="-27"/>
          <w:lang w:val="en-US" w:eastAsia="zh-CN"/>
        </w:rPr>
        <w:t>06.8576</w:t>
      </w:r>
      <w:r>
        <w:rPr>
          <w:spacing w:val="-37"/>
        </w:rPr>
        <w:t>万元，主要用于以下方面：一般</w:t>
      </w:r>
      <w:r>
        <w:rPr>
          <w:spacing w:val="-33"/>
        </w:rPr>
        <w:t xml:space="preserve">公共服务支出 </w:t>
      </w:r>
      <w:r>
        <w:rPr>
          <w:rFonts w:hint="eastAsia"/>
          <w:spacing w:val="-33"/>
          <w:lang w:val="en-US" w:eastAsia="zh-CN"/>
        </w:rPr>
        <w:t>106.8576</w:t>
      </w:r>
      <w:r>
        <w:rPr>
          <w:spacing w:val="-40"/>
        </w:rPr>
        <w:t>万元，占</w:t>
      </w:r>
      <w:r>
        <w:rPr>
          <w:rFonts w:hint="eastAsia"/>
          <w:spacing w:val="-40"/>
          <w:lang w:val="en-US" w:eastAsia="zh-CN"/>
        </w:rPr>
        <w:t>100</w:t>
      </w:r>
      <w:r>
        <w:rPr>
          <w:spacing w:val="-32"/>
        </w:rPr>
        <w:t>%;</w:t>
      </w:r>
    </w:p>
    <w:p>
      <w:pPr>
        <w:pStyle w:val="3"/>
        <w:spacing w:before="166"/>
        <w:ind w:left="101" w:right="574"/>
        <w:jc w:val="center"/>
      </w:pPr>
      <w:bookmarkStart w:id="9" w:name="（四）一般公共预算财政拨款基本支出决算情况说明"/>
      <w:bookmarkEnd w:id="9"/>
      <w:r>
        <w:t>（四）一般公共预算财政拨款基本支出决算情况说明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60" w:lineRule="auto"/>
        <w:ind w:right="1152"/>
        <w:jc w:val="right"/>
        <w:textAlignment w:val="auto"/>
      </w:pPr>
      <w:r>
        <w:t>2018</w:t>
      </w:r>
      <w:r>
        <w:rPr>
          <w:spacing w:val="-10"/>
        </w:rPr>
        <w:t xml:space="preserve"> 年度一般公共预算财政拨款基本支出 </w:t>
      </w:r>
      <w:r>
        <w:rPr>
          <w:rFonts w:hint="eastAsia"/>
          <w:spacing w:val="-10"/>
          <w:lang w:val="en-US" w:eastAsia="zh-CN"/>
        </w:rPr>
        <w:t>106.85</w:t>
      </w:r>
      <w:r>
        <w:rPr>
          <w:spacing w:val="-34"/>
        </w:rPr>
        <w:t xml:space="preserve"> 万元，其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6" w:line="360" w:lineRule="auto"/>
        <w:ind w:right="1169"/>
        <w:jc w:val="right"/>
        <w:textAlignment w:val="auto"/>
      </w:pPr>
      <w:r>
        <w:rPr>
          <w:spacing w:val="-20"/>
        </w:rPr>
        <w:t xml:space="preserve">中：人员经费 </w:t>
      </w:r>
      <w:r>
        <w:rPr>
          <w:rFonts w:hint="eastAsia"/>
          <w:spacing w:val="-20"/>
          <w:lang w:val="en-US" w:eastAsia="zh-CN"/>
        </w:rPr>
        <w:t>84.63</w:t>
      </w:r>
      <w:r>
        <w:rPr>
          <w:spacing w:val="-21"/>
        </w:rPr>
        <w:t>万元，主要包括</w:t>
      </w:r>
      <w:r>
        <w:rPr>
          <w:rFonts w:hint="eastAsia"/>
          <w:spacing w:val="-21"/>
          <w:lang w:eastAsia="zh-CN"/>
        </w:rPr>
        <w:t>：</w:t>
      </w:r>
      <w:r>
        <w:rPr>
          <w:spacing w:val="-21"/>
        </w:rPr>
        <w:t xml:space="preserve">基本工资 </w:t>
      </w:r>
      <w:r>
        <w:rPr>
          <w:rFonts w:hint="eastAsia"/>
          <w:lang w:val="en-US" w:eastAsia="zh-CN"/>
        </w:rPr>
        <w:t>74</w:t>
      </w:r>
      <w:r>
        <w:rPr>
          <w:spacing w:val="-20"/>
        </w:rPr>
        <w:t xml:space="preserve"> 万元，津贴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6" w:line="360" w:lineRule="auto"/>
        <w:ind w:left="1276" w:leftChars="580" w:right="1183" w:firstLine="296" w:firstLineChars="100"/>
        <w:jc w:val="left"/>
        <w:textAlignment w:val="auto"/>
        <w:rPr>
          <w:rFonts w:hint="default"/>
          <w:spacing w:val="-12"/>
          <w:lang w:val="en-US" w:eastAsia="zh-CN"/>
        </w:rPr>
      </w:pPr>
      <w:r>
        <w:rPr>
          <w:rFonts w:hint="eastAsia"/>
          <w:spacing w:val="-12"/>
          <w:lang w:eastAsia="zh-CN"/>
        </w:rPr>
        <w:t xml:space="preserve">补贴 5.63 万元，奖金 </w:t>
      </w:r>
      <w:r>
        <w:rPr>
          <w:rFonts w:hint="eastAsia"/>
          <w:spacing w:val="-12"/>
          <w:lang w:val="en-US" w:eastAsia="zh-CN"/>
        </w:rPr>
        <w:t>5</w:t>
      </w:r>
      <w:r>
        <w:rPr>
          <w:rFonts w:hint="eastAsia"/>
          <w:spacing w:val="-12"/>
          <w:lang w:eastAsia="zh-CN"/>
        </w:rPr>
        <w:t>万元；公用经费</w:t>
      </w:r>
      <w:r>
        <w:rPr>
          <w:rFonts w:hint="eastAsia"/>
          <w:spacing w:val="-12"/>
          <w:lang w:val="en-US" w:eastAsia="zh-CN"/>
        </w:rPr>
        <w:t>22.2276</w:t>
      </w:r>
      <w:r>
        <w:rPr>
          <w:rFonts w:hint="eastAsia"/>
          <w:spacing w:val="-12"/>
          <w:lang w:eastAsia="zh-CN"/>
        </w:rPr>
        <w:t xml:space="preserve"> 万元，主要包括：办公费 2.21 万元，差旅费 1.75 万元，电费</w:t>
      </w:r>
      <w:r>
        <w:rPr>
          <w:rFonts w:hint="eastAsia"/>
          <w:spacing w:val="-12"/>
          <w:lang w:val="en-US" w:eastAsia="zh-CN"/>
        </w:rPr>
        <w:t>0.6万元，</w:t>
      </w:r>
      <w:r>
        <w:rPr>
          <w:rFonts w:hint="eastAsia"/>
          <w:spacing w:val="-12"/>
          <w:lang w:eastAsia="zh-CN"/>
        </w:rPr>
        <w:t xml:space="preserve"> 委托专家费 </w:t>
      </w:r>
      <w:r>
        <w:rPr>
          <w:rFonts w:hint="eastAsia"/>
          <w:spacing w:val="-12"/>
          <w:lang w:val="en-US" w:eastAsia="zh-CN"/>
        </w:rPr>
        <w:t>6</w:t>
      </w:r>
      <w:r>
        <w:rPr>
          <w:rFonts w:hint="eastAsia"/>
          <w:spacing w:val="-12"/>
          <w:lang w:eastAsia="zh-CN"/>
        </w:rPr>
        <w:t>万元，公务用车运行维护费</w:t>
      </w:r>
      <w:r>
        <w:rPr>
          <w:rFonts w:hint="eastAsia"/>
          <w:spacing w:val="-12"/>
          <w:lang w:val="en-US" w:eastAsia="zh-CN"/>
        </w:rPr>
        <w:t>3.3</w:t>
      </w:r>
      <w:r>
        <w:rPr>
          <w:rFonts w:hint="eastAsia"/>
          <w:spacing w:val="-12"/>
          <w:lang w:eastAsia="zh-CN"/>
        </w:rPr>
        <w:t xml:space="preserve">万元，其他交通费用补贴支出 </w:t>
      </w:r>
      <w:r>
        <w:rPr>
          <w:rFonts w:hint="eastAsia"/>
          <w:spacing w:val="-12"/>
          <w:lang w:val="en-US" w:eastAsia="zh-CN"/>
        </w:rPr>
        <w:t>5</w:t>
      </w:r>
      <w:r>
        <w:rPr>
          <w:rFonts w:hint="eastAsia"/>
          <w:spacing w:val="-12"/>
          <w:lang w:eastAsia="zh-CN"/>
        </w:rPr>
        <w:t xml:space="preserve"> 万元。补助，</w:t>
      </w:r>
      <w:r>
        <w:rPr>
          <w:rFonts w:hint="eastAsia"/>
          <w:spacing w:val="-12"/>
          <w:lang w:val="en-US" w:eastAsia="zh-CN"/>
        </w:rPr>
        <w:t>3.36万元。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6" w:line="360" w:lineRule="auto"/>
        <w:ind w:right="1183"/>
        <w:jc w:val="left"/>
        <w:textAlignment w:val="auto"/>
        <w:rPr>
          <w:rFonts w:hint="eastAsia"/>
          <w:spacing w:val="-12"/>
          <w:lang w:eastAsia="zh-CN"/>
        </w:rPr>
        <w:sectPr>
          <w:headerReference r:id="rId12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9"/>
        <w:ind w:left="1967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五、一般公共预算财政拨款“三公” 经费支出决算情况说</w:t>
      </w:r>
    </w:p>
    <w:p>
      <w:pPr>
        <w:pStyle w:val="4"/>
        <w:spacing w:before="164"/>
        <w:ind w:left="1328"/>
        <w:rPr>
          <w:rFonts w:hint="eastAsia" w:ascii="黑体" w:eastAsia="黑体"/>
        </w:rPr>
      </w:pPr>
      <w:r>
        <w:rPr>
          <w:rFonts w:hint="eastAsia" w:ascii="黑体" w:eastAsia="黑体"/>
          <w:w w:val="97"/>
        </w:rPr>
        <w:t>明</w:t>
      </w:r>
    </w:p>
    <w:p>
      <w:pPr>
        <w:pStyle w:val="4"/>
        <w:spacing w:before="4"/>
        <w:rPr>
          <w:rFonts w:ascii="黑体"/>
          <w:sz w:val="9"/>
        </w:rPr>
      </w:pPr>
    </w:p>
    <w:p>
      <w:pPr>
        <w:pStyle w:val="4"/>
        <w:spacing w:before="54" w:line="343" w:lineRule="auto"/>
        <w:ind w:left="956" w:right="1133" w:firstLine="640"/>
        <w:jc w:val="both"/>
      </w:pPr>
      <w:r>
        <w:t>本部门2018年度 “三公”经费支出共计</w:t>
      </w:r>
      <w:r>
        <w:rPr>
          <w:rFonts w:hint="eastAsia"/>
          <w:lang w:val="en-US" w:eastAsia="zh-CN"/>
        </w:rPr>
        <w:t>3.37</w:t>
      </w:r>
      <w:r>
        <w:t>万元，主要是认真贯彻落实中央“八项规定”精神和厉行节约要</w:t>
      </w:r>
      <w:r>
        <w:rPr>
          <w:w w:val="95"/>
        </w:rPr>
        <w:t xml:space="preserve">求，从严控制“三公”经费开支，全年实际支出比预算有所节约。 </w:t>
      </w:r>
      <w:r>
        <w:t>具体情况如下：</w:t>
      </w:r>
    </w:p>
    <w:p>
      <w:pPr>
        <w:pStyle w:val="4"/>
        <w:ind w:left="1328"/>
      </w:pPr>
      <w:r>
        <w:t>（一）因公出国（境）费支出0万元。本部门2018年度因公出国</w:t>
      </w:r>
    </w:p>
    <w:p>
      <w:pPr>
        <w:pStyle w:val="4"/>
        <w:spacing w:before="178" w:line="343" w:lineRule="auto"/>
        <w:ind w:left="1328" w:right="922"/>
      </w:pPr>
      <w:r>
        <w:t>（境）团组0个、共</w:t>
      </w:r>
      <w:r>
        <w:rPr>
          <w:spacing w:val="3"/>
        </w:rPr>
        <w:t>0</w:t>
      </w:r>
      <w:r>
        <w:t xml:space="preserve">人/参加其他单位组织的因公出国（境）团 </w:t>
      </w:r>
      <w:r>
        <w:rPr>
          <w:w w:val="95"/>
        </w:rPr>
        <w:t xml:space="preserve">组0个、共0人/无本单位组织的出国（境）团组。因公出国（境） </w:t>
      </w:r>
      <w:r>
        <w:t>费支出较年初预算持平,主要是未发生此项支出。</w:t>
      </w:r>
    </w:p>
    <w:p>
      <w:pPr>
        <w:pStyle w:val="4"/>
        <w:spacing w:before="173" w:line="343" w:lineRule="auto"/>
        <w:ind w:left="1328" w:right="921"/>
      </w:pPr>
      <w:r>
        <w:t>（二）公务用车购置及运行维护费支出</w:t>
      </w:r>
      <w:r>
        <w:rPr>
          <w:rFonts w:hint="eastAsia"/>
          <w:lang w:val="en-US" w:eastAsia="zh-CN"/>
        </w:rPr>
        <w:t>3.37</w:t>
      </w:r>
      <w:r>
        <w:t>万元。</w:t>
      </w:r>
    </w:p>
    <w:p>
      <w:pPr>
        <w:pStyle w:val="4"/>
        <w:spacing w:before="172" w:line="343" w:lineRule="auto"/>
        <w:ind w:left="1328" w:right="1190"/>
        <w:jc w:val="both"/>
        <w:rPr>
          <w:rFonts w:hint="eastAsia" w:eastAsia="宋体"/>
          <w:lang w:eastAsia="zh-CN"/>
        </w:rPr>
      </w:pPr>
      <w:r>
        <w:rPr>
          <w:b/>
          <w:spacing w:val="16"/>
          <w:w w:val="95"/>
        </w:rPr>
        <w:t>公务用车购置费</w:t>
      </w:r>
      <w:r>
        <w:rPr>
          <w:spacing w:val="14"/>
          <w:w w:val="95"/>
        </w:rPr>
        <w:t>：本部门</w:t>
      </w:r>
      <w:r>
        <w:rPr>
          <w:spacing w:val="3"/>
          <w:w w:val="95"/>
        </w:rPr>
        <w:t>2018</w:t>
      </w:r>
      <w:r>
        <w:rPr>
          <w:spacing w:val="14"/>
          <w:w w:val="95"/>
        </w:rPr>
        <w:t>年度公务用车购置量</w:t>
      </w:r>
      <w:r>
        <w:rPr>
          <w:rFonts w:hint="eastAsia"/>
          <w:spacing w:val="14"/>
          <w:w w:val="95"/>
          <w:lang w:val="en-US" w:eastAsia="zh-CN"/>
        </w:rPr>
        <w:t>0</w:t>
      </w:r>
      <w:r>
        <w:rPr>
          <w:spacing w:val="10"/>
          <w:w w:val="95"/>
        </w:rPr>
        <w:t xml:space="preserve">辆，发生 </w:t>
      </w:r>
      <w:r>
        <w:rPr>
          <w:spacing w:val="3"/>
        </w:rPr>
        <w:t>“公务用车购置”经费支出</w:t>
      </w:r>
      <w:r>
        <w:rPr>
          <w:rFonts w:hint="eastAsia"/>
          <w:spacing w:val="3"/>
          <w:lang w:val="en-US" w:eastAsia="zh-CN"/>
        </w:rPr>
        <w:t>0</w:t>
      </w:r>
      <w:r>
        <w:t>万元。</w:t>
      </w:r>
      <w:r>
        <w:rPr>
          <w:rFonts w:hint="eastAsia"/>
          <w:lang w:eastAsia="zh-CN"/>
        </w:rPr>
        <w:t>因单位需要执法车辆，特此购置执法用车。</w:t>
      </w:r>
    </w:p>
    <w:p>
      <w:pPr>
        <w:pStyle w:val="4"/>
        <w:spacing w:before="173" w:line="343" w:lineRule="auto"/>
        <w:ind w:left="1328" w:right="909"/>
      </w:pPr>
      <w:r>
        <w:rPr>
          <w:b/>
          <w:w w:val="95"/>
        </w:rPr>
        <w:t>公务用车运行维护费</w:t>
      </w:r>
      <w:r>
        <w:rPr>
          <w:w w:val="95"/>
        </w:rPr>
        <w:t>：本部门2018年度单位公务用车保有量</w:t>
      </w:r>
      <w:r>
        <w:rPr>
          <w:rFonts w:hint="eastAsia"/>
          <w:w w:val="95"/>
          <w:lang w:val="en-US" w:eastAsia="zh-CN"/>
        </w:rPr>
        <w:t>2</w:t>
      </w:r>
      <w:r>
        <w:rPr>
          <w:w w:val="95"/>
        </w:rPr>
        <w:t xml:space="preserve">辆。 </w:t>
      </w:r>
      <w:r>
        <w:t>公车运行维护费支出较年初预算持平,主要是认真贯彻落实中央</w:t>
      </w:r>
      <w:r>
        <w:rPr>
          <w:spacing w:val="6"/>
        </w:rPr>
        <w:t>“八项规定”精神和厉行节约要求，从严控制“三公”经费开支。</w:t>
      </w:r>
    </w:p>
    <w:p>
      <w:pPr>
        <w:spacing w:after="0" w:line="343" w:lineRule="auto"/>
        <w:sectPr>
          <w:headerReference r:id="rId13" w:type="default"/>
          <w:pgSz w:w="11910" w:h="16840"/>
          <w:pgMar w:top="1480" w:right="280" w:bottom="280" w:left="260" w:header="586" w:footer="0" w:gutter="0"/>
          <w:cols w:space="720" w:num="1"/>
        </w:sectPr>
      </w:pPr>
    </w:p>
    <w:p>
      <w:pPr>
        <w:pStyle w:val="4"/>
        <w:spacing w:before="97" w:line="343" w:lineRule="auto"/>
        <w:ind w:left="1328" w:right="1194"/>
        <w:jc w:val="both"/>
      </w:pPr>
      <w:r>
        <w:rPr>
          <w:spacing w:val="9"/>
          <w:w w:val="95"/>
        </w:rPr>
        <w:t>（</w:t>
      </w:r>
      <w:r>
        <w:rPr>
          <w:spacing w:val="7"/>
          <w:w w:val="95"/>
        </w:rPr>
        <w:t>三</w:t>
      </w:r>
      <w:r>
        <w:rPr>
          <w:spacing w:val="9"/>
          <w:w w:val="95"/>
        </w:rPr>
        <w:t>）</w:t>
      </w:r>
      <w:r>
        <w:rPr>
          <w:spacing w:val="7"/>
          <w:w w:val="95"/>
        </w:rPr>
        <w:t>公务接待费支出</w:t>
      </w:r>
      <w:r>
        <w:rPr>
          <w:spacing w:val="8"/>
          <w:w w:val="95"/>
        </w:rPr>
        <w:t>0</w:t>
      </w:r>
      <w:r>
        <w:rPr>
          <w:spacing w:val="7"/>
          <w:w w:val="95"/>
        </w:rPr>
        <w:t>万元。本部门</w:t>
      </w:r>
      <w:r>
        <w:rPr>
          <w:w w:val="95"/>
        </w:rPr>
        <w:t>2018</w:t>
      </w:r>
      <w:r>
        <w:rPr>
          <w:spacing w:val="7"/>
          <w:w w:val="95"/>
        </w:rPr>
        <w:t>年度公务接待共</w:t>
      </w:r>
      <w:r>
        <w:rPr>
          <w:spacing w:val="8"/>
          <w:w w:val="95"/>
        </w:rPr>
        <w:t>0</w:t>
      </w:r>
      <w:r>
        <w:rPr>
          <w:w w:val="95"/>
        </w:rPr>
        <w:t xml:space="preserve">批 </w:t>
      </w:r>
      <w:r>
        <w:rPr>
          <w:spacing w:val="8"/>
          <w:w w:val="95"/>
        </w:rPr>
        <w:t>次、0</w:t>
      </w:r>
      <w:r>
        <w:rPr>
          <w:spacing w:val="6"/>
          <w:w w:val="95"/>
        </w:rPr>
        <w:t xml:space="preserve">人次。公务接待费支出较年初持平,主要是认真贯彻落实 中央“八项规定”精神和厉行节约要求，从严控制“三公”经 </w:t>
      </w:r>
      <w:r>
        <w:rPr>
          <w:spacing w:val="6"/>
        </w:rPr>
        <w:t>费开支。</w:t>
      </w:r>
    </w:p>
    <w:p>
      <w:pPr>
        <w:pStyle w:val="4"/>
        <w:spacing w:before="177"/>
        <w:ind w:left="1967"/>
        <w:rPr>
          <w:rFonts w:hint="eastAsia" w:ascii="黑体" w:eastAsia="黑体"/>
        </w:rPr>
      </w:pPr>
      <w:r>
        <w:rPr>
          <w:rFonts w:hint="eastAsia" w:ascii="黑体" w:eastAsia="黑体"/>
        </w:rPr>
        <w:t>六、预算绩效情况说明</w:t>
      </w:r>
    </w:p>
    <w:p>
      <w:pPr>
        <w:pStyle w:val="4"/>
        <w:spacing w:before="175"/>
        <w:ind w:left="1967"/>
        <w:jc w:val="both"/>
      </w:pPr>
      <w:r>
        <w:t>2018 年，根据财政部《财政支出绩效评价管理暂行办法》</w:t>
      </w:r>
    </w:p>
    <w:p>
      <w:pPr>
        <w:pStyle w:val="4"/>
        <w:spacing w:before="174" w:line="343" w:lineRule="auto"/>
        <w:ind w:left="1328" w:right="1166"/>
        <w:jc w:val="both"/>
      </w:pPr>
      <w:r>
        <w:rPr>
          <w:spacing w:val="-4"/>
          <w:w w:val="95"/>
        </w:rPr>
        <w:t>《河北省财政支出绩效评价管理办法》的规定，对纳入年度绩效 评</w:t>
      </w:r>
      <w:r>
        <w:rPr>
          <w:spacing w:val="-8"/>
          <w:w w:val="95"/>
        </w:rPr>
        <w:t>价范围的项目，围绕“预算编制有目标、预算执行有监控、预 算完</w:t>
      </w:r>
      <w:r>
        <w:rPr>
          <w:spacing w:val="-16"/>
          <w:w w:val="95"/>
        </w:rPr>
        <w:t>成有评价、评价结果有反馈，反馈结果有应用”的绩效目标 要求，认</w:t>
      </w:r>
      <w:r>
        <w:rPr>
          <w:spacing w:val="-15"/>
        </w:rPr>
        <w:t>真开展绩效评价，促进提高项目资金使用绩效。</w:t>
      </w:r>
    </w:p>
    <w:p>
      <w:pPr>
        <w:pStyle w:val="4"/>
        <w:spacing w:before="1" w:line="343" w:lineRule="auto"/>
        <w:ind w:left="1328" w:right="1015" w:firstLine="636"/>
        <w:jc w:val="both"/>
        <w:rPr>
          <w:rFonts w:hint="eastAsia"/>
          <w:spacing w:val="-20"/>
          <w:lang w:eastAsia="zh-CN"/>
        </w:rPr>
      </w:pPr>
      <w:r>
        <w:rPr>
          <w:spacing w:val="-10"/>
          <w:w w:val="95"/>
        </w:rPr>
        <w:t xml:space="preserve">按照绩效评价的有关程序，组织具体项目单位对项目绩效开展 </w:t>
      </w:r>
      <w:r>
        <w:rPr>
          <w:spacing w:val="-9"/>
          <w:w w:val="95"/>
        </w:rPr>
        <w:t xml:space="preserve">了自我评价，在各单位自评的基础上，进行了综合评价，从项目年 </w:t>
      </w:r>
      <w:r>
        <w:rPr>
          <w:spacing w:val="-20"/>
        </w:rPr>
        <w:t>度目标，效率目标、项目管理和项目结果等方面进行了评价</w:t>
      </w:r>
      <w:r>
        <w:rPr>
          <w:rFonts w:hint="eastAsia"/>
          <w:spacing w:val="-20"/>
          <w:lang w:eastAsia="zh-CN"/>
        </w:rPr>
        <w:t>，具体如下：</w:t>
      </w:r>
    </w:p>
    <w:p>
      <w:pPr>
        <w:pStyle w:val="4"/>
        <w:spacing w:before="1" w:line="343" w:lineRule="auto"/>
        <w:ind w:left="1328" w:right="1015" w:firstLine="636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（一）预算绩效管理工作开展情况</w:t>
      </w:r>
    </w:p>
    <w:p>
      <w:pPr>
        <w:pStyle w:val="4"/>
        <w:spacing w:before="1" w:line="343" w:lineRule="auto"/>
        <w:ind w:left="1328" w:right="1015" w:firstLine="636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县安监局组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预算绩效管理要求，我单位组织对2018年度一般公共预算项目支出全面开展绩效自评，其中，一级项目0个，二级项目6个，共涉及资金98.75万元，占一般公共预算项目支出总额的100%。从评价情况来看，项目立项符合部门职责和相关管理规定，绩效目标科学合理，评价指标体系较全面；项目业务管理制度较完善，各项业务工作有序开展；财务管理制度健全，资金使用规范有效；应急管理任务完成质量较高，基本实现了项目绩效目标。</w:t>
      </w:r>
    </w:p>
    <w:p>
      <w:pPr>
        <w:pStyle w:val="4"/>
        <w:spacing w:before="1" w:line="343" w:lineRule="auto"/>
        <w:ind w:left="1328" w:right="1015" w:firstLine="636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（二）项目绩效自评结果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100" w:leftChars="50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县安监局在今年部门决算公开中反映的全县重点项目集中开工、集中管理，企业安全生产检查自评结果为优秀。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全县重点项目圆满完成了年初的项目绩效目标，自评得分为100分。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25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重点项目绩效评价结果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250" w:leftChars="0" w:right="0" w:rightChars="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无重点项目绩效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44" w:lineRule="auto"/>
        <w:ind w:left="1100" w:leftChars="500" w:firstLine="288" w:firstLineChars="1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w w:val="90"/>
          <w:sz w:val="32"/>
          <w:szCs w:val="32"/>
        </w:rPr>
        <w:t>七、其他重要事项的说明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75" w:line="344" w:lineRule="auto"/>
        <w:textAlignment w:val="auto"/>
      </w:pPr>
      <w:bookmarkStart w:id="10" w:name="（一）机关运行经费情况"/>
      <w:bookmarkEnd w:id="10"/>
      <w:r>
        <w:rPr>
          <w:spacing w:val="4"/>
          <w:w w:val="90"/>
        </w:rPr>
        <w:t>（</w:t>
      </w:r>
      <w:r>
        <w:rPr>
          <w:spacing w:val="7"/>
          <w:w w:val="90"/>
        </w:rPr>
        <w:t>一</w:t>
      </w:r>
      <w:r>
        <w:rPr>
          <w:spacing w:val="4"/>
          <w:w w:val="90"/>
        </w:rPr>
        <w:t>）</w:t>
      </w:r>
      <w:r>
        <w:rPr>
          <w:spacing w:val="3"/>
          <w:w w:val="90"/>
        </w:rPr>
        <w:t>机关运行经费情况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44" w:lineRule="auto"/>
        <w:ind w:left="0" w:leftChars="0" w:firstLine="1977" w:firstLineChars="618"/>
        <w:jc w:val="left"/>
        <w:textAlignment w:val="auto"/>
      </w:pPr>
      <w:r>
        <w:t xml:space="preserve">本部门 2018 年度机关运行经费支出 </w:t>
      </w:r>
      <w:r>
        <w:rPr>
          <w:rFonts w:hint="eastAsia"/>
          <w:lang w:val="en-US" w:eastAsia="zh-CN"/>
        </w:rPr>
        <w:t>37.13</w:t>
      </w:r>
      <w:r>
        <w:t>万元，比年初预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44" w:lineRule="auto"/>
        <w:ind w:left="1320" w:leftChars="0" w:firstLine="0" w:firstLineChars="0"/>
        <w:jc w:val="left"/>
        <w:textAlignment w:val="auto"/>
        <w:rPr>
          <w:rFonts w:hint="default" w:eastAsia="宋体"/>
          <w:lang w:val="en-US" w:eastAsia="zh-CN"/>
        </w:rPr>
      </w:pPr>
      <w:r>
        <w:t>算数</w:t>
      </w:r>
      <w:r>
        <w:rPr>
          <w:rFonts w:hint="eastAsia"/>
          <w:lang w:eastAsia="zh-CN"/>
        </w:rPr>
        <w:t>持平。</w:t>
      </w:r>
      <w:r>
        <w:rPr>
          <w:rFonts w:hint="eastAsia"/>
          <w:lang w:val="en-US" w:eastAsia="zh-CN"/>
        </w:rPr>
        <w:t>主要用于：办公设备购置1.34万元、其他交通工具购置16万元、办公费11.13万元、印刷费0.86万元、邮电费0.97万元、差旅费1.35万元、劳务费0.73万元、公务用车运行维护费3.37万元、其他交通费用1.38万元。</w:t>
      </w:r>
    </w:p>
    <w:p>
      <w:pPr>
        <w:pStyle w:val="3"/>
        <w:spacing w:before="170"/>
      </w:pPr>
      <w:bookmarkStart w:id="11" w:name="（二）政府采购情况"/>
      <w:bookmarkEnd w:id="11"/>
      <w:r>
        <w:t>（二）政府采购情况</w:t>
      </w:r>
    </w:p>
    <w:p>
      <w:pPr>
        <w:pStyle w:val="4"/>
        <w:spacing w:before="173"/>
        <w:ind w:left="1914" w:leftChars="870" w:firstLine="320" w:firstLineChars="100"/>
        <w:jc w:val="both"/>
        <w:rPr>
          <w:rFonts w:hint="eastAsia"/>
          <w:lang w:eastAsia="zh-CN"/>
        </w:rPr>
      </w:pPr>
      <w:r>
        <w:t xml:space="preserve">本部门 2018 年度政府采购支出总额 </w:t>
      </w:r>
      <w:r>
        <w:rPr>
          <w:rFonts w:hint="eastAsia"/>
          <w:lang w:val="en-US" w:eastAsia="zh-CN"/>
        </w:rPr>
        <w:t>0</w:t>
      </w:r>
      <w:r>
        <w:t>万元</w:t>
      </w:r>
      <w:r>
        <w:rPr>
          <w:rFonts w:hint="eastAsia"/>
          <w:lang w:eastAsia="zh-CN"/>
        </w:rPr>
        <w:t>，从采购类看，</w:t>
      </w:r>
    </w:p>
    <w:p>
      <w:pPr>
        <w:pStyle w:val="4"/>
        <w:spacing w:before="173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政府采购货物支出0万元、政府采购工程支出0万元、政府采购服务</w:t>
      </w:r>
    </w:p>
    <w:p>
      <w:pPr>
        <w:pStyle w:val="4"/>
        <w:spacing w:before="173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支出0万元。授予中小企业合同金0万元，占政府采购支出总额的0%</w:t>
      </w:r>
    </w:p>
    <w:p>
      <w:pPr>
        <w:pStyle w:val="4"/>
        <w:spacing w:before="173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其中授予中小微企业合同金额0万元，占政府采购支出总额的0%。</w:t>
      </w:r>
      <w:bookmarkStart w:id="14" w:name="_GoBack"/>
      <w:bookmarkEnd w:id="14"/>
    </w:p>
    <w:p>
      <w:pPr>
        <w:pStyle w:val="3"/>
        <w:spacing w:before="176"/>
      </w:pPr>
      <w:bookmarkStart w:id="12" w:name="（三）国有资产占用情况"/>
      <w:bookmarkEnd w:id="12"/>
      <w:r>
        <w:t>（三）国有资产占用情况</w:t>
      </w:r>
    </w:p>
    <w:p>
      <w:pPr>
        <w:pStyle w:val="4"/>
        <w:spacing w:before="175"/>
        <w:ind w:left="1967"/>
      </w:pPr>
      <w:r>
        <w:t xml:space="preserve">截至 2018 年12 月31 日，本部门共有车辆 </w:t>
      </w:r>
      <w:r>
        <w:rPr>
          <w:rFonts w:hint="eastAsia"/>
          <w:lang w:val="en-US" w:eastAsia="zh-CN"/>
        </w:rPr>
        <w:t>2</w:t>
      </w:r>
      <w:r>
        <w:t xml:space="preserve"> 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44" w:lineRule="auto"/>
        <w:ind w:left="1274" w:leftChars="579" w:right="173" w:firstLine="608" w:firstLineChars="190"/>
        <w:textAlignment w:val="auto"/>
      </w:pPr>
      <w:r>
        <w:t>其中，副部（省）级及以上领导用车0辆，主要领导干</w:t>
      </w:r>
      <w:r>
        <w:rPr>
          <w:w w:val="95"/>
        </w:rPr>
        <w:t>部用车0辆，机要通信用车0辆，应急保障用车0辆，执法执勤用车</w:t>
      </w:r>
      <w:r>
        <w:rPr>
          <w:rFonts w:hint="eastAsia"/>
          <w:w w:val="95"/>
          <w:lang w:val="en-US" w:eastAsia="zh-CN"/>
        </w:rPr>
        <w:t>2</w:t>
      </w:r>
      <w:r>
        <w:rPr>
          <w:w w:val="95"/>
        </w:rPr>
        <w:t>辆（主要用于</w:t>
      </w:r>
      <w:r>
        <w:rPr>
          <w:rFonts w:hint="eastAsia"/>
          <w:w w:val="95"/>
          <w:lang w:eastAsia="zh-CN"/>
        </w:rPr>
        <w:t>执法</w:t>
      </w:r>
      <w:r>
        <w:rPr>
          <w:w w:val="95"/>
        </w:rPr>
        <w:t xml:space="preserve">检查），特种专业技术用车0辆，离退休干部用车0辆，其他用  车0辆；单位价值50万元以上通用设备0台（套），持平。主要是无此项支  </w:t>
      </w:r>
      <w:r>
        <w:rPr>
          <w:spacing w:val="-2"/>
        </w:rPr>
        <w:t>出 ，单位价值</w:t>
      </w:r>
      <w:r>
        <w:t>100万元以上专用设备0台（套）比上年持平，主要是无此项支出。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44" w:lineRule="auto"/>
        <w:textAlignment w:val="auto"/>
        <w:sectPr>
          <w:pgSz w:w="11910" w:h="16840"/>
          <w:pgMar w:top="1480" w:right="650" w:bottom="0" w:left="260" w:header="586" w:footer="0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3" w:line="344" w:lineRule="auto"/>
        <w:ind w:left="1274" w:leftChars="579" w:right="173" w:firstLine="608" w:firstLineChars="19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44" w:lineRule="auto"/>
        <w:textAlignment w:val="auto"/>
        <w:sectPr>
          <w:pgSz w:w="11910" w:h="16840"/>
          <w:pgMar w:top="1480" w:right="650" w:bottom="0" w:left="260" w:header="586" w:footer="0" w:gutter="0"/>
          <w:cols w:space="720" w:num="1"/>
        </w:sectPr>
      </w:pPr>
    </w:p>
    <w:p>
      <w:pPr>
        <w:pStyle w:val="4"/>
        <w:rPr>
          <w:sz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150" cy="1067435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896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4"/>
        </w:rPr>
      </w:pPr>
    </w:p>
    <w:p>
      <w:pPr>
        <w:spacing w:before="0" w:line="1196" w:lineRule="exact"/>
        <w:ind w:left="62" w:right="0" w:firstLine="0"/>
        <w:jc w:val="center"/>
        <w:rPr>
          <w:rFonts w:hint="eastAsia" w:ascii="黑体" w:eastAsia="黑体"/>
          <w:sz w:val="96"/>
        </w:rPr>
      </w:pPr>
      <w:bookmarkStart w:id="13" w:name="第四部分名词解释"/>
      <w:bookmarkEnd w:id="13"/>
      <w:r>
        <w:rPr>
          <w:rFonts w:hint="eastAsia" w:ascii="黑体" w:eastAsia="黑体"/>
          <w:color w:val="FBEDBC"/>
          <w:sz w:val="96"/>
        </w:rPr>
        <w:t>第四部分</w:t>
      </w:r>
    </w:p>
    <w:p>
      <w:pPr>
        <w:spacing w:before="150"/>
        <w:ind w:left="62" w:right="0" w:firstLine="0"/>
        <w:jc w:val="center"/>
        <w:rPr>
          <w:rFonts w:hint="eastAsia" w:ascii="黑体" w:eastAsia="黑体"/>
          <w:sz w:val="96"/>
        </w:rPr>
      </w:pPr>
      <w:r>
        <w:rPr>
          <w:rFonts w:hint="eastAsia" w:ascii="黑体" w:eastAsia="黑体"/>
          <w:color w:val="FBEDBC"/>
          <w:sz w:val="96"/>
        </w:rPr>
        <w:t>名词解释</w:t>
      </w:r>
    </w:p>
    <w:p>
      <w:pPr>
        <w:spacing w:after="0"/>
        <w:jc w:val="center"/>
        <w:rPr>
          <w:rFonts w:hint="eastAsia" w:ascii="黑体" w:eastAsia="黑体"/>
          <w:sz w:val="96"/>
        </w:rPr>
        <w:sectPr>
          <w:headerReference r:id="rId14" w:type="default"/>
          <w:pgSz w:w="11910" w:h="16840"/>
          <w:pgMar w:top="1600" w:right="280" w:bottom="280" w:left="260" w:header="0" w:footer="0" w:gutter="0"/>
          <w:cols w:space="720" w:num="1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0"/>
        <w:rPr>
          <w:rFonts w:ascii="黑体"/>
          <w:sz w:val="25"/>
        </w:rPr>
      </w:pPr>
    </w:p>
    <w:p>
      <w:pPr>
        <w:pStyle w:val="4"/>
        <w:spacing w:before="18" w:line="244" w:lineRule="auto"/>
        <w:ind w:left="1328" w:right="1207" w:firstLine="638"/>
      </w:pPr>
      <w:r>
        <w:rPr>
          <w:rFonts w:hint="eastAsia" w:ascii="微软雅黑" w:eastAsia="微软雅黑"/>
          <w:b/>
          <w:i/>
          <w:w w:val="95"/>
        </w:rPr>
        <w:t>（一</w:t>
      </w:r>
      <w:r>
        <w:rPr>
          <w:rFonts w:hint="eastAsia" w:ascii="微软雅黑" w:eastAsia="微软雅黑"/>
          <w:b/>
          <w:i/>
          <w:spacing w:val="-63"/>
          <w:w w:val="95"/>
        </w:rPr>
        <w:t>）</w:t>
      </w:r>
      <w:r>
        <w:rPr>
          <w:rFonts w:hint="eastAsia" w:ascii="微软雅黑" w:eastAsia="微软雅黑"/>
          <w:b/>
          <w:i/>
          <w:spacing w:val="-10"/>
          <w:w w:val="95"/>
        </w:rPr>
        <w:t>财政拨款收入：</w:t>
      </w:r>
      <w:r>
        <w:rPr>
          <w:w w:val="95"/>
        </w:rPr>
        <w:t xml:space="preserve">本年度从本级财政部门取得的财政拨 </w:t>
      </w:r>
      <w:r>
        <w:t>款，包括一般公共预算财政拨款和政府性基金预算财政拨款。</w:t>
      </w:r>
    </w:p>
    <w:p>
      <w:pPr>
        <w:spacing w:before="22" w:line="261" w:lineRule="auto"/>
        <w:ind w:left="1328" w:right="1205" w:firstLine="636"/>
        <w:jc w:val="left"/>
        <w:rPr>
          <w:sz w:val="32"/>
        </w:rPr>
      </w:pPr>
      <w:r>
        <w:rPr>
          <w:rFonts w:hint="eastAsia" w:ascii="微软雅黑" w:eastAsia="微软雅黑"/>
          <w:b/>
          <w:i/>
          <w:w w:val="95"/>
          <w:sz w:val="32"/>
        </w:rPr>
        <w:t>（二</w:t>
      </w:r>
      <w:r>
        <w:rPr>
          <w:rFonts w:hint="eastAsia" w:ascii="微软雅黑" w:eastAsia="微软雅黑"/>
          <w:b/>
          <w:i/>
          <w:spacing w:val="-63"/>
          <w:w w:val="95"/>
          <w:sz w:val="32"/>
        </w:rPr>
        <w:t>）</w:t>
      </w:r>
      <w:r>
        <w:rPr>
          <w:rFonts w:hint="eastAsia" w:ascii="微软雅黑" w:eastAsia="微软雅黑"/>
          <w:b/>
          <w:i/>
          <w:spacing w:val="-12"/>
          <w:w w:val="95"/>
          <w:sz w:val="32"/>
        </w:rPr>
        <w:t>事业收入：</w:t>
      </w:r>
      <w:r>
        <w:rPr>
          <w:w w:val="95"/>
          <w:sz w:val="32"/>
        </w:rPr>
        <w:t xml:space="preserve">指事业单位开展专业业务活动及辅助活动 </w:t>
      </w:r>
      <w:r>
        <w:rPr>
          <w:sz w:val="32"/>
        </w:rPr>
        <w:t>所取得的收入。</w:t>
      </w:r>
    </w:p>
    <w:p>
      <w:pPr>
        <w:pStyle w:val="4"/>
        <w:spacing w:line="259" w:lineRule="auto"/>
        <w:ind w:left="1328" w:right="1082" w:firstLine="636"/>
      </w:pPr>
      <w:r>
        <w:rPr>
          <w:rFonts w:hint="eastAsia" w:ascii="微软雅黑" w:hAnsi="微软雅黑" w:eastAsia="微软雅黑"/>
          <w:b/>
          <w:i/>
        </w:rPr>
        <w:t>（三）其他收入：</w:t>
      </w:r>
      <w:r>
        <w:t>指除上述“财政拨款收入”“事业收入” “经营收入”等以外的收入。</w:t>
      </w:r>
    </w:p>
    <w:p>
      <w:pPr>
        <w:pStyle w:val="4"/>
        <w:spacing w:line="259" w:lineRule="auto"/>
        <w:ind w:left="1328" w:right="1243" w:firstLine="636"/>
      </w:pPr>
      <w:r>
        <w:rPr>
          <w:rFonts w:hint="eastAsia" w:ascii="微软雅黑" w:eastAsia="微软雅黑"/>
          <w:b/>
          <w:i/>
          <w:w w:val="95"/>
        </w:rPr>
        <w:t>（四</w:t>
      </w:r>
      <w:r>
        <w:rPr>
          <w:rFonts w:hint="eastAsia" w:ascii="微软雅黑" w:eastAsia="微软雅黑"/>
          <w:b/>
          <w:i/>
          <w:spacing w:val="-41"/>
          <w:w w:val="95"/>
        </w:rPr>
        <w:t>）</w:t>
      </w:r>
      <w:r>
        <w:rPr>
          <w:rFonts w:hint="eastAsia" w:ascii="微软雅黑" w:eastAsia="微软雅黑"/>
          <w:b/>
          <w:i/>
          <w:spacing w:val="-6"/>
          <w:w w:val="95"/>
        </w:rPr>
        <w:t>年初结转和结余：</w:t>
      </w:r>
      <w:r>
        <w:rPr>
          <w:spacing w:val="-5"/>
          <w:w w:val="95"/>
        </w:rPr>
        <w:t xml:space="preserve">指以前年度尚未完成、结转到本年 </w:t>
      </w:r>
      <w:r>
        <w:rPr>
          <w:spacing w:val="-14"/>
        </w:rPr>
        <w:t>仍按原规定用途继续使用的资金，或项目已完成等产生的结余资</w:t>
      </w:r>
    </w:p>
    <w:p>
      <w:pPr>
        <w:pStyle w:val="4"/>
        <w:spacing w:before="107"/>
        <w:ind w:left="1328"/>
      </w:pPr>
      <w:r>
        <w:t>金。</w:t>
      </w:r>
    </w:p>
    <w:p>
      <w:pPr>
        <w:spacing w:before="32" w:line="259" w:lineRule="auto"/>
        <w:ind w:left="1328" w:right="1209" w:firstLine="636"/>
        <w:jc w:val="left"/>
        <w:rPr>
          <w:sz w:val="32"/>
        </w:rPr>
      </w:pPr>
      <w:r>
        <w:rPr>
          <w:rFonts w:hint="eastAsia" w:ascii="微软雅黑" w:eastAsia="微软雅黑"/>
          <w:b/>
          <w:i/>
          <w:w w:val="95"/>
          <w:sz w:val="32"/>
        </w:rPr>
        <w:t>（五</w:t>
      </w:r>
      <w:r>
        <w:rPr>
          <w:rFonts w:hint="eastAsia" w:ascii="微软雅黑" w:eastAsia="微软雅黑"/>
          <w:b/>
          <w:i/>
          <w:spacing w:val="-63"/>
          <w:w w:val="95"/>
          <w:sz w:val="32"/>
        </w:rPr>
        <w:t>）</w:t>
      </w:r>
      <w:r>
        <w:rPr>
          <w:rFonts w:hint="eastAsia" w:ascii="微软雅黑" w:eastAsia="微软雅黑"/>
          <w:b/>
          <w:i/>
          <w:w w:val="95"/>
          <w:sz w:val="32"/>
        </w:rPr>
        <w:t>年</w:t>
      </w:r>
      <w:r>
        <w:rPr>
          <w:b/>
          <w:w w:val="95"/>
          <w:sz w:val="32"/>
        </w:rPr>
        <w:t>末</w:t>
      </w:r>
      <w:r>
        <w:rPr>
          <w:rFonts w:hint="eastAsia" w:ascii="微软雅黑" w:eastAsia="微软雅黑"/>
          <w:b/>
          <w:i/>
          <w:spacing w:val="-11"/>
          <w:w w:val="95"/>
          <w:sz w:val="32"/>
        </w:rPr>
        <w:t>结转和结余：</w:t>
      </w:r>
      <w:r>
        <w:rPr>
          <w:w w:val="95"/>
          <w:sz w:val="32"/>
        </w:rPr>
        <w:t xml:space="preserve">指单位按有关规定结转到下年或以 </w:t>
      </w:r>
      <w:r>
        <w:rPr>
          <w:sz w:val="32"/>
        </w:rPr>
        <w:t>后年度继续使用的资金，或项目已完成等产生的结余资金。</w:t>
      </w:r>
    </w:p>
    <w:p>
      <w:pPr>
        <w:pStyle w:val="4"/>
        <w:spacing w:line="261" w:lineRule="auto"/>
        <w:ind w:left="1328" w:right="1221" w:firstLine="636"/>
      </w:pPr>
      <w:r>
        <w:rPr>
          <w:rFonts w:hint="eastAsia" w:ascii="微软雅黑" w:eastAsia="微软雅黑"/>
          <w:b/>
          <w:i/>
          <w:w w:val="95"/>
        </w:rPr>
        <w:t>（六</w:t>
      </w:r>
      <w:r>
        <w:rPr>
          <w:rFonts w:hint="eastAsia" w:ascii="微软雅黑" w:eastAsia="微软雅黑"/>
          <w:b/>
          <w:i/>
          <w:spacing w:val="-41"/>
          <w:w w:val="95"/>
        </w:rPr>
        <w:t>）</w:t>
      </w:r>
      <w:r>
        <w:rPr>
          <w:rFonts w:hint="eastAsia" w:ascii="微软雅黑" w:eastAsia="微软雅黑"/>
          <w:b/>
          <w:i/>
          <w:spacing w:val="-10"/>
          <w:w w:val="95"/>
        </w:rPr>
        <w:t>基本支出：</w:t>
      </w:r>
      <w:r>
        <w:rPr>
          <w:spacing w:val="-3"/>
          <w:w w:val="95"/>
        </w:rPr>
        <w:t xml:space="preserve">填列单位为保障机构正常运转、完成日常 </w:t>
      </w:r>
      <w:r>
        <w:rPr>
          <w:spacing w:val="-3"/>
        </w:rPr>
        <w:t>工作任务而发生的各项支出。</w:t>
      </w:r>
    </w:p>
    <w:p>
      <w:pPr>
        <w:pStyle w:val="4"/>
        <w:spacing w:line="259" w:lineRule="auto"/>
        <w:ind w:left="1328" w:right="1205" w:firstLine="636"/>
      </w:pPr>
      <w:r>
        <w:rPr>
          <w:rFonts w:hint="eastAsia" w:ascii="微软雅黑" w:eastAsia="微软雅黑"/>
          <w:b/>
          <w:i/>
          <w:w w:val="95"/>
        </w:rPr>
        <w:t>（七</w:t>
      </w:r>
      <w:r>
        <w:rPr>
          <w:rFonts w:hint="eastAsia" w:ascii="微软雅黑" w:eastAsia="微软雅黑"/>
          <w:b/>
          <w:i/>
          <w:spacing w:val="-63"/>
          <w:w w:val="95"/>
        </w:rPr>
        <w:t>）</w:t>
      </w:r>
      <w:r>
        <w:rPr>
          <w:rFonts w:hint="eastAsia" w:ascii="微软雅黑" w:eastAsia="微软雅黑"/>
          <w:b/>
          <w:i/>
          <w:spacing w:val="-12"/>
          <w:w w:val="95"/>
        </w:rPr>
        <w:t>项目支出：</w:t>
      </w:r>
      <w:r>
        <w:rPr>
          <w:w w:val="95"/>
        </w:rPr>
        <w:t xml:space="preserve">填列单位为完成特定的行政工作任务或事 </w:t>
      </w:r>
      <w:r>
        <w:t>业发展目标，在基本支出之外发生的各项支出</w:t>
      </w:r>
    </w:p>
    <w:p>
      <w:pPr>
        <w:pStyle w:val="4"/>
        <w:spacing w:line="259" w:lineRule="auto"/>
        <w:ind w:left="1328" w:right="1174" w:firstLine="636"/>
      </w:pPr>
      <w:r>
        <w:rPr>
          <w:rFonts w:hint="eastAsia" w:ascii="微软雅黑" w:hAnsi="微软雅黑" w:eastAsia="微软雅黑"/>
          <w:b/>
          <w:i/>
          <w:spacing w:val="6"/>
          <w:w w:val="97"/>
        </w:rPr>
        <w:t>（八</w:t>
      </w:r>
      <w:r>
        <w:rPr>
          <w:rFonts w:hint="eastAsia" w:ascii="微软雅黑" w:hAnsi="微软雅黑" w:eastAsia="微软雅黑"/>
          <w:b/>
          <w:i/>
          <w:spacing w:val="-241"/>
          <w:w w:val="97"/>
        </w:rPr>
        <w:t>）</w:t>
      </w:r>
      <w:r>
        <w:rPr>
          <w:rFonts w:hint="eastAsia" w:ascii="微软雅黑" w:hAnsi="微软雅黑" w:eastAsia="微软雅黑"/>
          <w:b/>
          <w:i/>
          <w:spacing w:val="-32"/>
          <w:w w:val="97"/>
        </w:rPr>
        <w:t>“三公”经费：</w:t>
      </w:r>
      <w:r>
        <w:rPr>
          <w:spacing w:val="-7"/>
          <w:w w:val="97"/>
        </w:rPr>
        <w:t>指部门用财政拨款安排的因公出国</w:t>
      </w:r>
      <w:r>
        <w:rPr>
          <w:spacing w:val="4"/>
          <w:w w:val="97"/>
        </w:rPr>
        <w:t>（</w:t>
      </w:r>
      <w:r>
        <w:rPr>
          <w:spacing w:val="1"/>
          <w:w w:val="97"/>
        </w:rPr>
        <w:t>境</w:t>
      </w:r>
      <w:r>
        <w:rPr>
          <w:w w:val="97"/>
        </w:rPr>
        <w:t>）</w:t>
      </w:r>
      <w:r>
        <w:rPr>
          <w:spacing w:val="-17"/>
          <w:w w:val="95"/>
        </w:rPr>
        <w:t>费、公务用车购置及运行费和公务接待费。其中，因公出国</w:t>
      </w:r>
      <w:r>
        <w:rPr>
          <w:spacing w:val="4"/>
          <w:w w:val="95"/>
        </w:rPr>
        <w:t>（</w:t>
      </w:r>
      <w:r>
        <w:rPr>
          <w:w w:val="95"/>
        </w:rPr>
        <w:t>境）</w:t>
      </w:r>
    </w:p>
    <w:p>
      <w:pPr>
        <w:pStyle w:val="4"/>
        <w:spacing w:before="103" w:line="331" w:lineRule="auto"/>
        <w:ind w:left="1328" w:right="1098"/>
      </w:pPr>
      <w:r>
        <w:rPr>
          <w:spacing w:val="-5"/>
        </w:rPr>
        <w:t>费反映单位公务出国</w:t>
      </w:r>
      <w:r>
        <w:t>（境</w:t>
      </w:r>
      <w:r>
        <w:rPr>
          <w:spacing w:val="-27"/>
        </w:rPr>
        <w:t>）</w:t>
      </w:r>
      <w:r>
        <w:rPr>
          <w:spacing w:val="-7"/>
        </w:rPr>
        <w:t>的国际旅费、国外城市间交通费、住</w:t>
      </w:r>
      <w:r>
        <w:rPr>
          <w:spacing w:val="-12"/>
          <w:w w:val="95"/>
        </w:rPr>
        <w:t xml:space="preserve">宿费、伙食费、培训费、公杂费等支出；公务用车购置及运行费反 </w:t>
      </w:r>
      <w:r>
        <w:rPr>
          <w:spacing w:val="-19"/>
        </w:rPr>
        <w:t>映单位公务用车购置支出</w:t>
      </w:r>
      <w:r>
        <w:t>（含车辆购置税</w:t>
      </w:r>
      <w:r>
        <w:rPr>
          <w:spacing w:val="-91"/>
        </w:rPr>
        <w:t>）</w:t>
      </w:r>
      <w:r>
        <w:rPr>
          <w:spacing w:val="-12"/>
        </w:rPr>
        <w:t>及租用费、燃料费、维</w:t>
      </w:r>
      <w:r>
        <w:rPr>
          <w:spacing w:val="-12"/>
          <w:w w:val="95"/>
        </w:rPr>
        <w:t xml:space="preserve">修费、过路过桥费、保险费、安全奖励费用等支出；公务接待费反 </w:t>
      </w:r>
      <w:r>
        <w:rPr>
          <w:spacing w:val="-12"/>
        </w:rPr>
        <w:t>映单位按规定开支的各类公务接待（含外宾接待）</w:t>
      </w:r>
      <w:r>
        <w:rPr>
          <w:spacing w:val="-8"/>
        </w:rPr>
        <w:t>支出。</w:t>
      </w:r>
    </w:p>
    <w:p>
      <w:pPr>
        <w:spacing w:after="0" w:line="331" w:lineRule="auto"/>
        <w:sectPr>
          <w:headerReference r:id="rId15" w:type="default"/>
          <w:pgSz w:w="11910" w:h="16840"/>
          <w:pgMar w:top="800" w:right="280" w:bottom="280" w:left="260" w:header="614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5"/>
        </w:rPr>
      </w:pPr>
    </w:p>
    <w:p>
      <w:pPr>
        <w:pStyle w:val="4"/>
        <w:spacing w:before="18" w:line="244" w:lineRule="auto"/>
        <w:ind w:left="1328" w:right="1041" w:firstLine="638"/>
      </w:pPr>
      <w:r>
        <w:rPr>
          <w:rFonts w:hint="eastAsia" w:ascii="微软雅黑" w:eastAsia="微软雅黑"/>
          <w:b/>
          <w:i/>
        </w:rPr>
        <w:t>（九</w:t>
      </w:r>
      <w:r>
        <w:rPr>
          <w:rFonts w:hint="eastAsia" w:ascii="微软雅黑" w:eastAsia="微软雅黑"/>
          <w:b/>
          <w:i/>
          <w:spacing w:val="-63"/>
        </w:rPr>
        <w:t>）</w:t>
      </w:r>
      <w:r>
        <w:rPr>
          <w:rFonts w:hint="eastAsia" w:ascii="微软雅黑" w:eastAsia="微软雅黑"/>
          <w:b/>
          <w:i/>
          <w:spacing w:val="-10"/>
        </w:rPr>
        <w:t>其他交通费用：</w:t>
      </w:r>
      <w:r>
        <w:t>填列单位除公务用车运行维护费以外</w:t>
      </w:r>
      <w:r>
        <w:rPr>
          <w:spacing w:val="-11"/>
          <w:w w:val="95"/>
        </w:rPr>
        <w:t>的其他交通费用。如公务交通补贴、租车费用、出租车费用、飞 机、</w:t>
      </w:r>
    </w:p>
    <w:p>
      <w:pPr>
        <w:pStyle w:val="4"/>
        <w:spacing w:before="148"/>
        <w:ind w:left="1328"/>
      </w:pPr>
      <w:r>
        <w:t>船舶等的燃料费、维修费、保险费等。</w:t>
      </w:r>
    </w:p>
    <w:p>
      <w:pPr>
        <w:pStyle w:val="4"/>
        <w:spacing w:before="124" w:line="242" w:lineRule="auto"/>
        <w:ind w:left="1328" w:right="1082" w:firstLine="638"/>
      </w:pPr>
      <w:r>
        <w:rPr>
          <w:rFonts w:hint="eastAsia" w:ascii="微软雅黑" w:eastAsia="微软雅黑"/>
          <w:b/>
          <w:i/>
          <w:w w:val="95"/>
        </w:rPr>
        <w:t>（十）机关运行经费：</w:t>
      </w:r>
      <w:r>
        <w:rPr>
          <w:w w:val="95"/>
        </w:rPr>
        <w:t xml:space="preserve">指为保障行政单位（包括参照公务员 </w:t>
      </w:r>
      <w:r>
        <w:t>法管理的事业单位</w:t>
      </w:r>
      <w:r>
        <w:rPr>
          <w:spacing w:val="-58"/>
        </w:rPr>
        <w:t>）</w:t>
      </w:r>
      <w:r>
        <w:rPr>
          <w:spacing w:val="-5"/>
        </w:rPr>
        <w:t>运行用于购买货物和服务的各项资金，包括</w:t>
      </w:r>
    </w:p>
    <w:p>
      <w:pPr>
        <w:pStyle w:val="4"/>
        <w:spacing w:before="151" w:line="331" w:lineRule="auto"/>
        <w:ind w:left="1328" w:right="1020"/>
        <w:jc w:val="both"/>
      </w:pPr>
      <w:r>
        <w:rPr>
          <w:spacing w:val="-20"/>
          <w:w w:val="95"/>
        </w:rPr>
        <w:t>办公及印刷费、邮电费、差旅费、会议费、福利费、日常维修费、 专用</w:t>
      </w:r>
      <w:r>
        <w:rPr>
          <w:spacing w:val="-19"/>
          <w:w w:val="95"/>
        </w:rPr>
        <w:t xml:space="preserve">材料以及一般设备购置费、办公用房水电费、办公用房取暖费、办公  </w:t>
      </w:r>
      <w:r>
        <w:rPr>
          <w:spacing w:val="-19"/>
        </w:rPr>
        <w:t>用房物业管理费、公务用车运行维护费以及其他费用。</w:t>
      </w:r>
    </w:p>
    <w:p>
      <w:pPr>
        <w:spacing w:before="0" w:line="554" w:lineRule="exact"/>
        <w:ind w:left="1967" w:right="0" w:firstLine="0"/>
        <w:jc w:val="left"/>
        <w:rPr>
          <w:sz w:val="32"/>
        </w:rPr>
      </w:pPr>
      <w:r>
        <w:rPr>
          <w:rFonts w:hint="eastAsia" w:ascii="微软雅黑" w:eastAsia="微软雅黑"/>
          <w:b/>
          <w:i/>
          <w:sz w:val="32"/>
        </w:rPr>
        <w:t>（十一）经费形</w:t>
      </w:r>
      <w:r>
        <w:rPr>
          <w:b/>
          <w:sz w:val="32"/>
        </w:rPr>
        <w:t>式：</w:t>
      </w:r>
      <w:r>
        <w:rPr>
          <w:sz w:val="32"/>
        </w:rPr>
        <w:t>按照经费来源，可分为财政拨款、财政</w:t>
      </w:r>
    </w:p>
    <w:p>
      <w:pPr>
        <w:pStyle w:val="4"/>
        <w:spacing w:before="4" w:line="331" w:lineRule="auto"/>
        <w:ind w:left="1328" w:right="1416"/>
      </w:pPr>
      <w:r>
        <w:rPr>
          <w:spacing w:val="-14"/>
          <w:w w:val="95"/>
        </w:rPr>
        <w:t>性资金基本保证、财政性资金定额或定项补助、财政性资金零补 助</w:t>
      </w:r>
      <w:r>
        <w:rPr>
          <w:spacing w:val="-8"/>
        </w:rPr>
        <w:t>四类。</w:t>
      </w:r>
    </w:p>
    <w:p>
      <w:pPr>
        <w:spacing w:after="0" w:line="331" w:lineRule="auto"/>
        <w:sectPr>
          <w:pgSz w:w="11910" w:h="16840"/>
          <w:pgMar w:top="800" w:right="280" w:bottom="280" w:left="260" w:header="614" w:footer="0" w:gutter="0"/>
          <w:cols w:space="720" w:num="1"/>
        </w:sectPr>
      </w:pPr>
    </w:p>
    <w:p>
      <w:pPr>
        <w:pStyle w:val="4"/>
        <w:spacing w:before="7"/>
        <w:rPr>
          <w:sz w:val="15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17780</wp:posOffset>
            </wp:positionH>
            <wp:positionV relativeFrom="page">
              <wp:posOffset>0</wp:posOffset>
            </wp:positionV>
            <wp:extent cx="7542530" cy="1069213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27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16" w:type="default"/>
      <w:pgSz w:w="11910" w:h="16840"/>
      <w:pgMar w:top="1600" w:right="280" w:bottom="280" w:left="2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49" o:spid="_x0000_s2049" o:spt="203" style="position:absolute;left:0pt;margin-left:0pt;margin-top:38.95pt;height:2.05pt;width:248.65pt;mso-position-horizontal-relative:page;mso-position-vertical-relative:page;z-index:-251656192;mso-width-relative:page;mso-height-relative:page;" coordorigin="0,779" coordsize="4973,41">
          <o:lock v:ext="edit"/>
          <v:shape id="_x0000_s2050" o:spid="_x0000_s2050" style="position:absolute;left:0;top:799;height:2;width:4973;" fillcolor="#D9D9D9" filled="t" stroked="f" coordorigin="0,799" coordsize="4973,2" path="m4973,801l0,799,4973,799,4973,801xe">
            <v:path arrowok="t"/>
            <v:fill on="t" focussize="0,0"/>
            <v:stroke on="f"/>
            <v:imagedata o:title=""/>
            <o:lock v:ext="edit"/>
          </v:shape>
          <v:shape id="_x0000_s2051" o:spid="_x0000_s2051" style="position:absolute;left:0;top:799;height:2;width:4858;" fillcolor="#AC002C" filled="t" stroked="f" coordorigin="0,799" coordsize="4858,2" path="m4858,801l0,799,4858,799,4858,801xe">
            <v:path arrowok="t"/>
            <v:fill on="t" focussize="0,0"/>
            <v:stroke on="f"/>
            <v:imagedata o:title=""/>
            <o:lock v:ext="edit"/>
          </v:shape>
          <v:shape id="_x0000_s2052" o:spid="_x0000_s2052" style="position:absolute;left:0;top:779;height:41;width:4878;" fillcolor="#AE761F" filled="t" stroked="f" coordorigin="0,779" coordsize="4878,41" path="m7,800l0,793,0,779,4858,779,4862,780,4858,780,4839,799,7,799,7,800xm4866,819l4858,819,4839,800,4858,780,4864,780,4866,781,4872,785,4875,788,4877,792,4878,795,4878,804,4877,808,4875,811,4869,817,4866,819xm0,806l0,793,7,800,0,806xm4862,820l0,820,0,806,7,800,7,799,4838,799,4838,800,4839,800,4858,819,4864,819,4862,820xm4839,800l4838,800,4838,799,4839,800xm4839,800l4838,799,4839,799,4839,800xe">
            <v:path arrowok="t"/>
            <v:fill on="t" focussize="0,0"/>
            <v:stroke on="f"/>
            <v:imagedata o:title=""/>
            <o:lock v:ext="edit"/>
          </v:shape>
        </v:group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70" o:spid="_x0000_s2070" o:spt="203" style="position:absolute;left:0pt;margin-left:0pt;margin-top:38.65pt;height:2.05pt;width:263.2pt;mso-position-horizontal-relative:page;mso-position-vertical-relative:page;z-index:-251653120;mso-width-relative:page;mso-height-relative:page;" coordorigin="0,773" coordsize="5264,41">
          <o:lock v:ext="edit"/>
          <v:shape id="_x0000_s2071" o:spid="_x0000_s2071" style="position:absolute;left:0;top:792;height:2;width:5264;" fillcolor="#D9D9D9" filled="t" stroked="f" coordorigin="0,792" coordsize="5264,2" path="m5264,794l0,794,0,792,5263,792,5264,794xe">
            <v:path arrowok="t"/>
            <v:fill on="t" focussize="0,0"/>
            <v:stroke on="f"/>
            <v:imagedata o:title=""/>
            <o:lock v:ext="edit"/>
          </v:shape>
          <v:shape id="_x0000_s2072" o:spid="_x0000_s2072" style="position:absolute;left:0;top:792;height:2;width:5143;" fillcolor="#AC002C" filled="t" stroked="f" coordorigin="0,792" coordsize="5143,2" path="m5142,794l0,794,0,792,5143,792,5142,794xe">
            <v:path arrowok="t"/>
            <v:fill on="t" focussize="0,0"/>
            <v:stroke on="f"/>
            <v:imagedata o:title=""/>
            <o:lock v:ext="edit"/>
          </v:shape>
          <v:shape id="_x0000_s2073" o:spid="_x0000_s2073" style="position:absolute;left:0;top:773;height:41;width:5162;" fillcolor="#AE761F" filled="t" stroked="f" coordorigin="0,773" coordsize="5162,41" path="m3,794l0,791,0,773,5142,773,5146,774,5142,774,5123,793,3,793,3,794xm5150,813l5142,813,5123,794,5142,774,5148,774,5150,775,5156,779,5159,782,5161,786,5162,789,5162,798,5161,802,5159,805,5153,811,5150,813xm0,796l0,791,3,794,0,796xm5146,814l0,814,0,796,3,794,3,793,5122,793,5122,794,5123,794,5142,813,5148,813,5146,814xm5123,794l5122,794,5122,793,5123,794xm5123,794l5122,793,5123,793,5123,794xe">
            <v:path arrowok="t"/>
            <v:fill on="t" focussize="0,0"/>
            <v:stroke on="f"/>
            <v:imagedata o:title=""/>
            <o:lock v:ext="edit"/>
          </v:shape>
          <v:shape id="_x0000_s2074" o:spid="_x0000_s2074" style="position:absolute;left:0;top:792;height:2;width:5264;" fillcolor="#D9D9D9" filled="t" stroked="f" coordorigin="0,792" coordsize="5264,2" path="m5264,794l0,794,0,792,5263,792,5264,794xe">
            <v:path arrowok="t"/>
            <v:fill on="t" focussize="0,0"/>
            <v:stroke on="f"/>
            <v:imagedata o:title=""/>
            <o:lock v:ext="edit"/>
          </v:shape>
          <v:shape id="_x0000_s2075" o:spid="_x0000_s2075" style="position:absolute;left:0;top:792;height:2;width:5143;" fillcolor="#AC002C" filled="t" stroked="f" coordorigin="0,792" coordsize="5143,2" path="m5142,794l0,794,0,792,5143,792,5142,794xe">
            <v:path arrowok="t"/>
            <v:fill on="t" focussize="0,0"/>
            <v:stroke on="f"/>
            <v:imagedata o:title=""/>
            <o:lock v:ext="edit"/>
          </v:shape>
          <v:shape id="_x0000_s2076" o:spid="_x0000_s2076" style="position:absolute;left:0;top:773;height:41;width:5162;" fillcolor="#AE761F" filled="t" stroked="f" coordorigin="0,773" coordsize="5162,41" path="m3,794l0,791,0,773,5142,773,5146,774,5142,774,5123,793,3,793,3,794xm5150,813l5142,813,5123,794,5142,774,5148,774,5150,775,5156,779,5159,782,5161,786,5162,789,5162,798,5161,802,5159,805,5153,811,5150,813xm0,796l0,791,3,794,0,796xm5146,814l0,814,0,796,3,794,3,793,5122,793,5122,794,5123,794,5142,813,5148,813,5146,814xm5123,794l5122,794,5122,793,5123,794xm5123,794l5122,793,5123,793,5123,794xe">
            <v:path arrowok="t"/>
            <v:fill on="t" focussize="0,0"/>
            <v:stroke on="f"/>
            <v:imagedata o:title=""/>
            <o:lock v:ext="edit"/>
          </v:shape>
        </v:group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61" o:spid="_x0000_s2061" o:spt="203" style="position:absolute;left:0pt;margin-left:0pt;margin-top:22.4pt;height:2.05pt;width:241.7pt;mso-position-horizontal-relative:page;mso-position-vertical-relative:page;z-index:-251654144;mso-width-relative:page;mso-height-relative:page;" coordorigin="0,448" coordsize="4834,41">
          <o:lock v:ext="edit"/>
          <v:shape id="_x0000_s2062" o:spid="_x0000_s2062" style="position:absolute;left:0;top:468;height:2;width:4834;" fillcolor="#D9D9D9" filled="t" stroked="f" coordorigin="0,468" coordsize="4834,0" path="m4834,468l0,468,4834,468xe">
            <v:path arrowok="t"/>
            <v:fill on="t" focussize="0,0"/>
            <v:stroke on="f"/>
            <v:imagedata o:title=""/>
            <o:lock v:ext="edit"/>
          </v:shape>
          <v:shape id="_x0000_s2063" o:spid="_x0000_s2063" style="position:absolute;left:0;top:468;height:2;width:4722;" fillcolor="#AC002C" filled="t" stroked="f" coordorigin="0,468" coordsize="4722,0" path="m4722,468l0,468,4722,468xe">
            <v:path arrowok="t"/>
            <v:fill on="t" focussize="0,0"/>
            <v:stroke on="f"/>
            <v:imagedata o:title=""/>
            <o:lock v:ext="edit"/>
          </v:shape>
          <v:shape id="_x0000_s2064" o:spid="_x0000_s2064" style="position:absolute;left:0;top:448;height:41;width:4742;" fillcolor="#AE761F" filled="t" stroked="f" coordorigin="0,448" coordsize="4742,41" path="m4,469l0,464,0,448,4726,448,4728,449,4722,449,4703,468,5,468,4,469xm4728,488l4722,488,4703,469,4702,469,4722,449,4728,449,4729,450,4733,451,4736,454,4740,460,4742,468,4742,469,4740,477,4736,483,4733,486,4729,487,4728,488xm0,473l0,464,4,469,0,473xm4726,489l0,489,0,473,5,468,5,469,4702,469,4722,488,4728,488,4726,489xm4702,469l5,469,5,468,4702,468,4702,469xm4702,469l4702,468,4703,468,4702,469xe">
            <v:path arrowok="t"/>
            <v:fill on="t" focussize="0,0"/>
            <v:stroke on="f"/>
            <v:imagedata o:title=""/>
            <o:lock v:ext="edit"/>
          </v:shape>
        </v:group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group id="_x0000_s2065" o:spid="_x0000_s2065" o:spt="203" style="position:absolute;left:0pt;margin-left:0pt;margin-top:29.25pt;height:45pt;width:235pt;mso-position-horizontal-relative:page;mso-position-vertical-relative:page;z-index:-251654144;mso-width-relative:page;mso-height-relative:page;" coordorigin="0,586" coordsize="4700,900">
          <o:lock v:ext="edit"/>
          <v:shape id="_x0000_s2066" o:spid="_x0000_s2066" style="position:absolute;left:0;top:585;height:740;width:4700;" fillcolor="#B8B8B8" filled="t" stroked="f" coordorigin="0,586" coordsize="4700,740" path="m4699,586l0,586,0,758,0,1325,4699,1325,4699,758,4699,586xe">
            <v:path arrowok="t"/>
            <v:fill on="t" focussize="0,0"/>
            <v:stroke on="f"/>
            <v:imagedata o:title=""/>
            <o:lock v:ext="edit"/>
          </v:shape>
          <v:rect id="_x0000_s2067" o:spid="_x0000_s2067" o:spt="1" style="position:absolute;left:0;top:758;height:706;width:4560;" fillcolor="#AC002C" filled="t" stroked="f" coordsize="21600,21600">
            <v:path/>
            <v:fill on="t" focussize="0,0"/>
            <v:stroke on="f"/>
            <v:imagedata o:title=""/>
            <o:lock v:ext="edit"/>
          </v:rect>
          <v:shape id="_x0000_s2068" o:spid="_x0000_s2068" style="position:absolute;left:0;top:738;height:747;width:4580;" fillcolor="#254263" filled="t" stroked="f" coordorigin="0,739" coordsize="4580,747" path="m4540,779l0,779,0,739,4560,739,4563,739,4567,740,4571,742,4574,745,4576,748,4578,751,4579,755,4580,759,4540,759,4540,779xm4540,1465l4540,759,4560,779,4580,779,4580,1445,4560,1445,4540,1465xm4580,779l4560,779,4540,759,4580,759,4580,779xm4560,1485l0,1485,0,1445,4540,1445,4540,1465,4580,1465,4579,1469,4578,1473,4576,1476,4574,1479,4571,1482,4567,1483,4563,1485,4560,1485xm4580,1465l4540,1465,4560,1445,4580,1445,4580,1465xe">
            <v:path arrowok="t"/>
            <v:fill on="t" focussize="0,0"/>
            <v:stroke on="f"/>
            <v:imagedata o:title=""/>
            <o:lock v:ext="edit"/>
          </v:shape>
        </v:group>
      </w:pict>
    </w:r>
    <w:r>
      <w:pict>
        <v:shape id="_x0000_s2069" o:spid="_x0000_s2069" o:spt="202" type="#_x0000_t202" style="position:absolute;left:0pt;margin-left:5.55pt;margin-top:44pt;height:18pt;width:210.5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9" w:lineRule="exact"/>
                  <w:ind w:left="20" w:right="0" w:firstLine="0"/>
                  <w:jc w:val="left"/>
                  <w:rPr>
                    <w:rFonts w:hint="eastAsia" w:ascii="楷体" w:hAnsi="楷体" w:eastAsia="楷体"/>
                    <w:b/>
                    <w:sz w:val="32"/>
                  </w:rPr>
                </w:pPr>
                <w:r>
                  <w:rPr>
                    <w:rFonts w:hint="eastAsia" w:ascii="楷体" w:hAnsi="楷体" w:eastAsia="楷体"/>
                    <w:b/>
                    <w:color w:val="FCEEBD"/>
                    <w:sz w:val="32"/>
                  </w:rPr>
                  <w:t>部门决算</w:t>
                </w:r>
                <w:r>
                  <w:rPr>
                    <w:rFonts w:hint="eastAsia" w:ascii="Gulim" w:hAnsi="Gulim" w:eastAsia="Gulim"/>
                    <w:b/>
                    <w:color w:val="FCEEBD"/>
                    <w:sz w:val="32"/>
                  </w:rPr>
                  <w:t>☞</w:t>
                </w:r>
                <w:r>
                  <w:rPr>
                    <w:rFonts w:hint="eastAsia" w:ascii="楷体" w:hAnsi="楷体" w:eastAsia="楷体"/>
                    <w:b/>
                    <w:color w:val="FCEEBD"/>
                    <w:sz w:val="32"/>
                  </w:rPr>
                  <w:t>部门决算情况说明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FD1BE"/>
    <w:multiLevelType w:val="singleLevel"/>
    <w:tmpl w:val="980FD1BE"/>
    <w:lvl w:ilvl="0" w:tentative="0">
      <w:start w:val="3"/>
      <w:numFmt w:val="chineseCounting"/>
      <w:suff w:val="nothing"/>
      <w:lvlText w:val="（%1）"/>
      <w:lvlJc w:val="left"/>
      <w:pPr>
        <w:ind w:left="125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0F3809"/>
    <w:rsid w:val="09975C75"/>
    <w:rsid w:val="0AFE70F1"/>
    <w:rsid w:val="16BF6F23"/>
    <w:rsid w:val="18214B2B"/>
    <w:rsid w:val="20AF38B8"/>
    <w:rsid w:val="2F692AD6"/>
    <w:rsid w:val="3F6E6944"/>
    <w:rsid w:val="44745AA7"/>
    <w:rsid w:val="48BA77A7"/>
    <w:rsid w:val="52F67DA6"/>
    <w:rsid w:val="60681EE5"/>
    <w:rsid w:val="6D6E06E7"/>
    <w:rsid w:val="72995195"/>
    <w:rsid w:val="7896028A"/>
    <w:rsid w:val="7A7A0FB0"/>
    <w:rsid w:val="7D051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5"/>
      <w:ind w:left="134"/>
      <w:jc w:val="center"/>
      <w:outlineLvl w:val="1"/>
    </w:pPr>
    <w:rPr>
      <w:rFonts w:ascii="黑体" w:hAnsi="黑体" w:eastAsia="黑体" w:cs="黑体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967"/>
      <w:outlineLvl w:val="2"/>
    </w:pPr>
    <w:rPr>
      <w:rFonts w:ascii="楷体" w:hAnsi="楷体" w:eastAsia="楷体" w:cs="楷体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49"/>
    <customShpInfo spid="_x0000_s2062"/>
    <customShpInfo spid="_x0000_s2063"/>
    <customShpInfo spid="_x0000_s2064"/>
    <customShpInfo spid="_x0000_s2061"/>
    <customShpInfo spid="_x0000_s2066"/>
    <customShpInfo spid="_x0000_s2067"/>
    <customShpInfo spid="_x0000_s2068"/>
    <customShpInfo spid="_x0000_s2065"/>
    <customShpInfo spid="_x0000_s2069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2021-05-22T02:04:00Z</dcterms:created>
  <dc:creator>User</dc:creator>
  <cp:lastModifiedBy>Administrator</cp:lastModifiedBy>
  <dcterms:modified xsi:type="dcterms:W3CDTF">2021-05-30T02:05:36Z</dcterms:modified>
  <dc:subject>石家庄市xxx部门</dc:subject>
  <dc:title>2017年度部门决算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2021-05-22T00:00:00Z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8485E7BFAC0F46D8B5AB6DDCAFFD7107</vt:lpwstr>
  </property>
</Properties>
</file>