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72"/>
          <w:szCs w:val="72"/>
        </w:rPr>
      </w:pPr>
      <w:r>
        <w:pict>
          <v:shape id="文本框 10" o:spid="_x0000_s1030" o:spt="202" type="#_x0000_t202" style="position:absolute;left:0pt;margin-left:29.7pt;margin-top:510.95pt;height:178.95pt;width:404.15pt;z-index:251662336;mso-width-relative:page;mso-height-relative:page;" filled="f" stroked="f" coordsize="21600,21600">
            <v:path/>
            <v:fill on="f" focussize="0,0"/>
            <v:stroke on="f"/>
            <v:imagedata o:title=""/>
            <o:lock v:ext="edit" aspectratio="f"/>
            <v:textbox>
              <w:txbxContent>
                <w:p>
                  <w:pPr>
                    <w:jc w:val="center"/>
                    <w:rPr>
                      <w:rFonts w:ascii="楷体_GB2312" w:hAnsi="楷体_GB2312" w:eastAsia="楷体_GB2312" w:cs="楷体_GB2312"/>
                      <w:color w:val="000000" w:themeColor="text1"/>
                      <w:kern w:val="0"/>
                      <w:sz w:val="44"/>
                      <w:szCs w:val="44"/>
                    </w:rPr>
                  </w:pPr>
                  <w:r>
                    <w:rPr>
                      <w:rFonts w:hint="eastAsia" w:ascii="楷体_GB2312" w:hAnsi="楷体_GB2312" w:eastAsia="楷体_GB2312" w:cs="楷体_GB2312"/>
                      <w:color w:val="000000" w:themeColor="text1"/>
                      <w:kern w:val="0"/>
                      <w:sz w:val="44"/>
                      <w:szCs w:val="44"/>
                    </w:rPr>
                    <w:t>二〇二〇年七月</w:t>
                  </w:r>
                </w:p>
              </w:txbxContent>
            </v:textbox>
          </v:shape>
        </w:pict>
      </w:r>
      <w:r>
        <w:pict>
          <v:rect id="_x0000_s1027" o:spid="_x0000_s1027" o:spt="1" style="position:absolute;left:0pt;margin-left:-83.85pt;margin-top:-176.95pt;height:841.15pt;width:595.1pt;mso-wrap-distance-left:9pt;mso-wrap-distance-right:9pt;z-index:-251655168;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hrough"/>
          </v:rect>
        </w:pict>
      </w:r>
      <w:r>
        <w:pict>
          <v:rect id="矩形 14" o:spid="_x0000_s1029" o:spt="1" style="position:absolute;left:0pt;margin-left:27.75pt;margin-top:234.7pt;height:114pt;width:439.45pt;z-index:251662336;mso-width-relative:page;mso-height-relative:page;" fillcolor="#FFC000" filled="t" stroked="f" coordsize="21600,21600">
            <v:path/>
            <v:fill on="t" color2="#FFFFFF" focussize="0,0"/>
            <v:stroke on="f"/>
            <v:imagedata o:title=""/>
            <o:lock v:ext="edit" aspectratio="f"/>
            <v:textbox>
              <w:txbxContent>
                <w:p>
                  <w:pPr>
                    <w:ind w:left="3150" w:hanging="3150" w:hangingChars="500"/>
                    <w:rPr>
                      <w:rFonts w:hint="eastAsia"/>
                      <w:sz w:val="72"/>
                      <w:szCs w:val="72"/>
                      <w:lang w:eastAsia="zh-CN"/>
                    </w:rPr>
                  </w:pPr>
                  <w:r>
                    <w:rPr>
                      <w:rFonts w:hint="eastAsia" w:eastAsiaTheme="minorEastAsia"/>
                      <w:spacing w:val="-45"/>
                      <w:sz w:val="72"/>
                      <w:szCs w:val="72"/>
                      <w:lang w:val="en-US" w:eastAsia="zh-CN"/>
                    </w:rPr>
                    <w:t>中共馆陶县委办公室部门决</w:t>
                  </w:r>
                  <w:r>
                    <w:rPr>
                      <w:rFonts w:hint="eastAsia"/>
                      <w:sz w:val="72"/>
                      <w:szCs w:val="72"/>
                      <w:lang w:val="en-US" w:eastAsia="zh-CN"/>
                    </w:rPr>
                    <w:t>算公 开</w:t>
                  </w:r>
                </w:p>
              </w:txbxContent>
            </v:textbox>
          </v:rect>
        </w:pict>
      </w:r>
      <w:r>
        <w:pict>
          <v:shape id="椭圆 8" o:spid="_x0000_s1028" o:spt="3" type="#_x0000_t3" style="position:absolute;left:0pt;margin-left:-4.9pt;margin-top:100.4pt;height:121.95pt;width:121.95pt;z-index:251660288;v-text-anchor:middle;mso-width-relative:page;mso-height-relative:page;" fillcolor="#2F5597" filled="t" stroked="f" coordsize="21600,21600">
            <v:path/>
            <v:fill on="t" color2="#FFFFFF" focussize="0,0"/>
            <v:stroke on="f" weight="1pt"/>
            <v:imagedata o:title=""/>
            <o:lock v:ext="edit" aspectratio="f"/>
            <v:textbox>
              <w:txbxContent>
                <w:p>
                  <w:pPr>
                    <w:jc w:val="center"/>
                    <w:rPr>
                      <w:rFonts w:hint="eastAsia" w:eastAsiaTheme="minorEastAsia"/>
                      <w:color w:val="FFFFFF" w:themeColor="background1"/>
                      <w:sz w:val="72"/>
                      <w:szCs w:val="72"/>
                      <w:lang w:val="en-US" w:eastAsia="zh-CN"/>
                    </w:rPr>
                  </w:pPr>
                  <w:r>
                    <w:rPr>
                      <w:rFonts w:hint="eastAsia"/>
                      <w:color w:val="FFFFFF" w:themeColor="background1"/>
                      <w:sz w:val="72"/>
                      <w:szCs w:val="72"/>
                      <w:lang w:val="en-US" w:eastAsia="zh-CN"/>
                    </w:rPr>
                    <w:t>2019</w:t>
                  </w:r>
                </w:p>
                <w:p>
                  <w:pPr>
                    <w:jc w:val="center"/>
                  </w:pPr>
                </w:p>
              </w:txbxContent>
            </v:textbox>
          </v:shape>
        </w:pict>
      </w:r>
    </w:p>
    <w:p>
      <w:pPr>
        <w:jc w:val="center"/>
        <w:rPr>
          <w:rFonts w:hint="eastAsia" w:ascii="黑体" w:hAnsi="黑体" w:eastAsia="黑体"/>
          <w:b/>
          <w:sz w:val="72"/>
          <w:szCs w:val="72"/>
        </w:rPr>
      </w:pPr>
    </w:p>
    <w:p>
      <w:pPr>
        <w:jc w:val="center"/>
        <w:rPr>
          <w:rFonts w:hint="eastAsia" w:ascii="黑体" w:hAnsi="黑体" w:eastAsia="黑体"/>
          <w:b/>
          <w:sz w:val="72"/>
          <w:szCs w:val="72"/>
          <w:lang w:eastAsia="zh-CN"/>
        </w:rPr>
      </w:pPr>
      <w:r>
        <w:rPr>
          <w:rFonts w:hint="eastAsia" w:ascii="黑体" w:hAnsi="黑体" w:eastAsia="黑体"/>
          <w:b/>
          <w:sz w:val="72"/>
          <w:szCs w:val="72"/>
        </w:rPr>
        <w:t>201</w:t>
      </w:r>
      <w:r>
        <w:rPr>
          <w:rFonts w:ascii="黑体" w:hAnsi="黑体" w:eastAsia="黑体"/>
          <w:b/>
          <w:sz w:val="72"/>
          <w:szCs w:val="72"/>
        </w:rPr>
        <w:t>9</w:t>
      </w:r>
      <w:r>
        <w:rPr>
          <w:rFonts w:hint="eastAsia" w:ascii="黑体" w:hAnsi="黑体" w:eastAsia="黑体"/>
          <w:b/>
          <w:sz w:val="72"/>
          <w:szCs w:val="72"/>
        </w:rPr>
        <w:t>年度部门决算</w:t>
      </w:r>
      <w:r>
        <w:rPr>
          <w:rFonts w:hint="eastAsia" w:ascii="黑体" w:hAnsi="黑体" w:eastAsia="黑体"/>
          <w:b/>
          <w:sz w:val="72"/>
          <w:szCs w:val="72"/>
          <w:lang w:eastAsia="zh-CN"/>
        </w:rPr>
        <w:t>文本</w:t>
      </w: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44"/>
          <w:szCs w:val="44"/>
        </w:rPr>
      </w:pPr>
      <w:r>
        <w:rPr>
          <w:rFonts w:hint="eastAsia" w:ascii="黑体" w:hAnsi="黑体" w:eastAsia="黑体"/>
          <w:sz w:val="44"/>
          <w:szCs w:val="44"/>
        </w:rPr>
        <w:t>馆陶县委办公室编制</w:t>
      </w:r>
    </w:p>
    <w:p>
      <w:pPr>
        <w:snapToGrid w:val="0"/>
        <w:jc w:val="center"/>
        <w:rPr>
          <w:rFonts w:ascii="楷体_GB2312" w:hAnsi="楷体_GB2312" w:eastAsia="楷体_GB2312" w:cs="楷体_GB2312"/>
          <w:color w:val="000000" w:themeColor="text1"/>
          <w:kern w:val="0"/>
          <w:sz w:val="44"/>
          <w:szCs w:val="44"/>
        </w:rPr>
        <w:sectPr>
          <w:headerReference r:id="rId4" w:type="first"/>
          <w:footerReference r:id="rId5" w:type="first"/>
          <w:headerReference r:id="rId3" w:type="default"/>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rPr>
        <w:t>二〇二〇年七月</w:t>
      </w:r>
    </w:p>
    <w:p>
      <w:pPr>
        <w:widowControl/>
        <w:ind w:firstLine="880"/>
        <w:jc w:val="center"/>
      </w:pPr>
      <w:bookmarkStart w:id="0" w:name="_Toc427676911"/>
      <w:r>
        <w:rPr>
          <w:rFonts w:ascii="方正小标宋_GBK" w:hAnsi="方正小标宋_GBK" w:eastAsia="方正小标宋_GBK" w:cs="方正小标宋_GBK"/>
          <w:b/>
          <w:color w:val="000000"/>
          <w:kern w:val="0"/>
          <w:sz w:val="32"/>
          <w:szCs w:val="32"/>
        </w:rPr>
        <w:t>部门决算公开目录</w:t>
      </w:r>
      <w:r>
        <w:rPr>
          <w:rFonts w:hint="eastAsia" w:ascii="宋体" w:hAnsi="宋体" w:eastAsia="宋体" w:cs="宋体"/>
          <w:b/>
          <w:color w:val="000000"/>
          <w:kern w:val="0"/>
          <w:sz w:val="32"/>
          <w:szCs w:val="32"/>
        </w:rPr>
        <w:t> </w:t>
      </w:r>
    </w:p>
    <w:p>
      <w:pPr>
        <w:widowControl/>
        <w:ind w:firstLine="640"/>
        <w:jc w:val="left"/>
        <w:rPr>
          <w:rFonts w:ascii="黑体" w:hAnsi="黑体" w:eastAsia="黑体"/>
        </w:rPr>
      </w:pPr>
      <w:r>
        <w:rPr>
          <w:rFonts w:ascii="黑体" w:hAnsi="黑体" w:eastAsia="黑体" w:cs="黑体"/>
          <w:color w:val="000000"/>
          <w:kern w:val="0"/>
          <w:sz w:val="32"/>
          <w:szCs w:val="32"/>
        </w:rPr>
        <w:t>第一部分</w:t>
      </w:r>
      <w:r>
        <w:rPr>
          <w:rFonts w:hint="eastAsia" w:ascii="黑体" w:hAnsi="微软雅黑" w:eastAsia="黑体" w:cs="黑体"/>
          <w:color w:val="000000"/>
          <w:kern w:val="0"/>
          <w:sz w:val="32"/>
          <w:szCs w:val="32"/>
        </w:rPr>
        <w:t>   </w:t>
      </w:r>
      <w:r>
        <w:rPr>
          <w:rFonts w:hint="eastAsia" w:ascii="黑体" w:hAnsi="黑体" w:eastAsia="黑体" w:cs="黑体"/>
          <w:color w:val="000000"/>
          <w:kern w:val="0"/>
          <w:sz w:val="32"/>
          <w:szCs w:val="32"/>
        </w:rPr>
        <w:t>馆陶县委办公室概况</w:t>
      </w:r>
    </w:p>
    <w:p>
      <w:pPr>
        <w:widowControl/>
        <w:jc w:val="left"/>
        <w:rPr>
          <w:rFonts w:ascii="仿宋" w:hAnsi="仿宋" w:eastAsia="仿宋"/>
        </w:rPr>
      </w:pPr>
      <w:r>
        <w:rPr>
          <w:rFonts w:ascii="仿宋" w:hAnsi="仿宋" w:eastAsia="仿宋" w:cs="仿宋_GB2312"/>
          <w:color w:val="000000"/>
          <w:kern w:val="0"/>
          <w:sz w:val="32"/>
          <w:szCs w:val="32"/>
        </w:rPr>
        <w:t>一、部门职责</w:t>
      </w:r>
    </w:p>
    <w:p>
      <w:pPr>
        <w:widowControl/>
        <w:jc w:val="left"/>
        <w:rPr>
          <w:rFonts w:ascii="仿宋" w:hAnsi="仿宋" w:eastAsia="仿宋"/>
        </w:rPr>
      </w:pPr>
      <w:r>
        <w:rPr>
          <w:rFonts w:hint="eastAsia" w:ascii="仿宋" w:hAnsi="仿宋" w:eastAsia="仿宋" w:cs="仿宋_GB2312"/>
          <w:color w:val="000000"/>
          <w:kern w:val="0"/>
          <w:sz w:val="32"/>
          <w:szCs w:val="32"/>
        </w:rPr>
        <w:t>二、部门决算单位构成</w:t>
      </w:r>
    </w:p>
    <w:p>
      <w:pPr>
        <w:widowControl/>
        <w:ind w:firstLine="640"/>
        <w:jc w:val="left"/>
        <w:rPr>
          <w:rFonts w:ascii="黑体" w:hAnsi="黑体" w:eastAsia="黑体"/>
        </w:rPr>
      </w:pPr>
      <w:r>
        <w:rPr>
          <w:rFonts w:hint="eastAsia" w:ascii="黑体" w:hAnsi="黑体" w:eastAsia="黑体" w:cs="黑体"/>
          <w:color w:val="000000"/>
          <w:kern w:val="0"/>
          <w:sz w:val="32"/>
          <w:szCs w:val="32"/>
        </w:rPr>
        <w:t>第二部分</w:t>
      </w:r>
      <w:r>
        <w:rPr>
          <w:rFonts w:hint="eastAsia" w:ascii="黑体" w:hAnsi="微软雅黑" w:eastAsia="黑体" w:cs="黑体"/>
          <w:color w:val="000000"/>
          <w:kern w:val="0"/>
          <w:sz w:val="32"/>
          <w:szCs w:val="32"/>
        </w:rPr>
        <w:t>   </w:t>
      </w:r>
      <w:r>
        <w:rPr>
          <w:rFonts w:hint="eastAsia" w:ascii="黑体" w:hAnsi="黑体" w:eastAsia="黑体" w:cs="黑体"/>
          <w:color w:val="000000"/>
          <w:kern w:val="0"/>
          <w:sz w:val="32"/>
          <w:szCs w:val="32"/>
        </w:rPr>
        <w:t>馆陶县委办公室201</w:t>
      </w:r>
      <w:r>
        <w:rPr>
          <w:rFonts w:ascii="黑体" w:hAnsi="黑体" w:eastAsia="黑体" w:cs="黑体"/>
          <w:color w:val="000000"/>
          <w:kern w:val="0"/>
          <w:sz w:val="32"/>
          <w:szCs w:val="32"/>
        </w:rPr>
        <w:t>9</w:t>
      </w:r>
      <w:r>
        <w:rPr>
          <w:rFonts w:hint="eastAsia" w:ascii="黑体" w:hAnsi="黑体" w:eastAsia="黑体" w:cs="黑体"/>
          <w:color w:val="000000"/>
          <w:kern w:val="0"/>
          <w:sz w:val="32"/>
          <w:szCs w:val="32"/>
        </w:rPr>
        <w:t>年度部门决算报表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一、收入支出决算总表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二、收入决算表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三、支出决算表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四、财政拨款收入支出决算总表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五、一般公共预算财政拨款收入支出决算表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六、一般公共预算财政拨款基本支出决算表</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七、一般公共预算财政拨款“三公经费”支出决算表</w:t>
      </w:r>
    </w:p>
    <w:p>
      <w:pPr>
        <w:widowControl/>
        <w:ind w:firstLine="640"/>
        <w:jc w:val="left"/>
        <w:rPr>
          <w:rFonts w:ascii="黑体" w:hAnsi="黑体" w:eastAsia="黑体"/>
        </w:rPr>
      </w:pPr>
      <w:r>
        <w:rPr>
          <w:rFonts w:hint="eastAsia" w:ascii="黑体" w:hAnsi="黑体" w:eastAsia="黑体" w:cs="黑体"/>
          <w:color w:val="000000"/>
          <w:kern w:val="0"/>
          <w:sz w:val="32"/>
          <w:szCs w:val="32"/>
        </w:rPr>
        <w:t>第三部分</w:t>
      </w:r>
      <w:r>
        <w:rPr>
          <w:rFonts w:hint="eastAsia" w:ascii="黑体" w:hAnsi="微软雅黑" w:eastAsia="黑体" w:cs="黑体"/>
          <w:color w:val="000000"/>
          <w:kern w:val="0"/>
          <w:sz w:val="32"/>
          <w:szCs w:val="32"/>
        </w:rPr>
        <w:t>   </w:t>
      </w:r>
      <w:r>
        <w:rPr>
          <w:rFonts w:hint="eastAsia" w:ascii="黑体" w:hAnsi="黑体" w:eastAsia="黑体" w:cs="黑体"/>
          <w:color w:val="000000"/>
          <w:kern w:val="0"/>
          <w:sz w:val="32"/>
          <w:szCs w:val="32"/>
        </w:rPr>
        <w:t>馆陶县委办公室201</w:t>
      </w:r>
      <w:r>
        <w:rPr>
          <w:rFonts w:ascii="黑体" w:hAnsi="黑体" w:eastAsia="黑体" w:cs="黑体"/>
          <w:color w:val="000000"/>
          <w:kern w:val="0"/>
          <w:sz w:val="32"/>
          <w:szCs w:val="32"/>
        </w:rPr>
        <w:t>9</w:t>
      </w:r>
      <w:r>
        <w:rPr>
          <w:rFonts w:hint="eastAsia" w:ascii="黑体" w:hAnsi="黑体" w:eastAsia="黑体" w:cs="黑体"/>
          <w:color w:val="000000"/>
          <w:kern w:val="0"/>
          <w:sz w:val="32"/>
          <w:szCs w:val="32"/>
        </w:rPr>
        <w:t>年部门决算情况说明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一、收入支出决算总体情况说明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二、收入决算情况说明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三、支出决算情况说明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四、财政拨款收入支出决算总体情况说明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五、一般公共预算财政拨款“三公”经费支出决算情况说明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六、机关运行经费的支出情况的说明</w:t>
      </w:r>
    </w:p>
    <w:p>
      <w:pPr>
        <w:widowControl/>
        <w:ind w:firstLine="640"/>
        <w:jc w:val="left"/>
        <w:rPr>
          <w:rFonts w:ascii="仿宋" w:hAnsi="仿宋" w:eastAsia="仿宋"/>
        </w:rPr>
      </w:pPr>
      <w:r>
        <w:rPr>
          <w:rFonts w:hint="eastAsia" w:ascii="仿宋" w:hAnsi="仿宋" w:eastAsia="仿宋" w:cs="仿宋_GB2312"/>
          <w:color w:val="000000"/>
          <w:kern w:val="0"/>
          <w:sz w:val="32"/>
          <w:szCs w:val="32"/>
        </w:rPr>
        <w:t>七、政府采购情况的说明</w:t>
      </w:r>
    </w:p>
    <w:p>
      <w:pPr>
        <w:widowControl/>
        <w:ind w:firstLine="640"/>
        <w:jc w:val="left"/>
        <w:rPr>
          <w:rFonts w:ascii="黑体" w:hAnsi="黑体" w:eastAsia="黑体"/>
        </w:rPr>
      </w:pPr>
      <w:r>
        <w:rPr>
          <w:rFonts w:hint="eastAsia" w:ascii="黑体" w:hAnsi="黑体" w:eastAsia="黑体" w:cs="黑体"/>
          <w:color w:val="000000"/>
          <w:kern w:val="0"/>
          <w:sz w:val="32"/>
          <w:szCs w:val="32"/>
        </w:rPr>
        <w:t>第四部分</w:t>
      </w:r>
      <w:r>
        <w:rPr>
          <w:rFonts w:hint="eastAsia" w:ascii="黑体" w:hAnsi="微软雅黑" w:eastAsia="黑体" w:cs="黑体"/>
          <w:color w:val="000000"/>
          <w:kern w:val="0"/>
          <w:sz w:val="32"/>
          <w:szCs w:val="32"/>
        </w:rPr>
        <w:t>  </w:t>
      </w:r>
      <w:r>
        <w:rPr>
          <w:rFonts w:hint="eastAsia" w:ascii="黑体" w:hAnsi="黑体" w:eastAsia="黑体" w:cs="黑体"/>
          <w:color w:val="000000"/>
          <w:kern w:val="0"/>
          <w:sz w:val="32"/>
          <w:szCs w:val="32"/>
        </w:rPr>
        <w:t>名词解释</w:t>
      </w:r>
    </w:p>
    <w:p>
      <w:pPr>
        <w:widowControl/>
        <w:jc w:val="left"/>
        <w:rPr>
          <w:rFonts w:ascii="仿宋" w:hAnsi="仿宋" w:eastAsia="仿宋"/>
        </w:rPr>
      </w:pPr>
    </w:p>
    <w:p>
      <w:pPr>
        <w:widowControl/>
        <w:ind w:firstLine="630"/>
        <w:jc w:val="left"/>
        <w:rPr>
          <w:rFonts w:ascii="宋体" w:hAnsi="宋体" w:eastAsia="宋体" w:cs="宋体"/>
          <w:b/>
          <w:color w:val="1F1F1F"/>
          <w:kern w:val="0"/>
          <w:sz w:val="32"/>
          <w:szCs w:val="32"/>
        </w:rPr>
      </w:pPr>
    </w:p>
    <w:p>
      <w:pPr>
        <w:widowControl/>
        <w:ind w:firstLine="1285" w:firstLineChars="400"/>
        <w:jc w:val="left"/>
      </w:pPr>
      <w:r>
        <w:rPr>
          <w:rFonts w:hint="eastAsia" w:ascii="宋体" w:hAnsi="宋体" w:eastAsia="宋体" w:cs="宋体"/>
          <w:b/>
          <w:color w:val="1F1F1F"/>
          <w:kern w:val="0"/>
          <w:sz w:val="32"/>
          <w:szCs w:val="32"/>
        </w:rPr>
        <w:t>第一部分  馆陶县委办公室部门概况</w:t>
      </w:r>
      <w:bookmarkEnd w:id="0"/>
    </w:p>
    <w:p>
      <w:pPr>
        <w:widowControl/>
        <w:ind w:firstLine="627"/>
        <w:jc w:val="left"/>
      </w:pPr>
      <w:r>
        <w:rPr>
          <w:rFonts w:hint="eastAsia" w:ascii="黑体" w:hAnsi="微软雅黑" w:eastAsia="黑体" w:cs="黑体"/>
          <w:b/>
          <w:color w:val="000000"/>
          <w:kern w:val="0"/>
          <w:sz w:val="32"/>
          <w:szCs w:val="32"/>
        </w:rPr>
        <w:t>一、主要职责</w:t>
      </w:r>
    </w:p>
    <w:p>
      <w:pPr>
        <w:rPr>
          <w:rFonts w:ascii="仿宋" w:hAnsi="仿宋" w:eastAsia="仿宋" w:cs="仿宋_GB2312"/>
          <w:bCs/>
          <w:color w:val="000000"/>
          <w:kern w:val="0"/>
          <w:sz w:val="32"/>
          <w:szCs w:val="32"/>
        </w:rPr>
      </w:pPr>
      <w:r>
        <w:rPr>
          <w:rFonts w:hint="eastAsia" w:ascii="仿宋" w:hAnsi="仿宋" w:eastAsia="仿宋" w:cs="仿宋_GB2312"/>
          <w:color w:val="000000"/>
          <w:kern w:val="0"/>
          <w:sz w:val="32"/>
          <w:szCs w:val="32"/>
        </w:rPr>
        <w:t>根据中共馆陶县委办公室关于印发《中共馆陶县委办公室职能配置、内设机构和人员编制规定》的通知，县委办公室的主要职责是：</w:t>
      </w:r>
      <w:r>
        <w:rPr>
          <w:rFonts w:hint="eastAsia" w:ascii="仿宋" w:hAnsi="仿宋" w:eastAsia="仿宋" w:cs="仿宋_GB2312"/>
          <w:bCs/>
          <w:color w:val="000000"/>
          <w:kern w:val="0"/>
          <w:sz w:val="32"/>
          <w:szCs w:val="32"/>
        </w:rPr>
        <w:t>1、承担县委、县委领导同志报告、讲话、汇报材料等重要文稿的起草和修改工作；负责县委文件和县委办公室代县委行文的审核制发工作，为县委搞好政务服务。2、围绕中央和省市县委总体工作部署、开展综合调研、收集和处理信息、反映动态，为县委决策提供依据、当好参谋。3、承担中央和省市县委重要工作部署和重大决策贯彻落实的督促检查工作。4、负责县委日常文书处理和县委日常工作活动的组织安排。5、根据县委领导的指示，协调乡镇之间、县直部门之间的关系和工作。6、负责县委机要、保密方面的工作。7、负责全县党委系统办公自动化的管理工作。8、负责全县矛盾纠纷排调和全县群众工作的调研谋划、综合协调和组织推动工作。9、负责县委办公室所属各单位干部人事、党务纪检方面的工作。10、</w:t>
      </w:r>
      <w:r>
        <w:rPr>
          <w:rFonts w:hint="eastAsia" w:ascii="仿宋_GB2312" w:eastAsia="仿宋_GB2312"/>
          <w:sz w:val="32"/>
          <w:szCs w:val="32"/>
        </w:rPr>
        <w:t>征集、整理中共馆陶历史资料撰写中共馆陶历史专著。11、</w:t>
      </w:r>
      <w:r>
        <w:rPr>
          <w:rFonts w:hint="eastAsia" w:ascii="仿宋" w:hAnsi="仿宋" w:eastAsia="仿宋"/>
          <w:sz w:val="32"/>
          <w:szCs w:val="32"/>
        </w:rPr>
        <w:t>掌握全县青少年思想状况，研究青少年运动、青少年工作理论和思想教育问题，提出相应对策，开展各种活动。12、</w:t>
      </w:r>
      <w:r>
        <w:rPr>
          <w:rFonts w:hint="eastAsia" w:ascii="仿宋" w:hAnsi="仿宋" w:eastAsia="仿宋" w:cs="仿宋_GB2312"/>
          <w:bCs/>
          <w:color w:val="000000"/>
          <w:kern w:val="0"/>
          <w:sz w:val="32"/>
          <w:szCs w:val="32"/>
        </w:rPr>
        <w:t>负责县委交办的其它工作任务。</w:t>
      </w:r>
    </w:p>
    <w:p>
      <w:pPr>
        <w:widowControl/>
        <w:ind w:firstLine="640"/>
        <w:jc w:val="left"/>
      </w:pPr>
    </w:p>
    <w:p>
      <w:pPr>
        <w:widowControl/>
        <w:ind w:firstLine="480"/>
        <w:jc w:val="left"/>
        <w:rPr>
          <w:rFonts w:ascii="黑体" w:hAnsi="微软雅黑" w:eastAsia="黑体" w:cs="黑体"/>
          <w:b/>
          <w:color w:val="000000"/>
          <w:kern w:val="0"/>
          <w:sz w:val="32"/>
          <w:szCs w:val="32"/>
        </w:rPr>
      </w:pPr>
      <w:bookmarkStart w:id="1" w:name="_Toc427676914"/>
      <w:r>
        <w:rPr>
          <w:rFonts w:hint="eastAsia" w:ascii="黑体" w:hAnsi="微软雅黑" w:eastAsia="黑体" w:cs="黑体"/>
          <w:b/>
          <w:color w:val="1F1F1F"/>
          <w:kern w:val="0"/>
          <w:sz w:val="32"/>
          <w:szCs w:val="32"/>
        </w:rPr>
        <w:t>二、部门</w:t>
      </w:r>
      <w:bookmarkEnd w:id="1"/>
      <w:r>
        <w:rPr>
          <w:rFonts w:hint="eastAsia" w:ascii="黑体" w:hAnsi="微软雅黑" w:eastAsia="黑体" w:cs="黑体"/>
          <w:b/>
          <w:color w:val="000000"/>
          <w:kern w:val="0"/>
          <w:sz w:val="32"/>
          <w:szCs w:val="32"/>
        </w:rPr>
        <w:t>决算单位构成</w:t>
      </w:r>
    </w:p>
    <w:p>
      <w:pPr>
        <w:widowControl/>
        <w:ind w:firstLine="480"/>
        <w:jc w:val="left"/>
      </w:pPr>
      <w:r>
        <w:rPr>
          <w:rFonts w:hint="eastAsia" w:ascii="仿宋_GB2312" w:hAnsi="宋体" w:eastAsia="仿宋_GB2312" w:cs="宋体"/>
          <w:bCs/>
          <w:sz w:val="32"/>
          <w:szCs w:val="32"/>
        </w:rPr>
        <w:t>201</w:t>
      </w:r>
      <w:r>
        <w:rPr>
          <w:rFonts w:ascii="仿宋_GB2312" w:hAnsi="宋体" w:eastAsia="仿宋_GB2312" w:cs="宋体"/>
          <w:bCs/>
          <w:sz w:val="32"/>
          <w:szCs w:val="32"/>
        </w:rPr>
        <w:t>9</w:t>
      </w:r>
      <w:r>
        <w:rPr>
          <w:rFonts w:hint="eastAsia" w:ascii="仿宋_GB2312" w:hAnsi="宋体" w:eastAsia="仿宋_GB2312" w:cs="宋体"/>
          <w:bCs/>
          <w:sz w:val="32"/>
          <w:szCs w:val="32"/>
        </w:rPr>
        <w:t>年馆陶县委办公室决算包括办公室本级、馆陶县国家密码管理局、馆陶县保密局、馆陶县委督查室、馆陶县防范办、党史研究室、共青团馆陶委员会。</w:t>
      </w: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Pr>
        <w:widowControl/>
        <w:jc w:val="center"/>
        <w:rPr>
          <w:rFonts w:hint="eastAsia" w:ascii="黑体" w:hAnsi="黑体" w:eastAsia="黑体" w:cs="黑体"/>
          <w:color w:val="000000" w:themeColor="text1"/>
          <w:sz w:val="90"/>
          <w:szCs w:val="90"/>
        </w:rPr>
      </w:pPr>
    </w:p>
    <w:p/>
    <w:p/>
    <w:p/>
    <w:p/>
    <w:p>
      <w:r>
        <w:rPr>
          <w:sz w:val="72"/>
        </w:rPr>
        <w:pict>
          <v:shape id="_x0000_s1032" o:spid="_x0000_s1032" o:spt="202" type="#_x0000_t202" style="position:absolute;left:0pt;margin-left:-101.4pt;margin-top:178.4pt;height:263.1pt;width:613.65pt;z-index:-25165312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v:path/>
            <v:fill type="pattern" on="t" color2="#FFFFFF" o:title="image1" focussize="0,0" r:id="rId8"/>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第二部分 </w:t>
                  </w:r>
                </w:p>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2019年部门决算情况说明</w:t>
                  </w:r>
                </w:p>
                <w:p/>
              </w:txbxContent>
            </v:textbox>
          </v:shape>
        </w:pict>
      </w:r>
    </w:p>
    <w:p/>
    <w:p/>
    <w:p/>
    <w:p/>
    <w:p/>
    <w:p/>
    <w:p/>
    <w:p/>
    <w:p/>
    <w:p/>
    <w:p/>
    <w:p/>
    <w:p/>
    <w:p/>
    <w:p/>
    <w:p/>
    <w:p/>
    <w:p/>
    <w:p/>
    <w:p/>
    <w:p/>
    <w:p/>
    <w:p/>
    <w:p/>
    <w:p/>
    <w:p/>
    <w:p/>
    <w:p/>
    <w:p/>
    <w:p/>
    <w:p/>
    <w:p/>
    <w:p/>
    <w:p/>
    <w:p/>
    <w:p/>
    <w:p/>
    <w:p/>
    <w:p/>
    <w:p/>
    <w:p/>
    <w:p/>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widowControl/>
        <w:ind w:firstLine="640" w:firstLineChars="200"/>
        <w:jc w:val="left"/>
        <w:rPr>
          <w:rFonts w:ascii="仿宋_GB2312" w:hAnsi="宋体" w:eastAsia="仿宋_GB2312" w:cs="宋体"/>
          <w:bCs/>
          <w:sz w:val="32"/>
          <w:szCs w:val="32"/>
        </w:rPr>
      </w:pPr>
      <w:r>
        <w:rPr>
          <w:rFonts w:hint="eastAsia" w:ascii="仿宋_GB2312" w:hAnsi="宋体" w:eastAsia="仿宋_GB2312" w:cs="宋体"/>
          <w:bCs/>
          <w:sz w:val="32"/>
          <w:szCs w:val="32"/>
        </w:rPr>
        <w:t>2019年度年初结转和结余122.92万元，本年收入734.63万元，本年支出827.41万元，年末结转和结余30.14万元。2019年支出较2018年增加243.87万元。主要是指红机电话二级网延伸工程、“两新一比”活动、铺设电子政务内网线路、省委应急调度指挥系统等专项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hAnsi="宋体" w:eastAsia="仿宋_GB2312" w:cs="宋体"/>
          <w:bCs/>
          <w:sz w:val="32"/>
          <w:szCs w:val="32"/>
        </w:rPr>
        <w:t>2019年收入</w:t>
      </w:r>
      <w:r>
        <w:rPr>
          <w:rFonts w:hint="eastAsia" w:ascii="仿宋_GB2312" w:hAnsi="宋体" w:eastAsia="仿宋_GB2312" w:cs="宋体"/>
          <w:bCs/>
          <w:sz w:val="32"/>
          <w:szCs w:val="32"/>
          <w:lang w:eastAsia="zh-CN"/>
        </w:rPr>
        <w:t>（含上年结转和结余）</w:t>
      </w:r>
      <w:r>
        <w:rPr>
          <w:rFonts w:hint="eastAsia" w:ascii="仿宋_GB2312" w:hAnsi="宋体" w:eastAsia="仿宋_GB2312" w:cs="宋体"/>
          <w:bCs/>
          <w:sz w:val="32"/>
          <w:szCs w:val="32"/>
          <w:lang w:val="en-US" w:eastAsia="zh-CN"/>
        </w:rPr>
        <w:t>857.55</w:t>
      </w:r>
      <w:r>
        <w:rPr>
          <w:rFonts w:hint="eastAsia" w:ascii="仿宋_GB2312" w:hAnsi="宋体" w:eastAsia="仿宋_GB2312" w:cs="宋体"/>
          <w:bCs/>
          <w:sz w:val="32"/>
          <w:szCs w:val="32"/>
        </w:rPr>
        <w:t>万元，其中财政拨款</w:t>
      </w:r>
      <w:r>
        <w:rPr>
          <w:rFonts w:hint="eastAsia" w:ascii="仿宋_GB2312" w:hAnsi="宋体" w:eastAsia="仿宋_GB2312" w:cs="宋体"/>
          <w:bCs/>
          <w:sz w:val="32"/>
          <w:szCs w:val="32"/>
          <w:lang w:val="en-US" w:eastAsia="zh-CN"/>
        </w:rPr>
        <w:t>857.55</w:t>
      </w:r>
      <w:r>
        <w:rPr>
          <w:rFonts w:hint="eastAsia" w:ascii="仿宋_GB2312" w:hAnsi="宋体" w:eastAsia="仿宋_GB2312" w:cs="宋体"/>
          <w:bCs/>
          <w:sz w:val="32"/>
          <w:szCs w:val="32"/>
        </w:rPr>
        <w:t>万元。</w:t>
      </w:r>
      <w:r>
        <w:rPr>
          <w:rFonts w:hint="eastAsia" w:ascii="仿宋_GB2312" w:hAnsi="Times New Roman" w:eastAsia="仿宋_GB2312" w:cs="仿宋_GB2312"/>
          <w:sz w:val="32"/>
          <w:szCs w:val="32"/>
        </w:rPr>
        <w:t>占</w:t>
      </w:r>
      <w:r>
        <w:rPr>
          <w:rFonts w:ascii="仿宋_GB2312" w:hAnsi="Times New Roman" w:eastAsia="仿宋_GB2312" w:cs="仿宋_GB2312"/>
          <w:sz w:val="32"/>
          <w:szCs w:val="32"/>
        </w:rPr>
        <w:t>100%</w:t>
      </w:r>
      <w:r>
        <w:rPr>
          <w:rFonts w:hint="eastAsia" w:ascii="仿宋_GB2312" w:hAnsi="Times New Roman" w:eastAsia="仿宋_GB2312" w:cs="仿宋_GB2312"/>
          <w:sz w:val="32"/>
          <w:szCs w:val="32"/>
        </w:rPr>
        <w:t>；事业收入</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；经营收入</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；其他收入</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w:t>
      </w:r>
    </w:p>
    <w:p>
      <w:pPr>
        <w:keepNext/>
        <w:keepLines/>
        <w:snapToGrid w:val="0"/>
        <w:spacing w:line="580" w:lineRule="exact"/>
        <w:ind w:firstLine="640" w:firstLineChars="200"/>
        <w:outlineLvl w:val="1"/>
        <w:rPr>
          <w:rFonts w:hint="eastAsia" w:ascii="黑体" w:hAnsi="Calibri" w:eastAsia="黑体" w:cs="Times New Roman"/>
          <w:sz w:val="32"/>
          <w:szCs w:val="32"/>
          <w:lang w:val="en-US" w:eastAsia="zh-CN"/>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黑体" w:hAnsi="Calibri" w:eastAsia="黑体" w:cs="Times New Roman"/>
          <w:b/>
          <w:bCs/>
          <w:sz w:val="32"/>
          <w:szCs w:val="32"/>
        </w:rPr>
      </w:pPr>
      <w:r>
        <w:rPr>
          <w:rFonts w:hint="eastAsia" w:ascii="仿宋_GB2312" w:hAnsi="Times New Roman" w:eastAsia="仿宋_GB2312" w:cs="仿宋_GB2312"/>
          <w:sz w:val="32"/>
          <w:szCs w:val="32"/>
        </w:rPr>
        <w:t>部门</w:t>
      </w:r>
      <w:r>
        <w:rPr>
          <w:rFonts w:ascii="仿宋_GB2312" w:hAnsi="Times New Roman" w:eastAsia="仿宋_GB2312" w:cs="仿宋_GB2312"/>
          <w:sz w:val="32"/>
          <w:szCs w:val="32"/>
        </w:rPr>
        <w:t>2019</w:t>
      </w:r>
      <w:r>
        <w:rPr>
          <w:rFonts w:hint="eastAsia" w:ascii="仿宋_GB2312" w:hAnsi="Times New Roman" w:eastAsia="仿宋_GB2312" w:cs="仿宋_GB2312"/>
          <w:sz w:val="32"/>
          <w:szCs w:val="32"/>
        </w:rPr>
        <w:t>年度本年支出合计</w:t>
      </w:r>
      <w:r>
        <w:rPr>
          <w:rFonts w:hint="eastAsia" w:ascii="仿宋_GB2312" w:hAnsi="Times New Roman" w:eastAsia="仿宋_GB2312" w:cs="仿宋_GB2312"/>
          <w:sz w:val="32"/>
          <w:szCs w:val="32"/>
          <w:lang w:val="en-US" w:eastAsia="zh-CN"/>
        </w:rPr>
        <w:t>827.41</w:t>
      </w:r>
      <w:r>
        <w:rPr>
          <w:rFonts w:hint="eastAsia" w:ascii="仿宋_GB2312" w:hAnsi="Times New Roman" w:eastAsia="仿宋_GB2312" w:cs="仿宋_GB2312"/>
          <w:sz w:val="32"/>
          <w:szCs w:val="32"/>
        </w:rPr>
        <w:t>万元，其中：基本支出</w:t>
      </w:r>
      <w:r>
        <w:rPr>
          <w:rFonts w:hint="eastAsia" w:ascii="仿宋_GB2312" w:hAnsi="Times New Roman" w:eastAsia="仿宋_GB2312" w:cs="仿宋_GB2312"/>
          <w:sz w:val="32"/>
          <w:szCs w:val="32"/>
          <w:lang w:val="en-US" w:eastAsia="zh-CN"/>
        </w:rPr>
        <w:t>555.12</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67.09</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；项目支出</w:t>
      </w:r>
      <w:r>
        <w:rPr>
          <w:rFonts w:hint="eastAsia" w:ascii="仿宋_GB2312" w:hAnsi="Times New Roman" w:eastAsia="仿宋_GB2312" w:cs="仿宋_GB2312"/>
          <w:sz w:val="32"/>
          <w:szCs w:val="32"/>
          <w:lang w:val="en-US" w:eastAsia="zh-CN"/>
        </w:rPr>
        <w:t>272.29</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32.1</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；经营支出</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万元，占</w:t>
      </w:r>
      <w:r>
        <w:rPr>
          <w:rFonts w:ascii="仿宋_GB2312" w:hAnsi="Times New Roman" w:eastAsia="仿宋_GB2312" w:cs="仿宋_GB2312"/>
          <w:sz w:val="32"/>
          <w:szCs w:val="32"/>
        </w:rPr>
        <w:t>0%</w:t>
      </w:r>
      <w:r>
        <w:rPr>
          <w:rFonts w:hint="eastAsia" w:ascii="仿宋_GB2312" w:hAnsi="Times New Roman" w:eastAsia="仿宋_GB2312" w:cs="仿宋_GB2312"/>
          <w:sz w:val="32"/>
          <w:szCs w:val="32"/>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仿宋_GB2312"/>
          <w:sz w:val="32"/>
          <w:szCs w:val="32"/>
        </w:rPr>
        <w:t>本部门</w:t>
      </w:r>
      <w:r>
        <w:rPr>
          <w:rFonts w:hint="eastAsia" w:ascii="仿宋_GB2312" w:hAnsi="Times New Roman" w:eastAsia="仿宋_GB2312" w:cs="仿宋_GB2312"/>
          <w:sz w:val="32"/>
          <w:szCs w:val="32"/>
          <w:lang w:val="en-US" w:eastAsia="zh-CN"/>
        </w:rPr>
        <w:t>2018年财政拨款收入685.85万元，支出706.96万元。</w:t>
      </w:r>
      <w:r>
        <w:rPr>
          <w:rFonts w:ascii="仿宋_GB2312" w:hAnsi="Times New Roman" w:eastAsia="仿宋_GB2312" w:cs="仿宋_GB2312"/>
          <w:sz w:val="32"/>
          <w:szCs w:val="32"/>
        </w:rPr>
        <w:t>2019</w:t>
      </w:r>
      <w:r>
        <w:rPr>
          <w:rFonts w:hint="eastAsia" w:ascii="仿宋_GB2312" w:hAnsi="Times New Roman" w:eastAsia="仿宋_GB2312" w:cs="仿宋_GB2312"/>
          <w:sz w:val="32"/>
          <w:szCs w:val="32"/>
        </w:rPr>
        <w:t>年度财政拨款收入</w:t>
      </w:r>
      <w:r>
        <w:rPr>
          <w:rFonts w:hint="eastAsia" w:ascii="仿宋_GB2312" w:hAnsi="宋体" w:eastAsia="仿宋_GB2312" w:cs="宋体"/>
          <w:bCs/>
          <w:sz w:val="32"/>
          <w:szCs w:val="32"/>
          <w:lang w:val="en-US" w:eastAsia="zh-CN"/>
        </w:rPr>
        <w:t>734.63</w:t>
      </w:r>
      <w:r>
        <w:rPr>
          <w:rFonts w:hint="eastAsia" w:ascii="仿宋_GB2312" w:hAnsi="Times New Roman" w:eastAsia="仿宋_GB2312" w:cs="仿宋_GB2312"/>
          <w:sz w:val="32"/>
          <w:szCs w:val="32"/>
        </w:rPr>
        <w:t>万元</w:t>
      </w:r>
      <w:r>
        <w:rPr>
          <w:rFonts w:hint="eastAsia" w:ascii="仿宋_GB2312" w:hAnsi="Times New Roman" w:eastAsia="仿宋_GB2312" w:cs="仿宋_GB2312"/>
          <w:sz w:val="32"/>
          <w:szCs w:val="32"/>
          <w:lang w:eastAsia="zh-CN"/>
        </w:rPr>
        <w:t>，较上年增长</w:t>
      </w:r>
      <w:r>
        <w:rPr>
          <w:rFonts w:hint="eastAsia" w:ascii="仿宋_GB2312" w:hAnsi="Times New Roman" w:eastAsia="仿宋_GB2312" w:cs="仿宋_GB2312"/>
          <w:sz w:val="32"/>
          <w:szCs w:val="32"/>
          <w:lang w:val="en-US" w:eastAsia="zh-CN"/>
        </w:rPr>
        <w:t>27.67万元，主要原因为新增</w:t>
      </w:r>
      <w:r>
        <w:rPr>
          <w:rFonts w:hint="eastAsia" w:ascii="仿宋_GB2312" w:hAnsi="宋体" w:eastAsia="仿宋_GB2312" w:cs="宋体"/>
          <w:bCs/>
          <w:sz w:val="32"/>
          <w:szCs w:val="32"/>
        </w:rPr>
        <w:t>铺设电子政务内网线路、省委应急调度指挥系统</w:t>
      </w:r>
      <w:r>
        <w:rPr>
          <w:rFonts w:hint="eastAsia" w:ascii="仿宋_GB2312" w:hAnsi="宋体" w:eastAsia="仿宋_GB2312" w:cs="宋体"/>
          <w:bCs/>
          <w:sz w:val="32"/>
          <w:szCs w:val="32"/>
          <w:lang w:eastAsia="zh-CN"/>
        </w:rPr>
        <w:t>财政拨款</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2019年</w:t>
      </w:r>
      <w:r>
        <w:rPr>
          <w:rFonts w:hint="eastAsia" w:ascii="仿宋_GB2312" w:hAnsi="Times New Roman" w:eastAsia="仿宋_GB2312" w:cs="仿宋_GB2312"/>
          <w:sz w:val="32"/>
          <w:szCs w:val="32"/>
        </w:rPr>
        <w:t>支出</w:t>
      </w:r>
      <w:r>
        <w:rPr>
          <w:rFonts w:hint="eastAsia" w:ascii="仿宋_GB2312" w:hAnsi="Times New Roman" w:eastAsia="仿宋_GB2312" w:cs="仿宋_GB2312"/>
          <w:sz w:val="32"/>
          <w:szCs w:val="32"/>
          <w:lang w:val="en-US" w:eastAsia="zh-CN"/>
        </w:rPr>
        <w:t>827.41</w:t>
      </w:r>
      <w:r>
        <w:rPr>
          <w:rFonts w:hint="eastAsia" w:ascii="仿宋_GB2312" w:hAnsi="Times New Roman" w:eastAsia="仿宋_GB2312" w:cs="仿宋_GB2312"/>
          <w:sz w:val="32"/>
          <w:szCs w:val="32"/>
        </w:rPr>
        <w:t>万元</w:t>
      </w:r>
      <w:r>
        <w:rPr>
          <w:rFonts w:hint="eastAsia" w:ascii="仿宋_GB2312" w:hAnsi="Times New Roman" w:eastAsia="仿宋_GB2312" w:cs="仿宋_GB2312"/>
          <w:sz w:val="32"/>
          <w:szCs w:val="32"/>
          <w:lang w:eastAsia="zh-CN"/>
        </w:rPr>
        <w:t>（</w:t>
      </w:r>
      <w:r>
        <w:rPr>
          <w:rFonts w:hint="eastAsia" w:ascii="仿宋_GB2312" w:hAnsi="宋体" w:eastAsia="仿宋_GB2312" w:cs="宋体"/>
          <w:bCs/>
          <w:sz w:val="32"/>
          <w:szCs w:val="32"/>
          <w:lang w:eastAsia="zh-CN"/>
        </w:rPr>
        <w:t>含上年结转和结余</w:t>
      </w:r>
      <w:r>
        <w:rPr>
          <w:rFonts w:hint="eastAsia" w:ascii="仿宋_GB2312" w:hAnsi="Times New Roman" w:eastAsia="仿宋_GB2312" w:cs="仿宋_GB2312"/>
          <w:sz w:val="32"/>
          <w:szCs w:val="32"/>
          <w:lang w:eastAsia="zh-CN"/>
        </w:rPr>
        <w:t>），较</w:t>
      </w:r>
      <w:r>
        <w:rPr>
          <w:rFonts w:hint="eastAsia" w:ascii="仿宋_GB2312" w:hAnsi="Times New Roman" w:eastAsia="仿宋_GB2312" w:cs="仿宋_GB2312"/>
          <w:sz w:val="32"/>
          <w:szCs w:val="32"/>
          <w:lang w:val="en-US" w:eastAsia="zh-CN"/>
        </w:rPr>
        <w:t>2018年增长120.45万元，主要原因新增新增</w:t>
      </w:r>
      <w:r>
        <w:rPr>
          <w:rFonts w:hint="eastAsia" w:ascii="仿宋_GB2312" w:hAnsi="宋体" w:eastAsia="仿宋_GB2312" w:cs="宋体"/>
          <w:bCs/>
          <w:sz w:val="32"/>
          <w:szCs w:val="32"/>
        </w:rPr>
        <w:t>铺设电子政务内网线路</w:t>
      </w:r>
      <w:r>
        <w:rPr>
          <w:rFonts w:hint="eastAsia" w:ascii="仿宋_GB2312" w:hAnsi="宋体" w:eastAsia="仿宋_GB2312" w:cs="宋体"/>
          <w:bCs/>
          <w:sz w:val="32"/>
          <w:szCs w:val="32"/>
          <w:lang w:eastAsia="zh-CN"/>
        </w:rPr>
        <w:t>等项目支出</w:t>
      </w:r>
      <w:r>
        <w:rPr>
          <w:rFonts w:hint="eastAsia" w:ascii="仿宋_GB2312" w:hAnsi="Times New Roman" w:eastAsia="仿宋_GB2312" w:cs="仿宋_GB2312"/>
          <w:sz w:val="32"/>
          <w:szCs w:val="32"/>
        </w:rPr>
        <w:t>。</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仿宋_GB2312"/>
          <w:sz w:val="32"/>
          <w:szCs w:val="32"/>
        </w:rPr>
        <w:t>本部门</w:t>
      </w:r>
      <w:r>
        <w:rPr>
          <w:rFonts w:ascii="仿宋_GB2312" w:hAnsi="Times New Roman" w:eastAsia="仿宋_GB2312" w:cs="仿宋_GB2312"/>
          <w:sz w:val="32"/>
          <w:szCs w:val="32"/>
        </w:rPr>
        <w:t>2019</w:t>
      </w:r>
      <w:r>
        <w:rPr>
          <w:rFonts w:hint="eastAsia" w:ascii="仿宋_GB2312" w:hAnsi="Times New Roman" w:eastAsia="仿宋_GB2312" w:cs="仿宋_GB2312"/>
          <w:sz w:val="32"/>
          <w:szCs w:val="32"/>
        </w:rPr>
        <w:t>年度一般公共预算财政拨款收入</w:t>
      </w:r>
      <w:r>
        <w:rPr>
          <w:rFonts w:hint="eastAsia" w:ascii="仿宋_GB2312" w:hAnsi="Times New Roman" w:eastAsia="仿宋_GB2312" w:cs="仿宋_GB2312"/>
          <w:sz w:val="32"/>
          <w:szCs w:val="32"/>
          <w:lang w:val="en-US" w:eastAsia="zh-CN"/>
        </w:rPr>
        <w:t>734.63</w:t>
      </w:r>
      <w:r>
        <w:rPr>
          <w:rFonts w:hint="eastAsia" w:ascii="仿宋_GB2312" w:hAnsi="Times New Roman" w:eastAsia="仿宋_GB2312" w:cs="仿宋_GB2312"/>
          <w:sz w:val="32"/>
          <w:szCs w:val="32"/>
        </w:rPr>
        <w:t>万元，完成年初预算的</w:t>
      </w:r>
      <w:r>
        <w:rPr>
          <w:rFonts w:ascii="仿宋_GB2312" w:hAnsi="Times New Roman" w:eastAsia="仿宋_GB2312" w:cs="仿宋_GB2312"/>
          <w:sz w:val="32"/>
          <w:szCs w:val="32"/>
        </w:rPr>
        <w:t>100%,</w:t>
      </w:r>
      <w:r>
        <w:rPr>
          <w:rFonts w:hint="eastAsia" w:ascii="仿宋_GB2312" w:hAnsi="Times New Roman" w:eastAsia="仿宋_GB2312" w:cs="仿宋_GB2312"/>
          <w:sz w:val="32"/>
          <w:szCs w:val="32"/>
        </w:rPr>
        <w:t>比年初预算持平；本年支出</w:t>
      </w:r>
      <w:r>
        <w:rPr>
          <w:rFonts w:hint="eastAsia" w:ascii="仿宋_GB2312" w:hAnsi="Times New Roman" w:eastAsia="仿宋_GB2312" w:cs="仿宋_GB2312"/>
          <w:sz w:val="32"/>
          <w:szCs w:val="32"/>
          <w:lang w:val="en-US" w:eastAsia="zh-CN"/>
        </w:rPr>
        <w:t>827.41</w:t>
      </w:r>
      <w:r>
        <w:rPr>
          <w:rFonts w:hint="eastAsia" w:ascii="仿宋_GB2312" w:hAnsi="Times New Roman" w:eastAsia="仿宋_GB2312" w:cs="仿宋_GB2312"/>
          <w:sz w:val="32"/>
          <w:szCs w:val="32"/>
        </w:rPr>
        <w:t>万元，完成年初预算的</w:t>
      </w:r>
      <w:r>
        <w:rPr>
          <w:rFonts w:hint="eastAsia" w:ascii="仿宋_GB2312" w:hAnsi="Times New Roman" w:eastAsia="仿宋_GB2312" w:cs="仿宋_GB2312"/>
          <w:sz w:val="32"/>
          <w:szCs w:val="32"/>
          <w:lang w:val="en-US" w:eastAsia="zh-CN"/>
        </w:rPr>
        <w:t>96.48</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比年初预算减少</w:t>
      </w:r>
      <w:r>
        <w:rPr>
          <w:rFonts w:hint="eastAsia" w:ascii="仿宋_GB2312" w:hAnsi="Times New Roman" w:eastAsia="仿宋_GB2312" w:cs="仿宋_GB2312"/>
          <w:sz w:val="32"/>
          <w:szCs w:val="32"/>
          <w:lang w:val="en-US" w:eastAsia="zh-CN"/>
        </w:rPr>
        <w:t>30.14</w:t>
      </w:r>
      <w:r>
        <w:rPr>
          <w:rFonts w:hint="eastAsia" w:ascii="仿宋_GB2312" w:hAnsi="Times New Roman" w:eastAsia="仿宋_GB2312" w:cs="仿宋_GB2312"/>
          <w:sz w:val="32"/>
          <w:szCs w:val="32"/>
        </w:rPr>
        <w:t>万元，决算数小于预算数主要原因是</w:t>
      </w:r>
      <w:r>
        <w:rPr>
          <w:rFonts w:hint="eastAsia" w:ascii="仿宋_GB2312" w:hAnsi="Times New Roman" w:eastAsia="仿宋_GB2312" w:cs="仿宋_GB2312"/>
          <w:sz w:val="32"/>
          <w:szCs w:val="32"/>
          <w:lang w:eastAsia="zh-CN"/>
        </w:rPr>
        <w:t>按照</w:t>
      </w:r>
      <w:bookmarkStart w:id="2" w:name="_GoBack"/>
      <w:r>
        <w:rPr>
          <w:rFonts w:hint="eastAsia" w:ascii="仿宋_GB2312" w:hAnsi="Times New Roman" w:eastAsia="仿宋_GB2312" w:cs="仿宋_GB2312"/>
          <w:sz w:val="32"/>
          <w:szCs w:val="32"/>
          <w:lang w:eastAsia="zh-CN"/>
        </w:rPr>
        <w:t>八项规定</w:t>
      </w:r>
      <w:bookmarkEnd w:id="2"/>
      <w:r>
        <w:rPr>
          <w:rFonts w:hint="eastAsia" w:ascii="仿宋_GB2312" w:hAnsi="Times New Roman" w:eastAsia="仿宋_GB2312" w:cs="仿宋_GB2312"/>
          <w:sz w:val="32"/>
          <w:szCs w:val="32"/>
          <w:lang w:eastAsia="zh-CN"/>
        </w:rPr>
        <w:t>减少日常经费支出</w:t>
      </w:r>
      <w:r>
        <w:rPr>
          <w:rFonts w:hint="eastAsia" w:ascii="仿宋_GB2312" w:hAnsi="Times New Roman" w:eastAsia="仿宋_GB2312" w:cs="仿宋_GB2312"/>
          <w:sz w:val="32"/>
          <w:szCs w:val="32"/>
        </w:rPr>
        <w:t>。</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ascii="仿宋_GB2312" w:hAnsi="Times New Roman" w:eastAsia="仿宋_GB2312" w:cs="仿宋_GB2312"/>
          <w:sz w:val="32"/>
          <w:szCs w:val="32"/>
        </w:rPr>
        <w:t xml:space="preserve">2019 </w:t>
      </w:r>
      <w:r>
        <w:rPr>
          <w:rFonts w:hint="eastAsia" w:ascii="仿宋_GB2312" w:hAnsi="Times New Roman" w:eastAsia="仿宋_GB2312" w:cs="仿宋_GB2312"/>
          <w:sz w:val="32"/>
          <w:szCs w:val="32"/>
        </w:rPr>
        <w:t>年度财政拨款支出</w:t>
      </w:r>
      <w:r>
        <w:rPr>
          <w:rFonts w:hint="eastAsia" w:ascii="仿宋_GB2312" w:hAnsi="Times New Roman" w:eastAsia="仿宋_GB2312" w:cs="仿宋_GB2312"/>
          <w:sz w:val="32"/>
          <w:szCs w:val="32"/>
          <w:lang w:val="en-US" w:eastAsia="zh-CN"/>
        </w:rPr>
        <w:t>827.41</w:t>
      </w:r>
      <w:r>
        <w:rPr>
          <w:rFonts w:hint="eastAsia" w:ascii="仿宋_GB2312" w:hAnsi="Times New Roman" w:eastAsia="仿宋_GB2312" w:cs="仿宋_GB2312"/>
          <w:sz w:val="32"/>
          <w:szCs w:val="32"/>
        </w:rPr>
        <w:t>万元，主要用于以下方面：一般公共服务（类）支出</w:t>
      </w:r>
      <w:r>
        <w:rPr>
          <w:rFonts w:hint="eastAsia" w:ascii="仿宋_GB2312" w:hAnsi="Times New Roman" w:eastAsia="仿宋_GB2312" w:cs="仿宋_GB2312"/>
          <w:sz w:val="32"/>
          <w:szCs w:val="32"/>
          <w:lang w:val="en-US" w:eastAsia="zh-CN"/>
        </w:rPr>
        <w:t>674.78</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81.565</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；公共安全类（类）支出</w:t>
      </w:r>
      <w:r>
        <w:rPr>
          <w:rFonts w:hint="eastAsia" w:ascii="仿宋_GB2312" w:hAnsi="Times New Roman" w:eastAsia="仿宋_GB2312" w:cs="仿宋_GB2312"/>
          <w:sz w:val="32"/>
          <w:szCs w:val="32"/>
          <w:lang w:val="en-US" w:eastAsia="zh-CN"/>
        </w:rPr>
        <w:t>3</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0.36</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；社会保障和就业（类）支出</w:t>
      </w:r>
      <w:r>
        <w:rPr>
          <w:rFonts w:hint="eastAsia" w:ascii="仿宋_GB2312" w:hAnsi="Times New Roman" w:eastAsia="仿宋_GB2312" w:cs="仿宋_GB2312"/>
          <w:sz w:val="32"/>
          <w:szCs w:val="32"/>
          <w:lang w:val="en-US" w:eastAsia="zh-CN"/>
        </w:rPr>
        <w:t>52.07</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6.29</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卫生健康（类）支出</w:t>
      </w:r>
      <w:r>
        <w:rPr>
          <w:rFonts w:hint="eastAsia" w:ascii="仿宋_GB2312" w:hAnsi="Times New Roman" w:eastAsia="仿宋_GB2312" w:cs="仿宋_GB2312"/>
          <w:sz w:val="32"/>
          <w:szCs w:val="32"/>
          <w:lang w:val="en-US" w:eastAsia="zh-CN"/>
        </w:rPr>
        <w:t>17.57</w:t>
      </w:r>
      <w:r>
        <w:rPr>
          <w:rFonts w:hint="eastAsia" w:ascii="仿宋_GB2312" w:hAnsi="Times New Roman" w:eastAsia="仿宋_GB2312" w:cs="仿宋_GB2312"/>
          <w:sz w:val="32"/>
          <w:szCs w:val="32"/>
        </w:rPr>
        <w:t>万元，占</w:t>
      </w:r>
      <w:r>
        <w:rPr>
          <w:rFonts w:hint="eastAsia" w:ascii="仿宋_GB2312" w:hAnsi="Times New Roman" w:eastAsia="仿宋_GB2312" w:cs="仿宋_GB2312"/>
          <w:sz w:val="32"/>
          <w:szCs w:val="32"/>
          <w:lang w:val="en-US" w:eastAsia="zh-CN"/>
        </w:rPr>
        <w:t>2.13</w:t>
      </w:r>
      <w:r>
        <w:rPr>
          <w:rFonts w:ascii="仿宋_GB2312" w:hAnsi="Times New Roman" w:eastAsia="仿宋_GB2312" w:cs="仿宋_GB2312"/>
          <w:sz w:val="32"/>
          <w:szCs w:val="32"/>
        </w:rPr>
        <w:t>%</w:t>
      </w:r>
      <w:r>
        <w:rPr>
          <w:rFonts w:hint="eastAsia" w:ascii="仿宋_GB2312" w:hAnsi="Times New Roman" w:eastAsia="仿宋_GB2312" w:cs="仿宋_GB2312"/>
          <w:sz w:val="32"/>
          <w:szCs w:val="32"/>
          <w:lang w:eastAsia="zh-CN"/>
        </w:rPr>
        <w:t>，农林水支出</w:t>
      </w:r>
      <w:r>
        <w:rPr>
          <w:rFonts w:hint="eastAsia" w:ascii="仿宋_GB2312" w:hAnsi="Times New Roman" w:eastAsia="仿宋_GB2312" w:cs="仿宋_GB2312"/>
          <w:sz w:val="32"/>
          <w:szCs w:val="32"/>
          <w:lang w:val="en-US" w:eastAsia="zh-CN"/>
        </w:rPr>
        <w:t>80万，占9.67%</w:t>
      </w:r>
      <w:r>
        <w:rPr>
          <w:rFonts w:hint="eastAsia" w:ascii="仿宋_GB2312" w:hAnsi="Times New Roman" w:eastAsia="仿宋_GB2312" w:cs="仿宋_GB2312"/>
          <w:sz w:val="32"/>
          <w:szCs w:val="32"/>
        </w:rPr>
        <w:t>。</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keepNext/>
        <w:keepLines/>
        <w:snapToGrid w:val="0"/>
        <w:spacing w:line="580" w:lineRule="exact"/>
        <w:ind w:firstLine="640" w:firstLineChars="200"/>
        <w:outlineLvl w:val="1"/>
        <w:rPr>
          <w:rFonts w:ascii="仿宋_GB2312" w:hAnsi="Times New Roman" w:eastAsia="仿宋_GB2312" w:cs="仿宋_GB2312"/>
          <w:sz w:val="32"/>
          <w:szCs w:val="32"/>
        </w:rPr>
      </w:pPr>
      <w:r>
        <w:rPr>
          <w:rFonts w:ascii="仿宋_GB2312" w:hAnsi="Times New Roman" w:eastAsia="仿宋_GB2312" w:cs="仿宋_GB2312"/>
          <w:sz w:val="32"/>
          <w:szCs w:val="32"/>
        </w:rPr>
        <w:t xml:space="preserve">2019 </w:t>
      </w:r>
      <w:r>
        <w:rPr>
          <w:rFonts w:hint="eastAsia" w:ascii="仿宋_GB2312" w:hAnsi="Times New Roman" w:eastAsia="仿宋_GB2312" w:cs="仿宋_GB2312"/>
          <w:sz w:val="32"/>
          <w:szCs w:val="32"/>
        </w:rPr>
        <w:t>年度财政拨款基本支出</w:t>
      </w:r>
      <w:r>
        <w:rPr>
          <w:rFonts w:hint="eastAsia" w:ascii="仿宋_GB2312" w:hAnsi="Times New Roman" w:eastAsia="仿宋_GB2312" w:cs="仿宋_GB2312"/>
          <w:sz w:val="32"/>
          <w:szCs w:val="32"/>
          <w:lang w:val="en-US" w:eastAsia="zh-CN"/>
        </w:rPr>
        <w:t>555.12</w:t>
      </w:r>
      <w:r>
        <w:rPr>
          <w:rFonts w:hint="eastAsia" w:ascii="仿宋_GB2312" w:hAnsi="Times New Roman" w:eastAsia="仿宋_GB2312" w:cs="仿宋_GB2312"/>
          <w:sz w:val="32"/>
          <w:szCs w:val="32"/>
        </w:rPr>
        <w:t>万元，其中：人员经费</w:t>
      </w:r>
      <w:r>
        <w:rPr>
          <w:rFonts w:hint="eastAsia" w:ascii="仿宋_GB2312" w:hAnsi="Times New Roman" w:eastAsia="仿宋_GB2312" w:cs="仿宋_GB2312"/>
          <w:sz w:val="32"/>
          <w:szCs w:val="32"/>
          <w:lang w:val="en-US" w:eastAsia="zh-CN"/>
        </w:rPr>
        <w:t>404.22</w:t>
      </w:r>
      <w:r>
        <w:rPr>
          <w:rFonts w:hint="eastAsia" w:ascii="仿宋_GB2312" w:hAnsi="Times New Roman" w:eastAsia="仿宋_GB2312" w:cs="仿宋_GB2312"/>
          <w:sz w:val="32"/>
          <w:szCs w:val="32"/>
        </w:rPr>
        <w:t>万元，主要包括基本工资、津贴补贴、奖金、绩效工资、机关事业单位基本养老保险缴费、职业年金缴费、职工基本医疗保险缴费、生活补助；公用经费</w:t>
      </w:r>
      <w:r>
        <w:rPr>
          <w:rFonts w:hint="eastAsia" w:ascii="仿宋_GB2312" w:hAnsi="Times New Roman" w:eastAsia="仿宋_GB2312" w:cs="仿宋_GB2312"/>
          <w:sz w:val="32"/>
          <w:szCs w:val="32"/>
          <w:lang w:val="en-US" w:eastAsia="zh-CN"/>
        </w:rPr>
        <w:t>150.90</w:t>
      </w:r>
      <w:r>
        <w:rPr>
          <w:rFonts w:hint="eastAsia" w:ascii="仿宋_GB2312" w:hAnsi="Times New Roman" w:eastAsia="仿宋_GB2312" w:cs="仿宋_GB2312"/>
          <w:sz w:val="32"/>
          <w:szCs w:val="32"/>
        </w:rPr>
        <w:t>万元，主要包括办公费、水费、电费、邮电费、差旅费、租赁费、其他交通费用、办公设备购置。</w:t>
      </w:r>
    </w:p>
    <w:p>
      <w:pPr>
        <w:widowControl/>
        <w:ind w:firstLine="470"/>
        <w:jc w:val="left"/>
        <w:rPr>
          <w:rFonts w:ascii="宋体" w:hAnsi="宋体" w:eastAsia="宋体" w:cs="宋体"/>
          <w:b/>
          <w:color w:val="000000"/>
          <w:kern w:val="0"/>
          <w:sz w:val="32"/>
          <w:szCs w:val="32"/>
        </w:rPr>
      </w:pPr>
      <w:r>
        <w:rPr>
          <w:rFonts w:hint="eastAsia" w:ascii="仿宋_GB2312" w:hAnsi="微软雅黑" w:eastAsia="仿宋_GB2312" w:cs="仿宋_GB2312"/>
          <w:b/>
          <w:color w:val="000000"/>
          <w:kern w:val="0"/>
          <w:sz w:val="32"/>
          <w:szCs w:val="32"/>
        </w:rPr>
        <w:t xml:space="preserve"> 五、</w:t>
      </w:r>
      <w:r>
        <w:rPr>
          <w:rFonts w:hint="eastAsia" w:ascii="宋体" w:hAnsi="宋体" w:eastAsia="宋体" w:cs="宋体"/>
          <w:b/>
          <w:color w:val="000000"/>
          <w:kern w:val="0"/>
          <w:sz w:val="32"/>
          <w:szCs w:val="32"/>
        </w:rPr>
        <w:t>一般公共预算财政拨款“三公”经费支出决算情况说明</w:t>
      </w:r>
    </w:p>
    <w:p>
      <w:pPr>
        <w:ind w:firstLine="640" w:firstLineChars="200"/>
        <w:rPr>
          <w:rFonts w:ascii="仿宋_GB2312" w:hAnsi="宋体" w:eastAsia="仿宋_GB2312" w:cs="宋体"/>
          <w:bCs/>
          <w:sz w:val="32"/>
          <w:szCs w:val="32"/>
        </w:rPr>
      </w:pPr>
      <w:r>
        <w:rPr>
          <w:rFonts w:ascii="仿宋_GB2312" w:hAnsi="宋体" w:eastAsia="仿宋_GB2312" w:cs="宋体"/>
          <w:bCs/>
          <w:sz w:val="32"/>
          <w:szCs w:val="32"/>
        </w:rPr>
        <w:t>2018</w:t>
      </w:r>
      <w:r>
        <w:rPr>
          <w:rFonts w:hint="eastAsia" w:ascii="仿宋_GB2312" w:hAnsi="宋体" w:eastAsia="仿宋_GB2312" w:cs="宋体"/>
          <w:bCs/>
          <w:sz w:val="32"/>
          <w:szCs w:val="32"/>
        </w:rPr>
        <w:t>年“三公”经费决算数</w:t>
      </w:r>
      <w:r>
        <w:rPr>
          <w:rFonts w:ascii="仿宋_GB2312" w:hAnsi="宋体" w:eastAsia="仿宋_GB2312" w:cs="宋体"/>
          <w:bCs/>
          <w:sz w:val="32"/>
          <w:szCs w:val="32"/>
        </w:rPr>
        <w:t>11.91</w:t>
      </w:r>
      <w:r>
        <w:rPr>
          <w:rFonts w:hint="eastAsia" w:ascii="仿宋_GB2312" w:hAnsi="宋体" w:eastAsia="仿宋_GB2312" w:cs="宋体"/>
          <w:bCs/>
          <w:sz w:val="32"/>
          <w:szCs w:val="32"/>
        </w:rPr>
        <w:t>万元，其中，因公出国（境）费</w:t>
      </w:r>
      <w:r>
        <w:rPr>
          <w:rFonts w:ascii="仿宋_GB2312" w:hAnsi="宋体" w:eastAsia="仿宋_GB2312" w:cs="宋体"/>
          <w:bCs/>
          <w:sz w:val="32"/>
          <w:szCs w:val="32"/>
        </w:rPr>
        <w:t>0</w:t>
      </w:r>
      <w:r>
        <w:rPr>
          <w:rFonts w:hint="eastAsia" w:ascii="仿宋_GB2312" w:hAnsi="宋体" w:eastAsia="仿宋_GB2312" w:cs="宋体"/>
          <w:bCs/>
          <w:sz w:val="32"/>
          <w:szCs w:val="32"/>
        </w:rPr>
        <w:t>万元，公务用车购置及运行维护费</w:t>
      </w:r>
      <w:r>
        <w:rPr>
          <w:rFonts w:ascii="仿宋_GB2312" w:hAnsi="宋体" w:eastAsia="仿宋_GB2312" w:cs="宋体"/>
          <w:bCs/>
          <w:sz w:val="32"/>
          <w:szCs w:val="32"/>
        </w:rPr>
        <w:t>11.91</w:t>
      </w:r>
      <w:r>
        <w:rPr>
          <w:rFonts w:hint="eastAsia" w:ascii="仿宋_GB2312" w:hAnsi="宋体" w:eastAsia="仿宋_GB2312" w:cs="宋体"/>
          <w:bCs/>
          <w:sz w:val="32"/>
          <w:szCs w:val="32"/>
        </w:rPr>
        <w:t>万元，公务接待费</w:t>
      </w:r>
      <w:r>
        <w:rPr>
          <w:rFonts w:ascii="仿宋_GB2312" w:hAnsi="宋体" w:eastAsia="仿宋_GB2312" w:cs="宋体"/>
          <w:bCs/>
          <w:sz w:val="32"/>
          <w:szCs w:val="32"/>
        </w:rPr>
        <w:t>0</w:t>
      </w:r>
      <w:r>
        <w:rPr>
          <w:rFonts w:hint="eastAsia" w:ascii="仿宋_GB2312" w:hAnsi="宋体" w:eastAsia="仿宋_GB2312" w:cs="宋体"/>
          <w:bCs/>
          <w:sz w:val="32"/>
          <w:szCs w:val="32"/>
        </w:rPr>
        <w:t>万元。</w:t>
      </w:r>
    </w:p>
    <w:p>
      <w:pPr>
        <w:adjustRightInd w:val="0"/>
        <w:snapToGrid w:val="0"/>
        <w:spacing w:line="580" w:lineRule="exact"/>
        <w:ind w:firstLine="640" w:firstLineChars="200"/>
        <w:rPr>
          <w:rFonts w:ascii="仿宋_GB2312" w:hAnsi="Times New Roman" w:eastAsia="仿宋_GB2312" w:cs="仿宋_GB2312"/>
          <w:sz w:val="32"/>
          <w:szCs w:val="32"/>
        </w:rPr>
      </w:pPr>
      <w:r>
        <w:rPr>
          <w:rFonts w:hint="eastAsia" w:ascii="仿宋_GB2312" w:hAnsi="宋体" w:eastAsia="仿宋_GB2312" w:cs="宋体"/>
          <w:bCs/>
          <w:sz w:val="32"/>
          <w:szCs w:val="32"/>
          <w:lang w:val="en-US" w:eastAsia="zh-CN"/>
        </w:rPr>
        <w:t>2019年</w:t>
      </w:r>
      <w:r>
        <w:rPr>
          <w:rFonts w:hint="eastAsia" w:ascii="仿宋_GB2312" w:hAnsi="宋体" w:eastAsia="仿宋_GB2312" w:cs="宋体"/>
          <w:bCs/>
          <w:sz w:val="32"/>
          <w:szCs w:val="32"/>
        </w:rPr>
        <w:t>“三公”经费支出合计6.87万元，与上年相比减少5.04万元，其中因公出国（境）费用0万元，公务用车购置费0万元，公务用车运行维护费6.87万元，公务接待费0万元。</w:t>
      </w:r>
      <w:r>
        <w:rPr>
          <w:rFonts w:hint="eastAsia" w:ascii="仿宋_GB2312" w:hAnsi="Times New Roman" w:eastAsia="仿宋_GB2312" w:cs="仿宋_GB2312"/>
          <w:sz w:val="32"/>
          <w:szCs w:val="32"/>
        </w:rPr>
        <w:t>本部门</w:t>
      </w:r>
      <w:r>
        <w:rPr>
          <w:rFonts w:ascii="仿宋_GB2312" w:hAnsi="Times New Roman" w:eastAsia="仿宋_GB2312" w:cs="仿宋_GB2312"/>
          <w:sz w:val="32"/>
          <w:szCs w:val="32"/>
        </w:rPr>
        <w:t>2019</w:t>
      </w:r>
      <w:r>
        <w:rPr>
          <w:rFonts w:hint="eastAsia" w:ascii="仿宋_GB2312" w:hAnsi="Times New Roman" w:eastAsia="仿宋_GB2312" w:cs="仿宋_GB2312"/>
          <w:sz w:val="32"/>
          <w:szCs w:val="32"/>
        </w:rPr>
        <w:t>年度无本单位组织的出国（境）团组。因公出国（境）费支出无年初预算，我单位为2019年机构改革新成立单位，2018年度无决算公开，无法进行增减情况对比。</w:t>
      </w:r>
    </w:p>
    <w:p>
      <w:pPr>
        <w:ind w:firstLine="640" w:firstLineChars="200"/>
        <w:rPr>
          <w:rFonts w:ascii="仿宋_GB2312" w:hAnsi="宋体" w:eastAsia="仿宋_GB2312" w:cs="宋体"/>
          <w:bCs/>
          <w:sz w:val="32"/>
          <w:szCs w:val="32"/>
        </w:rPr>
      </w:pPr>
      <w:r>
        <w:rPr>
          <w:rFonts w:ascii="仿宋_GB2312" w:hAnsi="宋体" w:eastAsia="仿宋_GB2312" w:cs="宋体"/>
          <w:bCs/>
          <w:sz w:val="32"/>
          <w:szCs w:val="32"/>
        </w:rPr>
        <w:t>2019</w:t>
      </w:r>
      <w:r>
        <w:rPr>
          <w:rFonts w:hint="eastAsia" w:ascii="仿宋_GB2312" w:hAnsi="宋体" w:eastAsia="仿宋_GB2312" w:cs="宋体"/>
          <w:bCs/>
          <w:sz w:val="32"/>
          <w:szCs w:val="32"/>
        </w:rPr>
        <w:t>年我机关严格落实中央八项规定精神，厉行节俭、科学合理安排各项支出，</w:t>
      </w:r>
      <w:r>
        <w:rPr>
          <w:rFonts w:ascii="仿宋_GB2312" w:hAnsi="宋体" w:eastAsia="仿宋_GB2312" w:cs="宋体"/>
          <w:bCs/>
          <w:sz w:val="32"/>
          <w:szCs w:val="32"/>
        </w:rPr>
        <w:t>2019</w:t>
      </w:r>
      <w:r>
        <w:rPr>
          <w:rFonts w:hint="eastAsia" w:ascii="仿宋_GB2312" w:hAnsi="宋体" w:eastAsia="仿宋_GB2312" w:cs="宋体"/>
          <w:bCs/>
          <w:sz w:val="32"/>
          <w:szCs w:val="32"/>
        </w:rPr>
        <w:t>年“三公”经费总支出较</w:t>
      </w:r>
      <w:r>
        <w:rPr>
          <w:rFonts w:ascii="仿宋_GB2312" w:hAnsi="宋体" w:eastAsia="仿宋_GB2312" w:cs="宋体"/>
          <w:bCs/>
          <w:sz w:val="32"/>
          <w:szCs w:val="32"/>
        </w:rPr>
        <w:t>2018</w:t>
      </w:r>
      <w:r>
        <w:rPr>
          <w:rFonts w:hint="eastAsia" w:ascii="仿宋_GB2312" w:hAnsi="宋体" w:eastAsia="仿宋_GB2312" w:cs="宋体"/>
          <w:bCs/>
          <w:sz w:val="32"/>
          <w:szCs w:val="32"/>
        </w:rPr>
        <w:t>年决算数减少</w:t>
      </w:r>
      <w:r>
        <w:rPr>
          <w:rFonts w:ascii="仿宋_GB2312" w:hAnsi="宋体" w:eastAsia="仿宋_GB2312" w:cs="宋体"/>
          <w:bCs/>
          <w:sz w:val="32"/>
          <w:szCs w:val="32"/>
        </w:rPr>
        <w:t>5.04</w:t>
      </w:r>
      <w:r>
        <w:rPr>
          <w:rFonts w:hint="eastAsia" w:ascii="仿宋_GB2312" w:hAnsi="宋体" w:eastAsia="仿宋_GB2312" w:cs="宋体"/>
          <w:bCs/>
          <w:sz w:val="32"/>
          <w:szCs w:val="32"/>
        </w:rPr>
        <w:t>万元，其中：公务用车购置及运行维护费减少</w:t>
      </w:r>
      <w:r>
        <w:rPr>
          <w:rFonts w:ascii="仿宋_GB2312" w:hAnsi="宋体" w:eastAsia="仿宋_GB2312" w:cs="宋体"/>
          <w:bCs/>
          <w:sz w:val="32"/>
          <w:szCs w:val="32"/>
        </w:rPr>
        <w:t>5.04</w:t>
      </w:r>
      <w:r>
        <w:rPr>
          <w:rFonts w:hint="eastAsia" w:ascii="仿宋_GB2312" w:hAnsi="宋体" w:eastAsia="仿宋_GB2312" w:cs="宋体"/>
          <w:bCs/>
          <w:sz w:val="32"/>
          <w:szCs w:val="32"/>
        </w:rPr>
        <w:t>万元。</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公务用车购置及保有情况：本年度本单位使用公共预算财政拨款购置县级公务用车</w:t>
      </w:r>
      <w:r>
        <w:rPr>
          <w:rFonts w:ascii="仿宋_GB2312" w:hAnsi="宋体" w:eastAsia="仿宋_GB2312" w:cs="宋体"/>
          <w:bCs/>
          <w:sz w:val="32"/>
          <w:szCs w:val="32"/>
        </w:rPr>
        <w:t>0</w:t>
      </w:r>
      <w:r>
        <w:rPr>
          <w:rFonts w:hint="eastAsia" w:ascii="仿宋_GB2312" w:hAnsi="宋体" w:eastAsia="仿宋_GB2312" w:cs="宋体"/>
          <w:bCs/>
          <w:sz w:val="32"/>
          <w:szCs w:val="32"/>
        </w:rPr>
        <w:t>辆，年末公共预算财政拨款开支运行维护费的公务用车保有量</w:t>
      </w:r>
      <w:r>
        <w:rPr>
          <w:rFonts w:ascii="仿宋_GB2312" w:hAnsi="宋体" w:eastAsia="仿宋_GB2312" w:cs="宋体"/>
          <w:bCs/>
          <w:sz w:val="32"/>
          <w:szCs w:val="32"/>
        </w:rPr>
        <w:t>1</w:t>
      </w:r>
      <w:r>
        <w:rPr>
          <w:rFonts w:hint="eastAsia" w:ascii="仿宋_GB2312" w:hAnsi="宋体" w:eastAsia="仿宋_GB2312" w:cs="宋体"/>
          <w:bCs/>
          <w:sz w:val="32"/>
          <w:szCs w:val="32"/>
        </w:rPr>
        <w:t>辆。</w:t>
      </w:r>
    </w:p>
    <w:p>
      <w:pPr>
        <w:widowControl/>
        <w:ind w:firstLine="643" w:firstLineChars="200"/>
        <w:jc w:val="left"/>
        <w:rPr>
          <w:rFonts w:ascii="仿宋_GB2312" w:hAnsi="微软雅黑" w:eastAsia="仿宋_GB2312" w:cs="仿宋_GB2312"/>
          <w:b/>
          <w:color w:val="000000"/>
          <w:kern w:val="0"/>
          <w:sz w:val="32"/>
          <w:szCs w:val="32"/>
        </w:rPr>
      </w:pPr>
      <w:r>
        <w:rPr>
          <w:rFonts w:hint="eastAsia" w:ascii="仿宋_GB2312" w:hAnsi="微软雅黑" w:eastAsia="仿宋_GB2312" w:cs="仿宋_GB2312"/>
          <w:b/>
          <w:color w:val="000000"/>
          <w:kern w:val="0"/>
          <w:sz w:val="32"/>
          <w:szCs w:val="32"/>
        </w:rPr>
        <w:t>六、预算绩效管理工作开展情况</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按照预算绩效管理改革要求，以绩效为导向，严格执行绩效预算管理，按照县财政局《财政支出绩效评价管理暂行办法》（财预</w:t>
      </w:r>
      <w:r>
        <w:rPr>
          <w:rFonts w:ascii="仿宋_GB2312" w:hAnsi="宋体" w:eastAsia="仿宋_GB2312" w:cs="宋体"/>
          <w:bCs/>
          <w:sz w:val="32"/>
          <w:szCs w:val="32"/>
        </w:rPr>
        <w:t>[2011]285</w:t>
      </w:r>
      <w:r>
        <w:rPr>
          <w:rFonts w:hint="eastAsia" w:ascii="仿宋_GB2312" w:hAnsi="宋体" w:eastAsia="仿宋_GB2312" w:cs="宋体"/>
          <w:bCs/>
          <w:sz w:val="32"/>
          <w:szCs w:val="32"/>
        </w:rPr>
        <w:t>号）要求，对预算项目执行及工作活动进行了绩效评价，促进提高预算资金使用效率，并将绩效评价结果应用到实际工作中去，进一步提升了部门预算绩效管理工作水平。</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按照绩效评价的有关程序，组织具体项目单位对项目绩效开展了自我评价，在各单位自评的基础上，从项目年度目标、效率目标、项目管理和项目结果等方面进行了综合评价。通过评价，县委办公室各项职责、活动目标都圆满完成，保障了机关正常有效运转和县委各项重要事项的落实，总评定等级为：优。</w:t>
      </w:r>
    </w:p>
    <w:p>
      <w:pPr>
        <w:ind w:firstLine="640" w:firstLineChars="200"/>
        <w:rPr>
          <w:rFonts w:ascii="黑体" w:hAnsi="黑体" w:eastAsia="黑体" w:cs="宋体"/>
          <w:bCs/>
          <w:sz w:val="32"/>
          <w:szCs w:val="32"/>
        </w:rPr>
      </w:pPr>
      <w:r>
        <w:rPr>
          <w:rFonts w:hint="eastAsia" w:ascii="黑体" w:hAnsi="黑体" w:eastAsia="黑体" w:cs="宋体"/>
          <w:bCs/>
          <w:sz w:val="32"/>
          <w:szCs w:val="32"/>
        </w:rPr>
        <w:t>七、其他重要事项的说明</w:t>
      </w:r>
    </w:p>
    <w:p>
      <w:pPr>
        <w:ind w:firstLine="643" w:firstLineChars="200"/>
        <w:rPr>
          <w:rFonts w:ascii="楷体" w:hAnsi="楷体" w:eastAsia="楷体" w:cs="宋体"/>
          <w:b/>
          <w:bCs/>
          <w:sz w:val="32"/>
          <w:szCs w:val="32"/>
        </w:rPr>
      </w:pPr>
      <w:r>
        <w:rPr>
          <w:rFonts w:hint="eastAsia" w:ascii="楷体" w:hAnsi="楷体" w:eastAsia="楷体" w:cs="宋体"/>
          <w:b/>
          <w:bCs/>
          <w:sz w:val="32"/>
          <w:szCs w:val="32"/>
        </w:rPr>
        <w:t>（一）机关运行经费情况</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201</w:t>
      </w:r>
      <w:r>
        <w:rPr>
          <w:rFonts w:ascii="仿宋_GB2312" w:hAnsi="宋体" w:eastAsia="仿宋_GB2312" w:cs="宋体"/>
          <w:bCs/>
          <w:sz w:val="32"/>
          <w:szCs w:val="32"/>
        </w:rPr>
        <w:t>9</w:t>
      </w:r>
      <w:r>
        <w:rPr>
          <w:rFonts w:hint="eastAsia" w:ascii="仿宋_GB2312" w:hAnsi="宋体" w:eastAsia="仿宋_GB2312" w:cs="宋体"/>
          <w:bCs/>
          <w:sz w:val="32"/>
          <w:szCs w:val="32"/>
        </w:rPr>
        <w:t>年度本部门机关运行经费支出150.9万元，比201</w:t>
      </w:r>
      <w:r>
        <w:rPr>
          <w:rFonts w:ascii="仿宋_GB2312" w:hAnsi="宋体" w:eastAsia="仿宋_GB2312" w:cs="宋体"/>
          <w:bCs/>
          <w:sz w:val="32"/>
          <w:szCs w:val="32"/>
        </w:rPr>
        <w:t>8</w:t>
      </w:r>
      <w:r>
        <w:rPr>
          <w:rFonts w:hint="eastAsia" w:ascii="仿宋_GB2312" w:hAnsi="宋体" w:eastAsia="仿宋_GB2312" w:cs="宋体"/>
          <w:bCs/>
          <w:sz w:val="32"/>
          <w:szCs w:val="32"/>
        </w:rPr>
        <w:t>年增加54.06万元。主要原因是“两新一比”活动、铺设电子政务内网线路、省委应急调度指挥系统增加维护购置耗材支出。</w:t>
      </w:r>
    </w:p>
    <w:p>
      <w:pPr>
        <w:ind w:firstLine="643" w:firstLineChars="200"/>
        <w:rPr>
          <w:rFonts w:ascii="楷体" w:hAnsi="楷体" w:eastAsia="楷体" w:cs="宋体"/>
          <w:b/>
          <w:bCs/>
          <w:sz w:val="32"/>
          <w:szCs w:val="32"/>
        </w:rPr>
      </w:pPr>
      <w:r>
        <w:rPr>
          <w:rFonts w:hint="eastAsia" w:ascii="楷体" w:hAnsi="楷体" w:eastAsia="楷体" w:cs="宋体"/>
          <w:b/>
          <w:bCs/>
          <w:sz w:val="32"/>
          <w:szCs w:val="32"/>
        </w:rPr>
        <w:t>（二）政府采购情况的说明</w:t>
      </w:r>
    </w:p>
    <w:p>
      <w:pPr>
        <w:widowControl/>
        <w:spacing w:after="0"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eastAsia="仿宋_GB2312" w:cs="DengXian-Regular"/>
          <w:sz w:val="32"/>
          <w:szCs w:val="32"/>
        </w:rPr>
        <w:t>本部门201</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年度政府采购支出总额</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万元、政府采购服务支出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pPr>
        <w:ind w:firstLine="643" w:firstLineChars="200"/>
        <w:rPr>
          <w:rFonts w:ascii="楷体" w:hAnsi="楷体" w:eastAsia="楷体" w:cs="宋体"/>
          <w:b/>
          <w:bCs/>
          <w:sz w:val="32"/>
          <w:szCs w:val="32"/>
        </w:rPr>
      </w:pPr>
      <w:r>
        <w:rPr>
          <w:rFonts w:hint="eastAsia" w:ascii="楷体" w:hAnsi="楷体" w:eastAsia="楷体" w:cs="宋体"/>
          <w:b/>
          <w:bCs/>
          <w:sz w:val="32"/>
          <w:szCs w:val="32"/>
        </w:rPr>
        <w:t>（三）国有资产占用情况</w:t>
      </w:r>
    </w:p>
    <w:p>
      <w:pPr>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截止201</w:t>
      </w:r>
      <w:r>
        <w:rPr>
          <w:rFonts w:ascii="仿宋_GB2312" w:hAnsi="宋体" w:eastAsia="仿宋_GB2312" w:cs="宋体"/>
          <w:bCs/>
          <w:sz w:val="32"/>
          <w:szCs w:val="32"/>
        </w:rPr>
        <w:t>9</w:t>
      </w:r>
      <w:r>
        <w:rPr>
          <w:rFonts w:hint="eastAsia" w:ascii="仿宋_GB2312" w:hAnsi="宋体" w:eastAsia="仿宋_GB2312" w:cs="宋体"/>
          <w:bCs/>
          <w:sz w:val="32"/>
          <w:szCs w:val="32"/>
        </w:rPr>
        <w:t>年12月31日，本部门共有车辆</w:t>
      </w:r>
      <w:r>
        <w:rPr>
          <w:rFonts w:ascii="仿宋_GB2312" w:hAnsi="宋体" w:eastAsia="仿宋_GB2312" w:cs="宋体"/>
          <w:bCs/>
          <w:sz w:val="32"/>
          <w:szCs w:val="32"/>
        </w:rPr>
        <w:t>1</w:t>
      </w:r>
      <w:r>
        <w:rPr>
          <w:rFonts w:hint="eastAsia" w:ascii="仿宋_GB2312" w:hAnsi="宋体" w:eastAsia="仿宋_GB2312" w:cs="宋体"/>
          <w:bCs/>
          <w:sz w:val="32"/>
          <w:szCs w:val="32"/>
        </w:rPr>
        <w:t>辆，其中一般公务用车</w:t>
      </w:r>
      <w:r>
        <w:rPr>
          <w:rFonts w:ascii="仿宋_GB2312" w:hAnsi="宋体" w:eastAsia="仿宋_GB2312" w:cs="宋体"/>
          <w:bCs/>
          <w:sz w:val="32"/>
          <w:szCs w:val="32"/>
        </w:rPr>
        <w:t>1</w:t>
      </w:r>
      <w:r>
        <w:rPr>
          <w:rFonts w:hint="eastAsia" w:ascii="仿宋_GB2312" w:hAnsi="宋体" w:eastAsia="仿宋_GB2312" w:cs="宋体"/>
          <w:bCs/>
          <w:sz w:val="32"/>
          <w:szCs w:val="32"/>
        </w:rPr>
        <w:t>辆。</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eastAsia="仿宋_GB2312" w:cs="DengXian-Regular"/>
          <w:sz w:val="32"/>
          <w:szCs w:val="32"/>
        </w:rPr>
        <w:t>万元以上通用设备0台（套），比</w:t>
      </w:r>
      <w:r>
        <w:rPr>
          <w:rFonts w:hint="eastAsia" w:ascii="仿宋_GB2312" w:eastAsia="仿宋_GB2312" w:cs="DengXian-Regular"/>
          <w:sz w:val="32"/>
          <w:szCs w:val="32"/>
          <w:lang w:eastAsia="zh-CN"/>
        </w:rPr>
        <w:t>上年持平</w:t>
      </w:r>
      <w:r>
        <w:rPr>
          <w:rFonts w:hint="eastAsia" w:ascii="仿宋_GB2312" w:eastAsia="仿宋_GB2312" w:cs="DengXian-Regular"/>
          <w:sz w:val="32"/>
          <w:szCs w:val="32"/>
        </w:rPr>
        <w:t>，</w:t>
      </w:r>
      <w:r>
        <w:rPr>
          <w:rFonts w:hint="eastAsia" w:ascii="仿宋_GB2312" w:eastAsia="仿宋_GB2312" w:cs="DengXian-Regular"/>
          <w:sz w:val="32"/>
          <w:szCs w:val="32"/>
          <w:lang w:eastAsia="zh-CN"/>
        </w:rPr>
        <w:t>主要是无此项设备；</w:t>
      </w:r>
      <w:r>
        <w:rPr>
          <w:rFonts w:hint="eastAsia" w:ascii="仿宋_GB2312"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eastAsia="仿宋_GB2312" w:cs="DengXian-Regular"/>
          <w:sz w:val="32"/>
          <w:szCs w:val="32"/>
        </w:rPr>
        <w:t>万元以上专用设备0台（套）比上年</w:t>
      </w:r>
      <w:r>
        <w:rPr>
          <w:rFonts w:hint="eastAsia" w:ascii="仿宋_GB2312" w:eastAsia="仿宋_GB2312" w:cs="DengXian-Regular"/>
          <w:sz w:val="32"/>
          <w:szCs w:val="32"/>
          <w:lang w:eastAsia="zh-CN"/>
        </w:rPr>
        <w:t>持平，主要是无此项设备</w:t>
      </w:r>
      <w:r>
        <w:rPr>
          <w:rFonts w:hint="eastAsia" w:ascii="仿宋_GB2312" w:eastAsia="仿宋_GB2312" w:cs="DengXian-Regular"/>
          <w:sz w:val="32"/>
          <w:szCs w:val="32"/>
        </w:rPr>
        <w:t>。</w:t>
      </w:r>
    </w:p>
    <w:p>
      <w:pPr>
        <w:ind w:firstLine="640" w:firstLineChars="200"/>
        <w:jc w:val="center"/>
        <w:rPr>
          <w:rFonts w:ascii="黑体" w:hAnsi="黑体" w:eastAsia="黑体" w:cs="宋体"/>
          <w:bCs/>
          <w:sz w:val="32"/>
          <w:szCs w:val="32"/>
        </w:rPr>
      </w:pPr>
      <w:r>
        <w:rPr>
          <w:rFonts w:hint="eastAsia" w:ascii="黑体" w:hAnsi="黑体" w:eastAsia="黑体" w:cs="宋体"/>
          <w:bCs/>
          <w:sz w:val="32"/>
          <w:szCs w:val="32"/>
        </w:rPr>
        <w:t>第三部分  名词解释</w:t>
      </w:r>
    </w:p>
    <w:p>
      <w:pPr>
        <w:ind w:firstLine="640" w:firstLineChars="200"/>
        <w:rPr>
          <w:rFonts w:ascii="宋体" w:hAnsi="宋体" w:cs="宋体"/>
          <w:b/>
          <w:bCs/>
          <w:sz w:val="32"/>
          <w:szCs w:val="32"/>
        </w:rPr>
      </w:pPr>
      <w:r>
        <w:rPr>
          <w:rFonts w:hint="eastAsia" w:ascii="黑体" w:hAnsi="黑体" w:eastAsia="黑体" w:cs="宋体"/>
          <w:bCs/>
          <w:sz w:val="32"/>
          <w:szCs w:val="32"/>
        </w:rPr>
        <w:t>财政拨款收入：</w:t>
      </w:r>
      <w:r>
        <w:rPr>
          <w:rFonts w:hint="eastAsia" w:ascii="仿宋_GB2312" w:hAnsi="宋体" w:eastAsia="仿宋_GB2312" w:cs="宋体"/>
          <w:bCs/>
          <w:sz w:val="32"/>
          <w:szCs w:val="32"/>
        </w:rPr>
        <w:t>本年度从本级财政部门取得的财政拨款，包括一般公共预算拨款和政府性基金预算财政拨款。</w:t>
      </w:r>
    </w:p>
    <w:p>
      <w:pPr>
        <w:ind w:firstLine="640" w:firstLineChars="200"/>
        <w:rPr>
          <w:rFonts w:ascii="仿宋_GB2312" w:hAnsi="宋体" w:eastAsia="仿宋_GB2312" w:cs="宋体"/>
          <w:bCs/>
          <w:sz w:val="32"/>
          <w:szCs w:val="32"/>
        </w:rPr>
      </w:pPr>
      <w:r>
        <w:rPr>
          <w:rFonts w:hint="eastAsia" w:ascii="黑体" w:hAnsi="黑体" w:eastAsia="黑体" w:cs="宋体"/>
          <w:bCs/>
          <w:sz w:val="32"/>
          <w:szCs w:val="32"/>
        </w:rPr>
        <w:t>年初结转和结余：</w:t>
      </w:r>
      <w:r>
        <w:rPr>
          <w:rFonts w:hint="eastAsia" w:ascii="仿宋_GB2312" w:hAnsi="宋体" w:eastAsia="仿宋_GB2312" w:cs="宋体"/>
          <w:bCs/>
          <w:sz w:val="32"/>
          <w:szCs w:val="32"/>
        </w:rPr>
        <w:t>指以前年度尚未完成、结转到本年仍按原规定用途继续使用的资金，或项目已经完成等产生的结余资金。</w:t>
      </w:r>
    </w:p>
    <w:p>
      <w:pPr>
        <w:ind w:firstLine="640" w:firstLineChars="200"/>
        <w:rPr>
          <w:rFonts w:ascii="宋体" w:hAnsi="宋体" w:cs="宋体"/>
          <w:b/>
          <w:bCs/>
          <w:sz w:val="32"/>
          <w:szCs w:val="32"/>
        </w:rPr>
      </w:pPr>
      <w:r>
        <w:rPr>
          <w:rFonts w:hint="eastAsia" w:ascii="黑体" w:hAnsi="黑体" w:eastAsia="黑体" w:cs="宋体"/>
          <w:bCs/>
          <w:sz w:val="32"/>
          <w:szCs w:val="32"/>
        </w:rPr>
        <w:t>年末结转和结余：</w:t>
      </w:r>
      <w:r>
        <w:rPr>
          <w:rFonts w:hint="eastAsia" w:ascii="仿宋_GB2312" w:hAnsi="宋体" w:eastAsia="仿宋_GB2312" w:cs="宋体"/>
          <w:bCs/>
          <w:sz w:val="32"/>
          <w:szCs w:val="32"/>
        </w:rPr>
        <w:t>指单位按有关规定结转到下年或以后年度继续使用的资金，或项目已经完成等产生的结余资金。</w:t>
      </w:r>
    </w:p>
    <w:p>
      <w:pPr>
        <w:ind w:firstLine="640" w:firstLineChars="200"/>
        <w:rPr>
          <w:rFonts w:ascii="仿宋_GB2312" w:hAnsi="宋体" w:eastAsia="仿宋_GB2312" w:cs="宋体"/>
          <w:bCs/>
          <w:sz w:val="32"/>
          <w:szCs w:val="32"/>
        </w:rPr>
      </w:pPr>
      <w:r>
        <w:rPr>
          <w:rFonts w:hint="eastAsia" w:ascii="黑体" w:hAnsi="黑体" w:eastAsia="黑体" w:cs="宋体"/>
          <w:bCs/>
          <w:sz w:val="32"/>
          <w:szCs w:val="32"/>
        </w:rPr>
        <w:t>“三公” 经费：</w:t>
      </w:r>
      <w:r>
        <w:rPr>
          <w:rFonts w:hint="eastAsia" w:ascii="仿宋_GB2312" w:hAnsi="宋体" w:eastAsia="仿宋_GB2312" w:cs="宋体"/>
          <w:bCs/>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公车购置支出（含车辆购置税）及租用费、燃料费、维修费、过路过桥费、保险费、安全奖励等支出；公务接待费反映单位按规定开支的公务接待（含外宾接待）支出。</w:t>
      </w:r>
    </w:p>
    <w:p>
      <w:pPr>
        <w:ind w:firstLine="640" w:firstLineChars="200"/>
        <w:rPr>
          <w:rFonts w:ascii="仿宋_GB2312" w:hAnsi="宋体" w:eastAsia="仿宋_GB2312" w:cs="宋体"/>
          <w:bCs/>
          <w:sz w:val="32"/>
          <w:szCs w:val="32"/>
        </w:rPr>
      </w:pPr>
      <w:r>
        <w:rPr>
          <w:rFonts w:hint="eastAsia" w:ascii="黑体" w:hAnsi="黑体" w:eastAsia="黑体" w:cs="宋体"/>
          <w:bCs/>
          <w:sz w:val="32"/>
          <w:szCs w:val="32"/>
        </w:rPr>
        <w:t>机关运行费：</w:t>
      </w:r>
      <w:r>
        <w:rPr>
          <w:rFonts w:hint="eastAsia" w:ascii="仿宋_GB2312" w:hAnsi="宋体" w:eastAsia="仿宋_GB2312" w:cs="宋体"/>
          <w:bCs/>
          <w:sz w:val="32"/>
          <w:szCs w:val="32"/>
        </w:rPr>
        <w:t>指为保障行政单位（包括参照公务员法管理的事业单位</w:t>
      </w:r>
      <w:r>
        <w:rPr>
          <w:rFonts w:ascii="仿宋_GB2312" w:hAnsi="宋体" w:eastAsia="仿宋_GB2312" w:cs="宋体"/>
          <w:bCs/>
          <w:sz w:val="32"/>
          <w:szCs w:val="32"/>
        </w:rPr>
        <w:t>）</w:t>
      </w:r>
      <w:r>
        <w:rPr>
          <w:rFonts w:hint="eastAsia" w:ascii="仿宋_GB2312" w:hAnsi="宋体" w:eastAsia="仿宋_GB2312" w:cs="宋体"/>
          <w:bCs/>
          <w:sz w:val="32"/>
          <w:szCs w:val="32"/>
        </w:rPr>
        <w:t>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ind w:firstLine="1260" w:firstLineChars="600"/>
        <w:jc w:val="left"/>
        <w:rPr>
          <w:rFonts w:ascii="仿宋" w:hAnsi="仿宋" w:eastAsia="仿宋" w:cs="仿宋_GB2312"/>
          <w:bCs/>
        </w:rPr>
        <w:sectPr>
          <w:pgSz w:w="11906" w:h="16838"/>
          <w:pgMar w:top="1440" w:right="1800" w:bottom="1440" w:left="1800" w:header="851" w:footer="992" w:gutter="0"/>
          <w:cols w:space="425" w:num="1"/>
          <w:docGrid w:type="lines" w:linePitch="312" w:charSpace="0"/>
        </w:sectPr>
      </w:pPr>
    </w:p>
    <w:p>
      <w:pPr>
        <w:tabs>
          <w:tab w:val="left" w:pos="235"/>
        </w:tabs>
        <w:jc w:val="left"/>
        <w:sectPr>
          <w:headerReference r:id="rId6" w:type="default"/>
          <w:pgSz w:w="11906" w:h="16838"/>
          <w:pgMar w:top="2098" w:right="1474" w:bottom="1985" w:left="1588" w:header="851" w:footer="992" w:gutter="0"/>
          <w:pgNumType w:fmt="numberInDash"/>
          <w:cols w:space="425" w:num="1"/>
          <w:docGrid w:type="lines" w:linePitch="312" w:charSpace="0"/>
        </w:sectPr>
      </w:pPr>
      <w:r>
        <w:rPr>
          <w:sz w:val="72"/>
        </w:rPr>
        <w:pict>
          <v:shape id="_x0000_s1026" o:spid="_x0000_s1026" o:spt="202" type="#_x0000_t202" style="position:absolute;left:0pt;margin-left:-82.05pt;margin-top:135.85pt;height:263.1pt;width:613.65pt;z-index:-251657216;v-text-anchor:middle;mso-width-relative:page;mso-height-relative:page;" fillcolor="#FFD966" filled="t" stroked="t" coordsize="21600,21600" o:gfxdata="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eCFN0AAAANAQAADwAAAAAAAAABACAAAAAiAAAAZHJzL2Rvd25yZXYueG1sUEsBAhQAFAAA&#10;AAgAh07iQHsOYltcAgAAugQAAA4AAAAAAAAAAQAgAAAALAEAAGRycy9lMm9Eb2MueG1sUEsFBgAA&#10;AAAGAAYAWQEAAPoFAAAAAA==&#10;">
            <v:path/>
            <v:fill type="pattern" on="t" color2="#FFFFFF" o:title="image1" focussize="0,0" r:id="rId8"/>
            <v:stroke weight="0.5pt" color="#FFD966" joinstyle="round"/>
            <v:imagedata o:title=""/>
            <o:lock v:ext="edit"/>
            <v:textbox>
              <w:txbxContent>
                <w:p>
                  <w:pPr>
                    <w:widowControl/>
                    <w:jc w:val="center"/>
                    <w:rPr>
                      <w:rFonts w:ascii="黑体" w:hAnsi="黑体" w:eastAsia="黑体" w:cs="黑体"/>
                      <w:color w:val="000000" w:themeColor="text1"/>
                      <w:sz w:val="90"/>
                      <w:szCs w:val="90"/>
                    </w:rPr>
                  </w:pPr>
                  <w:r>
                    <w:rPr>
                      <w:rFonts w:hint="eastAsia" w:ascii="黑体" w:hAnsi="黑体" w:eastAsia="黑体" w:cs="黑体"/>
                      <w:color w:val="000000" w:themeColor="text1"/>
                      <w:sz w:val="90"/>
                      <w:szCs w:val="90"/>
                    </w:rPr>
                    <w:t xml:space="preserve">第四部分 </w:t>
                  </w:r>
                </w:p>
                <w:p>
                  <w:pPr>
                    <w:widowControl/>
                    <w:jc w:val="center"/>
                  </w:pPr>
                  <w:r>
                    <w:rPr>
                      <w:rFonts w:hint="eastAsia" w:ascii="黑体" w:hAnsi="黑体" w:eastAsia="黑体" w:cs="黑体"/>
                      <w:color w:val="000000" w:themeColor="text1"/>
                      <w:sz w:val="90"/>
                      <w:szCs w:val="90"/>
                    </w:rPr>
                    <w:t>2019年度部门决算报表</w:t>
                  </w:r>
                </w:p>
              </w:txbxContent>
            </v:textbox>
          </v:shape>
        </w:pict>
      </w:r>
    </w:p>
    <w:p>
      <w:pPr>
        <w:tabs>
          <w:tab w:val="left" w:pos="886"/>
        </w:tabs>
        <w:jc w:val="left"/>
      </w:pPr>
    </w:p>
    <w:p>
      <w:pPr>
        <w:jc w:val="left"/>
      </w:pPr>
    </w:p>
    <w:tbl>
      <w:tblPr>
        <w:tblStyle w:val="4"/>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3236"/>
        <w:gridCol w:w="731"/>
        <w:gridCol w:w="691"/>
        <w:gridCol w:w="3474"/>
        <w:gridCol w:w="541"/>
        <w:gridCol w:w="844"/>
      </w:tblGrid>
      <w:tr>
        <w:tblPrEx>
          <w:tblCellMar>
            <w:top w:w="0" w:type="dxa"/>
            <w:left w:w="0" w:type="dxa"/>
            <w:bottom w:w="0" w:type="dxa"/>
            <w:right w:w="0" w:type="dxa"/>
          </w:tblCellMar>
        </w:tblPrEx>
        <w:trPr>
          <w:trHeight w:val="489"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bottom"/>
          </w:tcPr>
          <w:p>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tblPrEx>
          <w:tblCellMar>
            <w:top w:w="0" w:type="dxa"/>
            <w:left w:w="0" w:type="dxa"/>
            <w:bottom w:w="0" w:type="dxa"/>
            <w:right w:w="0" w:type="dxa"/>
          </w:tblCellMar>
        </w:tblPrEx>
        <w:trPr>
          <w:trHeight w:val="205"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tblPrEx>
          <w:tblCellMar>
            <w:top w:w="0" w:type="dxa"/>
            <w:left w:w="0" w:type="dxa"/>
            <w:bottom w:w="0" w:type="dxa"/>
            <w:right w:w="0" w:type="dxa"/>
          </w:tblCellMar>
        </w:tblPrEx>
        <w:trPr>
          <w:trHeight w:val="421" w:hRule="atLeast"/>
          <w:jc w:val="center"/>
        </w:trPr>
        <w:tc>
          <w:tcPr>
            <w:tcW w:w="323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15"/>
                <w:szCs w:val="15"/>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73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9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859"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284" w:hRule="atLeast"/>
          <w:jc w:val="center"/>
        </w:trPr>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收入</w:t>
            </w:r>
          </w:p>
        </w:tc>
        <w:tc>
          <w:tcPr>
            <w:tcW w:w="4859"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支出</w:t>
            </w:r>
          </w:p>
        </w:tc>
      </w:tr>
      <w:tr>
        <w:tblPrEx>
          <w:tblCellMar>
            <w:top w:w="0" w:type="dxa"/>
            <w:left w:w="0" w:type="dxa"/>
            <w:bottom w:w="0" w:type="dxa"/>
            <w:right w:w="0" w:type="dxa"/>
          </w:tblCellMar>
        </w:tblPrEx>
        <w:trPr>
          <w:trHeight w:val="770"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734.63</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674.78</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182"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三、上级补助收入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四、事业收入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五、经营收入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六、附属单位上缴收入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七、其他收入</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七、文化旅游体育与传媒支出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九、卫生健康支出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十八、自然资源海洋气象等支出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二十一、灾害防治及应急管理支出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二十二、其他支出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二十四、债务付息支出</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734.63</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827.41</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用事业基金弥补收支差额</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结余分配</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122.92</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30.14</w:t>
            </w: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r>
      <w:tr>
        <w:tblPrEx>
          <w:tblCellMar>
            <w:top w:w="0" w:type="dxa"/>
            <w:left w:w="0" w:type="dxa"/>
            <w:bottom w:w="0" w:type="dxa"/>
            <w:right w:w="0" w:type="dxa"/>
          </w:tblCellMar>
        </w:tblPrEx>
        <w:trPr>
          <w:trHeight w:val="213" w:hRule="atLeast"/>
          <w:jc w:val="center"/>
        </w:trPr>
        <w:tc>
          <w:tcPr>
            <w:tcW w:w="32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7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6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857.55</w:t>
            </w:r>
          </w:p>
        </w:tc>
        <w:tc>
          <w:tcPr>
            <w:tcW w:w="3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5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857.55</w:t>
            </w:r>
          </w:p>
        </w:tc>
      </w:tr>
      <w:tr>
        <w:tblPrEx>
          <w:tblCellMar>
            <w:top w:w="0" w:type="dxa"/>
            <w:left w:w="0" w:type="dxa"/>
            <w:bottom w:w="0" w:type="dxa"/>
            <w:right w:w="0" w:type="dxa"/>
          </w:tblCellMar>
        </w:tblPrEx>
        <w:trPr>
          <w:trHeight w:val="213" w:hRule="atLeast"/>
          <w:jc w:val="center"/>
        </w:trPr>
        <w:tc>
          <w:tcPr>
            <w:tcW w:w="9517"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注：本表反映部门本年度的总收支和年末结转结余情况。</w:t>
            </w:r>
          </w:p>
          <w:p>
            <w:pPr>
              <w:widowControl/>
              <w:jc w:val="left"/>
              <w:textAlignment w:val="center"/>
              <w:rPr>
                <w:rFonts w:ascii="宋体" w:hAnsi="宋体" w:eastAsia="宋体" w:cs="宋体"/>
                <w:color w:val="000000"/>
                <w:kern w:val="0"/>
                <w:sz w:val="22"/>
                <w:szCs w:val="22"/>
              </w:rPr>
            </w:pPr>
          </w:p>
          <w:p>
            <w:pPr>
              <w:widowControl/>
              <w:jc w:val="left"/>
              <w:textAlignment w:val="center"/>
              <w:rPr>
                <w:rFonts w:ascii="宋体" w:hAnsi="宋体" w:eastAsia="宋体" w:cs="宋体"/>
                <w:color w:val="000000"/>
                <w:kern w:val="0"/>
                <w:sz w:val="22"/>
                <w:szCs w:val="22"/>
              </w:rPr>
            </w:pPr>
          </w:p>
        </w:tc>
      </w:tr>
    </w:tbl>
    <w:tbl>
      <w:tblPr>
        <w:tblStyle w:val="4"/>
        <w:tblW w:w="9580" w:type="dxa"/>
        <w:jc w:val="center"/>
        <w:tblLayout w:type="fixed"/>
        <w:tblCellMar>
          <w:top w:w="0" w:type="dxa"/>
          <w:left w:w="0" w:type="dxa"/>
          <w:bottom w:w="0" w:type="dxa"/>
          <w:right w:w="0" w:type="dxa"/>
        </w:tblCellMar>
      </w:tblPr>
      <w:tblGrid>
        <w:gridCol w:w="1008"/>
        <w:gridCol w:w="58"/>
        <w:gridCol w:w="58"/>
        <w:gridCol w:w="1455"/>
        <w:gridCol w:w="1000"/>
        <w:gridCol w:w="1000"/>
        <w:gridCol w:w="1000"/>
        <w:gridCol w:w="1000"/>
        <w:gridCol w:w="1000"/>
        <w:gridCol w:w="1000"/>
        <w:gridCol w:w="1001"/>
      </w:tblGrid>
      <w:tr>
        <w:tblPrEx>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黑体" w:hAnsi="宋体" w:eastAsia="黑体" w:cs="黑体"/>
                <w:color w:val="000000"/>
                <w:kern w:val="0"/>
                <w:sz w:val="32"/>
                <w:szCs w:val="32"/>
              </w:rPr>
            </w:pPr>
          </w:p>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rPr>
              <w:t>收入决算表</w:t>
            </w:r>
          </w:p>
        </w:tc>
      </w:tr>
      <w:tr>
        <w:tblPrEx>
          <w:tblCellMar>
            <w:top w:w="0" w:type="dxa"/>
            <w:left w:w="0" w:type="dxa"/>
            <w:bottom w:w="0" w:type="dxa"/>
            <w:right w:w="0" w:type="dxa"/>
          </w:tblCellMar>
        </w:tblPrEx>
        <w:trPr>
          <w:trHeight w:val="357" w:hRule="atLeast"/>
          <w:jc w:val="center"/>
        </w:trPr>
        <w:tc>
          <w:tcPr>
            <w:tcW w:w="100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01"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tblPrEx>
          <w:tblCellMar>
            <w:top w:w="0" w:type="dxa"/>
            <w:left w:w="0" w:type="dxa"/>
            <w:bottom w:w="0" w:type="dxa"/>
            <w:right w:w="0" w:type="dxa"/>
          </w:tblCellMar>
        </w:tblPrEx>
        <w:trPr>
          <w:trHeight w:val="357" w:hRule="atLeast"/>
          <w:jc w:val="center"/>
        </w:trPr>
        <w:tc>
          <w:tcPr>
            <w:tcW w:w="3579" w:type="dxa"/>
            <w:gridSpan w:val="5"/>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00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01"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85" w:hRule="atLeast"/>
          <w:jc w:val="center"/>
        </w:trPr>
        <w:tc>
          <w:tcPr>
            <w:tcW w:w="257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100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10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tblPrEx>
          <w:tblCellMar>
            <w:top w:w="0" w:type="dxa"/>
            <w:left w:w="0" w:type="dxa"/>
            <w:bottom w:w="0" w:type="dxa"/>
            <w:right w:w="0" w:type="dxa"/>
          </w:tblCellMar>
        </w:tblPrEx>
        <w:trPr>
          <w:trHeight w:val="380" w:hRule="atLeast"/>
          <w:jc w:val="center"/>
        </w:trPr>
        <w:tc>
          <w:tcPr>
            <w:tcW w:w="1124"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4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0" w:hRule="atLeast"/>
          <w:jc w:val="center"/>
        </w:trPr>
        <w:tc>
          <w:tcPr>
            <w:tcW w:w="1124"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0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r>
      <w:tr>
        <w:tblPrEx>
          <w:tblCellMar>
            <w:top w:w="0" w:type="dxa"/>
            <w:left w:w="0" w:type="dxa"/>
            <w:bottom w:w="0" w:type="dxa"/>
            <w:right w:w="0" w:type="dxa"/>
          </w:tblCellMar>
        </w:tblPrEx>
        <w:trPr>
          <w:trHeight w:val="385" w:hRule="atLeast"/>
          <w:jc w:val="center"/>
        </w:trPr>
        <w:tc>
          <w:tcPr>
            <w:tcW w:w="2579"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734.63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734.63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582.00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582.00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2012950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427.28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427.28</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351.33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351.33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2013150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72.35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72.35</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2013199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其他党委办公厅（室）及相关机构事务支出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55.33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55.33</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2013650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事业运行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67.84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67.84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公共安全支出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20409</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国家保密</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2040901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行政运行</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社会保障和就业支出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52.06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52.06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行政事业单位离退休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52.06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52.06</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2080502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事业单位离退休</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18.32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18.32</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2080505</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机关事业单位基本养老保险缴费支出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33.74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33.74</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卫生健康支出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17.57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行政单位医疗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9.87</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2101102</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事业单位医疗</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7.70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7.70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213</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农林水支出</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21301</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农业</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1124"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2130124</w:t>
            </w:r>
          </w:p>
        </w:tc>
        <w:tc>
          <w:tcPr>
            <w:tcW w:w="14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农业组织化与产业化经营</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w:t>
            </w: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w:t>
            </w:r>
          </w:p>
        </w:tc>
      </w:tr>
    </w:tbl>
    <w:p>
      <w:pPr>
        <w:jc w:val="left"/>
      </w:pPr>
    </w:p>
    <w:p>
      <w:r>
        <w:br w:type="page"/>
      </w:r>
    </w:p>
    <w:tbl>
      <w:tblPr>
        <w:tblStyle w:val="4"/>
        <w:tblW w:w="1089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gridCol w:w="1210"/>
      </w:tblGrid>
      <w:tr>
        <w:tblPrEx>
          <w:tblCellMar>
            <w:top w:w="0" w:type="dxa"/>
            <w:left w:w="0" w:type="dxa"/>
            <w:bottom w:w="0" w:type="dxa"/>
            <w:right w:w="0" w:type="dxa"/>
          </w:tblCellMar>
        </w:tblPrEx>
        <w:trPr>
          <w:gridAfter w:val="1"/>
          <w:wAfter w:w="1210" w:type="dxa"/>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r>
        <w:tblPrEx>
          <w:tblCellMar>
            <w:top w:w="0" w:type="dxa"/>
            <w:left w:w="0" w:type="dxa"/>
            <w:bottom w:w="0" w:type="dxa"/>
            <w:right w:w="0" w:type="dxa"/>
          </w:tblCellMar>
        </w:tblPrEx>
        <w:trPr>
          <w:gridAfter w:val="1"/>
          <w:wAfter w:w="1210" w:type="dxa"/>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tblPrEx>
          <w:tblCellMar>
            <w:top w:w="0" w:type="dxa"/>
            <w:left w:w="0" w:type="dxa"/>
            <w:bottom w:w="0" w:type="dxa"/>
            <w:right w:w="0" w:type="dxa"/>
          </w:tblCellMar>
        </w:tblPrEx>
        <w:trPr>
          <w:gridAfter w:val="1"/>
          <w:wAfter w:w="1210" w:type="dxa"/>
          <w:trHeight w:val="313" w:hRule="atLeast"/>
          <w:jc w:val="center"/>
        </w:trPr>
        <w:tc>
          <w:tcPr>
            <w:tcW w:w="3625" w:type="dxa"/>
            <w:gridSpan w:val="5"/>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gridAfter w:val="1"/>
          <w:wAfter w:w="1210" w:type="dxa"/>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tblPrEx>
          <w:tblCellMar>
            <w:top w:w="0" w:type="dxa"/>
            <w:left w:w="0" w:type="dxa"/>
            <w:bottom w:w="0" w:type="dxa"/>
            <w:right w:w="0" w:type="dxa"/>
          </w:tblCellMar>
        </w:tblPrEx>
        <w:trPr>
          <w:gridAfter w:val="1"/>
          <w:wAfter w:w="1210" w:type="dxa"/>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gridAfter w:val="1"/>
          <w:wAfter w:w="1210" w:type="dxa"/>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gridAfter w:val="1"/>
          <w:wAfter w:w="1210" w:type="dxa"/>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gridAfter w:val="1"/>
          <w:wAfter w:w="1210" w:type="dxa"/>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gridAfter w:val="1"/>
          <w:wAfter w:w="1210" w:type="dxa"/>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827.41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555.12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272.29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674.78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482.48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2012950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327.76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135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1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443.20</w:t>
            </w:r>
          </w:p>
        </w:tc>
        <w:tc>
          <w:tcPr>
            <w:tcW w:w="11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250.90</w:t>
            </w:r>
          </w:p>
        </w:tc>
        <w:tc>
          <w:tcPr>
            <w:tcW w:w="11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c>
          <w:tcPr>
            <w:tcW w:w="11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6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41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210" w:type="dxa"/>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2013150</w:t>
            </w:r>
          </w:p>
        </w:tc>
        <w:tc>
          <w:tcPr>
            <w:tcW w:w="1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pPr>
            <w:r>
              <w:rPr>
                <w:rFonts w:hint="eastAsia" w:ascii="宋体" w:hAnsi="宋体" w:eastAsia="宋体" w:cs="宋体"/>
                <w:color w:val="000000"/>
                <w:kern w:val="0"/>
                <w:sz w:val="22"/>
                <w:szCs w:val="22"/>
              </w:rPr>
              <w:t xml:space="preserve">  事业运行</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eastAsia="宋体" w:cs="宋体"/>
                <w:color w:val="000000"/>
                <w:kern w:val="0"/>
                <w:sz w:val="22"/>
                <w:szCs w:val="22"/>
              </w:rPr>
              <w:t>73.26</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pPr>
            <w:r>
              <w:rPr>
                <w:rFonts w:hint="eastAsia" w:ascii="宋体" w:hAnsi="宋体" w:eastAsia="宋体" w:cs="宋体"/>
                <w:color w:val="000000"/>
                <w:kern w:val="0"/>
                <w:sz w:val="22"/>
                <w:szCs w:val="22"/>
              </w:rPr>
              <w:t>73.26</w:t>
            </w: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2013199</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2"/>
                <w:szCs w:val="22"/>
              </w:rPr>
              <w:t xml:space="preserve">  其他党委办公厅（室）及相关机构事务支出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3.60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3.60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2"/>
                <w:szCs w:val="22"/>
              </w:rPr>
              <w:t>其他共产党事务支出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123.17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123.17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pPr>
            <w:r>
              <w:rPr>
                <w:rFonts w:hint="eastAsia" w:ascii="宋体" w:hAnsi="宋体" w:eastAsia="宋体" w:cs="宋体"/>
                <w:color w:val="000000"/>
                <w:kern w:val="0"/>
                <w:sz w:val="22"/>
                <w:szCs w:val="22"/>
              </w:rPr>
              <w:t xml:space="preserve">  行政运行</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55.33</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55.33</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2013650</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67.84</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67.84</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公共安全支出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20409</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国家保密</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2040901</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2080502</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事业单位离退休</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18.32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18.32</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33.74</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33.74</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9.87</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农林水支出</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21301</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r>
        <w:tblPrEx>
          <w:tblCellMar>
            <w:top w:w="0" w:type="dxa"/>
            <w:left w:w="0" w:type="dxa"/>
            <w:bottom w:w="0" w:type="dxa"/>
            <w:right w:w="0" w:type="dxa"/>
          </w:tblCellMar>
        </w:tblPrEx>
        <w:trPr>
          <w:trHeight w:val="323" w:hRule="atLeast"/>
          <w:jc w:val="center"/>
        </w:trPr>
        <w:tc>
          <w:tcPr>
            <w:tcW w:w="11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2130124</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农业组织化与产业化经营</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pPr>
            <w:r>
              <w:rPr>
                <w:rFonts w:hint="eastAsia" w:ascii="宋体" w:hAnsi="宋体" w:eastAsia="宋体" w:cs="宋体"/>
                <w:color w:val="000000"/>
                <w:kern w:val="0"/>
                <w:sz w:val="22"/>
                <w:szCs w:val="22"/>
              </w:rPr>
              <w:t>80.00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41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pPr>
          </w:p>
        </w:tc>
        <w:tc>
          <w:tcPr>
            <w:tcW w:w="1210" w:type="dxa"/>
            <w:tcBorders>
              <w:left w:val="single" w:color="auto" w:sz="4" w:space="0"/>
            </w:tcBorders>
            <w:shd w:val="clear" w:color="auto" w:fill="auto"/>
            <w:vAlign w:val="center"/>
          </w:tcPr>
          <w:p>
            <w:pPr>
              <w:jc w:val="right"/>
            </w:pPr>
          </w:p>
        </w:tc>
      </w:tr>
    </w:tbl>
    <w:p>
      <w:r>
        <w:rPr>
          <w:rFonts w:hint="eastAsia"/>
        </w:rPr>
        <w:t>注：本表反映部门本年度各项支出情况。</w:t>
      </w:r>
      <w:r>
        <w:br w:type="page"/>
      </w:r>
    </w:p>
    <w:tbl>
      <w:tblPr>
        <w:tblStyle w:val="4"/>
        <w:tblW w:w="9520" w:type="dxa"/>
        <w:jc w:val="center"/>
        <w:tblLayout w:type="fixed"/>
        <w:tblCellMar>
          <w:top w:w="0" w:type="dxa"/>
          <w:left w:w="0" w:type="dxa"/>
          <w:bottom w:w="0" w:type="dxa"/>
          <w:right w:w="0" w:type="dxa"/>
        </w:tblCellMar>
      </w:tblPr>
      <w:tblGrid>
        <w:gridCol w:w="2922"/>
        <w:gridCol w:w="425"/>
        <w:gridCol w:w="662"/>
        <w:gridCol w:w="2946"/>
        <w:gridCol w:w="507"/>
        <w:gridCol w:w="414"/>
        <w:gridCol w:w="855"/>
        <w:gridCol w:w="789"/>
      </w:tblGrid>
      <w:tr>
        <w:tblPrEx>
          <w:tblCellMar>
            <w:top w:w="0" w:type="dxa"/>
            <w:left w:w="0" w:type="dxa"/>
            <w:bottom w:w="0" w:type="dxa"/>
            <w:right w:w="0" w:type="dxa"/>
          </w:tblCellMar>
        </w:tblPrEx>
        <w:trPr>
          <w:trHeight w:val="406"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bottom"/>
          </w:tcPr>
          <w:p>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tblPrEx>
          <w:tblCellMar>
            <w:top w:w="0" w:type="dxa"/>
            <w:left w:w="0" w:type="dxa"/>
            <w:bottom w:w="0" w:type="dxa"/>
            <w:right w:w="0" w:type="dxa"/>
          </w:tblCellMar>
        </w:tblPrEx>
        <w:trPr>
          <w:trHeight w:val="90" w:hRule="atLeast"/>
          <w:jc w:val="center"/>
        </w:trPr>
        <w:tc>
          <w:tcPr>
            <w:tcW w:w="2922"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4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6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94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58"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90" w:hRule="atLeast"/>
          <w:jc w:val="center"/>
        </w:trPr>
        <w:tc>
          <w:tcPr>
            <w:tcW w:w="40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收     入</w:t>
            </w:r>
          </w:p>
        </w:tc>
        <w:tc>
          <w:tcPr>
            <w:tcW w:w="5511"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     出</w:t>
            </w:r>
          </w:p>
        </w:tc>
      </w:tr>
      <w:tr>
        <w:tblPrEx>
          <w:tblCellMar>
            <w:top w:w="0" w:type="dxa"/>
            <w:left w:w="0" w:type="dxa"/>
            <w:bottom w:w="0" w:type="dxa"/>
            <w:right w:w="0" w:type="dxa"/>
          </w:tblCellMar>
        </w:tblPrEx>
        <w:trPr>
          <w:trHeight w:val="312" w:hRule="atLeast"/>
          <w:jc w:val="center"/>
        </w:trPr>
        <w:tc>
          <w:tcPr>
            <w:tcW w:w="29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4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6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w:t>
            </w:r>
          </w:p>
        </w:tc>
        <w:tc>
          <w:tcPr>
            <w:tcW w:w="29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5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行次</w:t>
            </w:r>
          </w:p>
        </w:tc>
        <w:tc>
          <w:tcPr>
            <w:tcW w:w="4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一般公共预算财政拨款</w:t>
            </w:r>
          </w:p>
        </w:tc>
        <w:tc>
          <w:tcPr>
            <w:tcW w:w="7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政府性基金预算财政拨款</w:t>
            </w:r>
          </w:p>
        </w:tc>
      </w:tr>
      <w:tr>
        <w:tblPrEx>
          <w:tblCellMar>
            <w:top w:w="0" w:type="dxa"/>
            <w:left w:w="0" w:type="dxa"/>
            <w:bottom w:w="0" w:type="dxa"/>
            <w:right w:w="0" w:type="dxa"/>
          </w:tblCellMar>
        </w:tblPrEx>
        <w:trPr>
          <w:trHeight w:val="312" w:hRule="atLeast"/>
          <w:jc w:val="center"/>
        </w:trPr>
        <w:tc>
          <w:tcPr>
            <w:tcW w:w="29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4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6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9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5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4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7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栏次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734.63</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一、一般公共服务支出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674.78</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674.78</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二、外交支出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三、国防支出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四、公共安全支出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五、教育支出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六、科学技术支出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七、文化旅游体育与传媒支出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八、社会保障和就业支出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九、卫生健康支出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十、节能环保支出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十一、城乡社区支出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十二、农林水支出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十三、交通运输支出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十四、资源勘探信息等支出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十五、商业服务业等支出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十六、金融支出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十七、援助其他地区支出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1"/>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十八、自然资源海洋气象等支出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十九、住房保障支出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二十、粮油物资储备支出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49</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 w:val="20"/>
                <w:szCs w:val="20"/>
              </w:rPr>
              <w:t>二十一、灾害防治及应急管理支出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50</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二十二、其他支出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51</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二十四、债务付息支出</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本年收入合计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734.63</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本年支出合计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827.41</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827.41</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年初财政拨款结转和结余</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122.92</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年末财政拨款结转和结余</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54</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30.14</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30.14</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一、一般公共预算财政拨款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122.92</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二、政府性基金预算财政拨款</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27</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56</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28</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57</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29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4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29</w:t>
            </w:r>
          </w:p>
        </w:tc>
        <w:tc>
          <w:tcPr>
            <w:tcW w:w="6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857.55</w:t>
            </w:r>
          </w:p>
        </w:tc>
        <w:tc>
          <w:tcPr>
            <w:tcW w:w="29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总计</w:t>
            </w:r>
          </w:p>
        </w:tc>
        <w:tc>
          <w:tcPr>
            <w:tcW w:w="5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58</w:t>
            </w:r>
          </w:p>
        </w:tc>
        <w:tc>
          <w:tcPr>
            <w:tcW w:w="41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857.55</w:t>
            </w:r>
          </w:p>
        </w:tc>
        <w:tc>
          <w:tcPr>
            <w:tcW w:w="8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857.55</w:t>
            </w:r>
          </w:p>
        </w:tc>
        <w:tc>
          <w:tcPr>
            <w:tcW w:w="7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jc w:val="center"/>
        </w:trPr>
        <w:tc>
          <w:tcPr>
            <w:tcW w:w="9520" w:type="dxa"/>
            <w:gridSpan w:val="8"/>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注：本表反映部门本年度一般公共预算财政拨款和政府性基金预算财政拨款的总收支和年末结转结余情况。</w:t>
            </w:r>
          </w:p>
        </w:tc>
      </w:tr>
    </w:tbl>
    <w:p>
      <w:r>
        <w:br w:type="page"/>
      </w:r>
    </w:p>
    <w:tbl>
      <w:tblPr>
        <w:tblStyle w:val="4"/>
        <w:tblW w:w="9990" w:type="dxa"/>
        <w:jc w:val="center"/>
        <w:tblLayout w:type="fixed"/>
        <w:tblCellMar>
          <w:top w:w="0" w:type="dxa"/>
          <w:left w:w="0" w:type="dxa"/>
          <w:bottom w:w="0" w:type="dxa"/>
          <w:right w:w="0" w:type="dxa"/>
        </w:tblCellMar>
      </w:tblPr>
      <w:tblGrid>
        <w:gridCol w:w="1174"/>
        <w:gridCol w:w="67"/>
        <w:gridCol w:w="67"/>
        <w:gridCol w:w="1695"/>
        <w:gridCol w:w="2329"/>
        <w:gridCol w:w="2329"/>
        <w:gridCol w:w="2329"/>
      </w:tblGrid>
      <w:tr>
        <w:tblPrEx>
          <w:tblCellMar>
            <w:top w:w="0" w:type="dxa"/>
            <w:left w:w="0" w:type="dxa"/>
            <w:bottom w:w="0" w:type="dxa"/>
            <w:right w:w="0" w:type="dxa"/>
          </w:tblCellMar>
        </w:tblPrEx>
        <w:trPr>
          <w:trHeight w:val="600" w:hRule="atLeast"/>
          <w:jc w:val="center"/>
        </w:trPr>
        <w:tc>
          <w:tcPr>
            <w:tcW w:w="9990"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11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9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2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tblPrEx>
          <w:tblCellMar>
            <w:top w:w="0" w:type="dxa"/>
            <w:left w:w="0" w:type="dxa"/>
            <w:bottom w:w="0" w:type="dxa"/>
            <w:right w:w="0" w:type="dxa"/>
          </w:tblCellMar>
        </w:tblPrEx>
        <w:trPr>
          <w:trHeight w:val="255" w:hRule="atLeast"/>
          <w:jc w:val="center"/>
        </w:trPr>
        <w:tc>
          <w:tcPr>
            <w:tcW w:w="5332" w:type="dxa"/>
            <w:gridSpan w:val="5"/>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4658"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30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698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0" w:type="dxa"/>
            <w:bottom w:w="0" w:type="dxa"/>
            <w:right w:w="0" w:type="dxa"/>
          </w:tblCellMar>
        </w:tblPrEx>
        <w:trPr>
          <w:trHeight w:val="312" w:hRule="atLeast"/>
          <w:jc w:val="center"/>
        </w:trPr>
        <w:tc>
          <w:tcPr>
            <w:tcW w:w="1308"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6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23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jc w:val="center"/>
        </w:trPr>
        <w:tc>
          <w:tcPr>
            <w:tcW w:w="1308"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6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23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308" w:hRule="atLeast"/>
          <w:jc w:val="center"/>
        </w:trPr>
        <w:tc>
          <w:tcPr>
            <w:tcW w:w="3003"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827.41</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555.12</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272.29</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674.78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482.48</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群众团体事务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31.54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2012901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24.10</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2012950</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7.44</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党委办公厅（室）及相关机构事务</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520.06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327.76</w:t>
            </w:r>
          </w:p>
        </w:tc>
        <w:tc>
          <w:tcPr>
            <w:tcW w:w="2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r>
      <w:tr>
        <w:tblPrEx>
          <w:tblCellMar>
            <w:top w:w="0" w:type="dxa"/>
            <w:left w:w="0" w:type="dxa"/>
            <w:bottom w:w="0" w:type="dxa"/>
            <w:right w:w="0" w:type="dxa"/>
          </w:tblCellMar>
        </w:tblPrEx>
        <w:trPr>
          <w:trHeight w:val="308" w:hRule="atLeast"/>
          <w:jc w:val="center"/>
        </w:trPr>
        <w:tc>
          <w:tcPr>
            <w:tcW w:w="1308" w:type="dxa"/>
            <w:gridSpan w:val="3"/>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2013101</w:t>
            </w:r>
          </w:p>
        </w:tc>
        <w:tc>
          <w:tcPr>
            <w:tcW w:w="169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443.20</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250.90</w:t>
            </w:r>
          </w:p>
        </w:tc>
        <w:tc>
          <w:tcPr>
            <w:tcW w:w="232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192.29</w:t>
            </w: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2013150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2013199</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其他党委办公厅（室）及相关机构事务支出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3.60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123.17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55.33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55.33</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2013650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67.84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67.84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公共安全支出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20409</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国家保密</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2040901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52.06</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2080502</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事业单位离退休</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18.32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18.32</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33.74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33.74</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17.57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9.87</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7.70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农林水支出</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21301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r>
      <w:tr>
        <w:tblPrEx>
          <w:tblCellMar>
            <w:top w:w="0" w:type="dxa"/>
            <w:left w:w="0" w:type="dxa"/>
            <w:bottom w:w="0" w:type="dxa"/>
            <w:right w:w="0" w:type="dxa"/>
          </w:tblCellMar>
        </w:tblPrEx>
        <w:trPr>
          <w:trHeight w:val="308" w:hRule="atLeast"/>
          <w:jc w:val="center"/>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2130124</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农业组织化与产业化经营</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color w:val="000000"/>
                <w:sz w:val="22"/>
                <w:szCs w:val="22"/>
              </w:rPr>
            </w:pPr>
          </w:p>
        </w:tc>
        <w:tc>
          <w:tcPr>
            <w:tcW w:w="2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80.00</w:t>
            </w:r>
          </w:p>
        </w:tc>
      </w:tr>
    </w:tbl>
    <w:p>
      <w:r>
        <w:rPr>
          <w:rFonts w:hint="eastAsia"/>
        </w:rPr>
        <w:t>注：本表反映部门本年度一般公共预算财政拨款支出情况。</w:t>
      </w:r>
      <w:r>
        <w:br w:type="page"/>
      </w:r>
    </w:p>
    <w:tbl>
      <w:tblPr>
        <w:tblStyle w:val="4"/>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66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r>
        <w:tblPrEx>
          <w:tblCellMar>
            <w:top w:w="0" w:type="dxa"/>
            <w:left w:w="0" w:type="dxa"/>
            <w:bottom w:w="0" w:type="dxa"/>
            <w:right w:w="0" w:type="dxa"/>
          </w:tblCellMar>
        </w:tblPrEx>
        <w:trPr>
          <w:trHeight w:val="339" w:hRule="atLeast"/>
          <w:jc w:val="center"/>
        </w:trPr>
        <w:tc>
          <w:tcPr>
            <w:tcW w:w="3611" w:type="dxa"/>
            <w:gridSpan w:val="3"/>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rPr>
              <w:t>金额单位：万元</w:t>
            </w:r>
          </w:p>
        </w:tc>
      </w:tr>
      <w:tr>
        <w:tblPrEx>
          <w:tblCellMar>
            <w:top w:w="0" w:type="dxa"/>
            <w:left w:w="0" w:type="dxa"/>
            <w:bottom w:w="0" w:type="dxa"/>
            <w:right w:w="0" w:type="dxa"/>
          </w:tblCellMar>
        </w:tblPrEx>
        <w:trPr>
          <w:trHeight w:val="362"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w:t>
            </w:r>
          </w:p>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0" w:type="dxa"/>
            <w:bottom w:w="0" w:type="dxa"/>
            <w:right w:w="0" w:type="dxa"/>
          </w:tblCellMar>
        </w:tblPrEx>
        <w:trPr>
          <w:trHeight w:val="349"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385.89</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143.35</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270.48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87.07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26.95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23.86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7.55</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9.86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3.63</w:t>
            </w: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61.04</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3.92</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7.70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9.87</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0.40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14.11</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18.32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18.32</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18"/>
                <w:szCs w:val="18"/>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6.87</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11.04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783"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404.22</w:t>
            </w:r>
          </w:p>
        </w:tc>
        <w:tc>
          <w:tcPr>
            <w:tcW w:w="5657" w:type="dxa"/>
            <w:gridSpan w:val="5"/>
            <w:tcBorders>
              <w:top w:val="nil"/>
              <w:left w:val="nil"/>
              <w:bottom w:val="nil"/>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32" w:type="dxa"/>
            <w:tcBorders>
              <w:top w:val="nil"/>
              <w:left w:val="nil"/>
              <w:bottom w:val="nil"/>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2"/>
                <w:szCs w:val="22"/>
              </w:rPr>
              <w:t>150.90</w:t>
            </w:r>
          </w:p>
        </w:tc>
      </w:tr>
      <w:tr>
        <w:tblPrEx>
          <w:tblCellMar>
            <w:top w:w="0" w:type="dxa"/>
            <w:left w:w="0" w:type="dxa"/>
            <w:bottom w:w="0" w:type="dxa"/>
            <w:right w:w="0" w:type="dxa"/>
          </w:tblCellMar>
        </w:tblPrEx>
        <w:trPr>
          <w:trHeight w:val="317" w:hRule="atLeast"/>
          <w:jc w:val="center"/>
        </w:trPr>
        <w:tc>
          <w:tcPr>
            <w:tcW w:w="282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hint="eastAsia" w:ascii="宋体" w:hAnsi="宋体" w:eastAsia="宋体" w:cs="宋体"/>
                <w:color w:val="000000"/>
                <w:kern w:val="0"/>
                <w:sz w:val="20"/>
                <w:szCs w:val="20"/>
              </w:rPr>
            </w:pP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rPr>
            </w:pPr>
          </w:p>
        </w:tc>
        <w:tc>
          <w:tcPr>
            <w:tcW w:w="5657"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center"/>
              <w:textAlignment w:val="center"/>
              <w:rPr>
                <w:rFonts w:hint="eastAsia" w:ascii="宋体" w:hAnsi="宋体" w:eastAsia="宋体" w:cs="宋体"/>
                <w:color w:val="000000"/>
                <w:kern w:val="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2"/>
                <w:szCs w:val="22"/>
              </w:rPr>
            </w:pPr>
          </w:p>
        </w:tc>
      </w:tr>
    </w:tbl>
    <w:p>
      <w:r>
        <w:rPr>
          <w:rFonts w:hint="eastAsia"/>
        </w:rPr>
        <w:t>注：本表反映部门本年度一般公共预算财政拨款基本支出明细情况。</w:t>
      </w:r>
      <w:r>
        <w:br w:type="page"/>
      </w:r>
    </w:p>
    <w:tbl>
      <w:tblPr>
        <w:tblStyle w:val="4"/>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tblPrEx>
          <w:tblCellMar>
            <w:top w:w="0" w:type="dxa"/>
            <w:left w:w="0" w:type="dxa"/>
            <w:bottom w:w="0" w:type="dxa"/>
            <w:right w:w="0" w:type="dxa"/>
          </w:tblCellMar>
        </w:tblPrEx>
        <w:trPr>
          <w:trHeight w:val="360" w:hRule="atLeast"/>
          <w:jc w:val="center"/>
        </w:trPr>
        <w:tc>
          <w:tcPr>
            <w:tcW w:w="4518" w:type="dxa"/>
            <w:gridSpan w:val="3"/>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决算数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r>
              <w:rPr>
                <w:rFonts w:hint="eastAsia" w:ascii="宋体" w:hAnsi="宋体" w:eastAsia="宋体" w:cs="宋体"/>
                <w:color w:val="000000"/>
                <w:kern w:val="0"/>
                <w:sz w:val="22"/>
                <w:szCs w:val="22"/>
              </w:rPr>
              <w:t>6.87</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_GB2312" w:eastAsia="仿宋_GB2312" w:cs="仿宋_GB2312"/>
        </w:rPr>
        <w:tab/>
      </w:r>
      <w:r>
        <w:tab/>
      </w:r>
      <w:r>
        <w:tab/>
      </w:r>
      <w:r>
        <w:tab/>
      </w:r>
      <w:r>
        <w:tab/>
      </w:r>
      <w:r>
        <w:tab/>
      </w:r>
      <w:r>
        <w:tab/>
      </w:r>
      <w:r>
        <w:tab/>
      </w:r>
      <w:r>
        <w:tab/>
      </w:r>
      <w:r>
        <w:tab/>
      </w:r>
      <w:r>
        <w:tab/>
      </w:r>
      <w:r>
        <w:br w:type="page"/>
      </w:r>
    </w:p>
    <w:tbl>
      <w:tblPr>
        <w:tblStyle w:val="4"/>
        <w:tblW w:w="9510" w:type="dxa"/>
        <w:jc w:val="center"/>
        <w:tblLayout w:type="fixed"/>
        <w:tblCellMar>
          <w:top w:w="0" w:type="dxa"/>
          <w:left w:w="0" w:type="dxa"/>
          <w:bottom w:w="0" w:type="dxa"/>
          <w:right w:w="0" w:type="dxa"/>
        </w:tblCellMar>
      </w:tblPr>
      <w:tblGrid>
        <w:gridCol w:w="1020"/>
        <w:gridCol w:w="58"/>
        <w:gridCol w:w="58"/>
        <w:gridCol w:w="1474"/>
        <w:gridCol w:w="1150"/>
        <w:gridCol w:w="1150"/>
        <w:gridCol w:w="1150"/>
        <w:gridCol w:w="1150"/>
        <w:gridCol w:w="1150"/>
        <w:gridCol w:w="1150"/>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2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tblPrEx>
          <w:tblCellMar>
            <w:top w:w="0" w:type="dxa"/>
            <w:left w:w="0" w:type="dxa"/>
            <w:bottom w:w="0" w:type="dxa"/>
            <w:right w:w="0" w:type="dxa"/>
          </w:tblCellMar>
        </w:tblPrEx>
        <w:trPr>
          <w:trHeight w:val="255" w:hRule="atLeast"/>
          <w:jc w:val="center"/>
        </w:trPr>
        <w:tc>
          <w:tcPr>
            <w:tcW w:w="3760" w:type="dxa"/>
            <w:gridSpan w:val="5"/>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30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26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45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1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tblPrEx>
          <w:tblCellMar>
            <w:top w:w="0" w:type="dxa"/>
            <w:left w:w="0" w:type="dxa"/>
            <w:bottom w:w="0" w:type="dxa"/>
            <w:right w:w="0" w:type="dxa"/>
          </w:tblCellMar>
        </w:tblPrEx>
        <w:trPr>
          <w:trHeight w:val="312" w:hRule="atLeast"/>
          <w:jc w:val="center"/>
        </w:trPr>
        <w:tc>
          <w:tcPr>
            <w:tcW w:w="113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1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1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12" w:hRule="atLeast"/>
          <w:jc w:val="center"/>
        </w:trPr>
        <w:tc>
          <w:tcPr>
            <w:tcW w:w="113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1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tblPrEx>
          <w:tblCellMar>
            <w:top w:w="0" w:type="dxa"/>
            <w:left w:w="0" w:type="dxa"/>
            <w:bottom w:w="0" w:type="dxa"/>
            <w:right w:w="0" w:type="dxa"/>
          </w:tblCellMar>
        </w:tblPrEx>
        <w:trPr>
          <w:trHeight w:val="308" w:hRule="atLeast"/>
          <w:jc w:val="center"/>
        </w:trPr>
        <w:tc>
          <w:tcPr>
            <w:tcW w:w="261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1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47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bl>
    <w:p>
      <w:pPr>
        <w:rPr>
          <w:sz w:val="18"/>
          <w:szCs w:val="20"/>
        </w:rPr>
      </w:pPr>
      <w:r>
        <w:rPr>
          <w:rFonts w:hint="eastAsia"/>
          <w:sz w:val="18"/>
          <w:szCs w:val="20"/>
        </w:rPr>
        <w:t>注：本部门本年度无相关支出情况，按要求以空表列示。</w:t>
      </w:r>
    </w:p>
    <w:p>
      <w:r>
        <w:br w:type="page"/>
      </w:r>
    </w:p>
    <w:tbl>
      <w:tblPr>
        <w:tblStyle w:val="4"/>
        <w:tblW w:w="9915" w:type="dxa"/>
        <w:jc w:val="center"/>
        <w:tblLayout w:type="fixed"/>
        <w:tblCellMar>
          <w:top w:w="0" w:type="dxa"/>
          <w:left w:w="0" w:type="dxa"/>
          <w:bottom w:w="0" w:type="dxa"/>
          <w:right w:w="0" w:type="dxa"/>
        </w:tblCellMar>
      </w:tblPr>
      <w:tblGrid>
        <w:gridCol w:w="1288"/>
        <w:gridCol w:w="74"/>
        <w:gridCol w:w="74"/>
        <w:gridCol w:w="3798"/>
        <w:gridCol w:w="961"/>
        <w:gridCol w:w="1860"/>
        <w:gridCol w:w="1860"/>
      </w:tblGrid>
      <w:tr>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tblPrEx>
          <w:tblCellMar>
            <w:top w:w="0" w:type="dxa"/>
            <w:left w:w="0" w:type="dxa"/>
            <w:bottom w:w="0" w:type="dxa"/>
            <w:right w:w="0" w:type="dxa"/>
          </w:tblCellMar>
        </w:tblPrEx>
        <w:trPr>
          <w:trHeight w:val="255" w:hRule="atLeast"/>
          <w:jc w:val="center"/>
        </w:trPr>
        <w:tc>
          <w:tcPr>
            <w:tcW w:w="128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9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tblPrEx>
          <w:tblCellMar>
            <w:top w:w="0" w:type="dxa"/>
            <w:left w:w="0" w:type="dxa"/>
            <w:bottom w:w="0" w:type="dxa"/>
            <w:right w:w="0" w:type="dxa"/>
          </w:tblCellMar>
        </w:tblPrEx>
        <w:trPr>
          <w:trHeight w:val="255" w:hRule="atLeast"/>
          <w:jc w:val="center"/>
        </w:trPr>
        <w:tc>
          <w:tcPr>
            <w:tcW w:w="5234" w:type="dxa"/>
            <w:gridSpan w:val="4"/>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rPr>
              <w:t>部门：</w:t>
            </w:r>
            <w:r>
              <w:rPr>
                <w:rFonts w:hint="eastAsia" w:ascii="黑体" w:hAnsi="黑体" w:eastAsia="黑体"/>
                <w:b/>
                <w:sz w:val="22"/>
                <w:szCs w:val="22"/>
              </w:rPr>
              <w:t>馆陶县委办公室</w:t>
            </w:r>
          </w:p>
        </w:tc>
        <w:tc>
          <w:tcPr>
            <w:tcW w:w="9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72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tblPrEx>
          <w:tblCellMar>
            <w:top w:w="0" w:type="dxa"/>
            <w:left w:w="0" w:type="dxa"/>
            <w:bottom w:w="0" w:type="dxa"/>
            <w:right w:w="0" w:type="dxa"/>
          </w:tblCellMar>
        </w:tblPrEx>
        <w:trPr>
          <w:trHeight w:val="308" w:hRule="atLeast"/>
          <w:jc w:val="center"/>
        </w:trPr>
        <w:tc>
          <w:tcPr>
            <w:tcW w:w="523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w:t>
            </w:r>
          </w:p>
        </w:tc>
        <w:tc>
          <w:tcPr>
            <w:tcW w:w="468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r>
      <w:tr>
        <w:tblPrEx>
          <w:tblCellMar>
            <w:top w:w="0" w:type="dxa"/>
            <w:left w:w="0" w:type="dxa"/>
            <w:bottom w:w="0" w:type="dxa"/>
            <w:right w:w="0" w:type="dxa"/>
          </w:tblCellMar>
        </w:tblPrEx>
        <w:trPr>
          <w:trHeight w:val="615"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r>
      <w:tr>
        <w:tblPrEx>
          <w:tblCellMar>
            <w:top w:w="0" w:type="dxa"/>
            <w:left w:w="0" w:type="dxa"/>
            <w:bottom w:w="0" w:type="dxa"/>
            <w:right w:w="0" w:type="dxa"/>
          </w:tblCellMar>
        </w:tblPrEx>
        <w:trPr>
          <w:trHeight w:val="308" w:hRule="atLeast"/>
          <w:jc w:val="center"/>
        </w:trPr>
        <w:tc>
          <w:tcPr>
            <w:tcW w:w="523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szCs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r>
        <w:tblPrEx>
          <w:tblCellMar>
            <w:top w:w="0" w:type="dxa"/>
            <w:left w:w="0" w:type="dxa"/>
            <w:bottom w:w="0" w:type="dxa"/>
            <w:right w:w="0" w:type="dxa"/>
          </w:tblCellMar>
        </w:tblPrEx>
        <w:trPr>
          <w:trHeight w:val="308"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37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c>
          <w:tcPr>
            <w:tcW w:w="9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c>
          <w:tcPr>
            <w:tcW w:w="18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szCs w:val="22"/>
              </w:rPr>
            </w:pPr>
          </w:p>
        </w:tc>
      </w:tr>
    </w:tbl>
    <w:p>
      <w:pPr>
        <w:rPr>
          <w:sz w:val="18"/>
          <w:szCs w:val="20"/>
        </w:rPr>
      </w:pPr>
      <w:r>
        <w:rPr>
          <w:rFonts w:hint="eastAsia"/>
          <w:sz w:val="18"/>
          <w:szCs w:val="20"/>
        </w:rPr>
        <w:t>注：本部门本年度无相关支出情况，按要求以空表列示。</w:t>
      </w:r>
    </w:p>
    <w:p>
      <w:r>
        <w:br w:type="page"/>
      </w:r>
    </w:p>
    <w:p>
      <w:pPr>
        <w:widowControl/>
        <w:ind w:firstLine="1260" w:firstLineChars="600"/>
        <w:jc w:val="left"/>
        <w:rPr>
          <w:rFonts w:ascii="仿宋" w:hAnsi="仿宋" w:eastAsia="仿宋" w:cs="仿宋_GB2312"/>
          <w:bCs/>
        </w:rPr>
      </w:pPr>
      <w:r>
        <w:pict>
          <v:rect id="_x0000_s1033" o:spid="_x0000_s1033" o:spt="1" style="position:absolute;left:0pt;margin-left:-90pt;margin-top:-72pt;height:841.15pt;width:595.1pt;mso-wrap-distance-left:9pt;mso-wrap-distance-right:9pt;z-index:-251652096;v-text-anchor:middle;mso-width-relative:page;mso-height-relative:page;" fillcolor="#FFC000" filled="t" stroked="f" coordsize="21600,21600" wrapcoords="21591 -2 0 0 0 21600 21591 21602 8 21602 21599 21600 21599 0 8 -2 21591 -2"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v:path/>
            <v:fill on="t" focussize="0,0"/>
            <v:stroke on="f" weight="1pt"/>
            <v:imagedata o:title=""/>
            <o:lock v:ext="edit"/>
            <w10:wrap type="through"/>
          </v:rect>
        </w:pi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engXian-Bold">
    <w:altName w:val="宋体"/>
    <w:panose1 w:val="00000000000000000000"/>
    <w:charset w:val="86"/>
    <w:family w:val="auto"/>
    <w:pitch w:val="default"/>
    <w:sig w:usb0="00000000" w:usb1="00000000" w:usb2="00000010"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TimesNewRomanPSMT">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0064413A"/>
    <w:rsid w:val="00071B2C"/>
    <w:rsid w:val="00072445"/>
    <w:rsid w:val="00084D21"/>
    <w:rsid w:val="00146F02"/>
    <w:rsid w:val="0023765B"/>
    <w:rsid w:val="0029028F"/>
    <w:rsid w:val="002D49B2"/>
    <w:rsid w:val="00337036"/>
    <w:rsid w:val="00513ACA"/>
    <w:rsid w:val="00525D77"/>
    <w:rsid w:val="005A799C"/>
    <w:rsid w:val="005C4FE4"/>
    <w:rsid w:val="0064413A"/>
    <w:rsid w:val="006B0F58"/>
    <w:rsid w:val="006F7F85"/>
    <w:rsid w:val="00727985"/>
    <w:rsid w:val="00742BC7"/>
    <w:rsid w:val="00837C02"/>
    <w:rsid w:val="00842AE4"/>
    <w:rsid w:val="00846C72"/>
    <w:rsid w:val="008A142E"/>
    <w:rsid w:val="00923D32"/>
    <w:rsid w:val="0097683B"/>
    <w:rsid w:val="009B571A"/>
    <w:rsid w:val="00A06885"/>
    <w:rsid w:val="00A713C7"/>
    <w:rsid w:val="00A95A3B"/>
    <w:rsid w:val="00AD10D8"/>
    <w:rsid w:val="00AD3686"/>
    <w:rsid w:val="00AD4E3E"/>
    <w:rsid w:val="00B67F4B"/>
    <w:rsid w:val="00B77B4E"/>
    <w:rsid w:val="00BF0185"/>
    <w:rsid w:val="00C171A9"/>
    <w:rsid w:val="00CA122B"/>
    <w:rsid w:val="00CA1366"/>
    <w:rsid w:val="00D95CF0"/>
    <w:rsid w:val="00DD4AAF"/>
    <w:rsid w:val="00DE0914"/>
    <w:rsid w:val="00E14815"/>
    <w:rsid w:val="00E42A2C"/>
    <w:rsid w:val="00E80E27"/>
    <w:rsid w:val="00F05C0B"/>
    <w:rsid w:val="00F43AF4"/>
    <w:rsid w:val="031E41DE"/>
    <w:rsid w:val="03512DF1"/>
    <w:rsid w:val="03557716"/>
    <w:rsid w:val="075B4D80"/>
    <w:rsid w:val="09670458"/>
    <w:rsid w:val="09D868A9"/>
    <w:rsid w:val="0AB0729C"/>
    <w:rsid w:val="0B611E85"/>
    <w:rsid w:val="0FE04443"/>
    <w:rsid w:val="136A18CF"/>
    <w:rsid w:val="1373630C"/>
    <w:rsid w:val="188340E8"/>
    <w:rsid w:val="19882442"/>
    <w:rsid w:val="1A617BEF"/>
    <w:rsid w:val="1BA91D06"/>
    <w:rsid w:val="250210DE"/>
    <w:rsid w:val="27B71C7A"/>
    <w:rsid w:val="2AD90E07"/>
    <w:rsid w:val="329F3BF8"/>
    <w:rsid w:val="32C9203F"/>
    <w:rsid w:val="365C40B8"/>
    <w:rsid w:val="375665FE"/>
    <w:rsid w:val="386F30F3"/>
    <w:rsid w:val="3A654468"/>
    <w:rsid w:val="3D610CC9"/>
    <w:rsid w:val="40FD7585"/>
    <w:rsid w:val="456709FF"/>
    <w:rsid w:val="46846C13"/>
    <w:rsid w:val="4A077483"/>
    <w:rsid w:val="4A501469"/>
    <w:rsid w:val="4D350A61"/>
    <w:rsid w:val="4EED5136"/>
    <w:rsid w:val="576E3033"/>
    <w:rsid w:val="58311640"/>
    <w:rsid w:val="5BF637A2"/>
    <w:rsid w:val="5D273CB4"/>
    <w:rsid w:val="64AE4B1F"/>
    <w:rsid w:val="65F16DF8"/>
    <w:rsid w:val="6A6F0AD2"/>
    <w:rsid w:val="6E293808"/>
    <w:rsid w:val="70084C17"/>
    <w:rsid w:val="71BF709A"/>
    <w:rsid w:val="72622100"/>
    <w:rsid w:val="72706E7A"/>
    <w:rsid w:val="72BA60FD"/>
    <w:rsid w:val="764F3360"/>
    <w:rsid w:val="7859405B"/>
    <w:rsid w:val="7A027F04"/>
    <w:rsid w:val="7FE73B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7"/>
    <customShpInfo spid="_x0000_s1029"/>
    <customShpInfo spid="_x0000_s1028"/>
    <customShpInfo spid="_x0000_s1032"/>
    <customShpInfo spid="_x0000_s102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1475</Words>
  <Characters>8413</Characters>
  <Lines>70</Lines>
  <Paragraphs>19</Paragraphs>
  <TotalTime>2</TotalTime>
  <ScaleCrop>false</ScaleCrop>
  <LinksUpToDate>false</LinksUpToDate>
  <CharactersWithSpaces>9869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2021-05-11T04:15:00Z</dcterms:created>
  <dc:creator>Administrator</dc:creator>
  <cp:lastModifiedBy>Administrator</cp:lastModifiedBy>
  <dcterms:modified xsi:type="dcterms:W3CDTF">2023-11-25T10:49:23Z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05831D5848694AE0B352601DF322F9FD_12</vt:lpwstr>
  </property>
</Properties>
</file>