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bookmarkStart w:id="0" w:name="_GoBack"/>
      <w:bookmarkEnd w:id="0"/>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馆陶县纪律检查委员会</w:t>
                            </w: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馆陶县纪律检查委员会</w:t>
                      </w: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left="0" w:leftChars="0" w:firstLine="0" w:firstLineChars="0"/>
        <w:jc w:val="center"/>
        <w:rPr>
          <w:rFonts w:ascii="楷体" w:hAnsi="楷体" w:eastAsia="楷体" w:cs="楷体"/>
          <w:b/>
          <w:sz w:val="40"/>
          <w:szCs w:val="40"/>
        </w:rPr>
      </w:pPr>
      <w:r>
        <w:rPr>
          <w:rFonts w:hint="eastAsia" w:ascii="楷体" w:hAnsi="楷体" w:eastAsia="楷体" w:cs="楷体"/>
          <w:b/>
          <w:sz w:val="40"/>
          <w:szCs w:val="40"/>
        </w:rPr>
        <w:t>（部门公章）</w:t>
      </w:r>
    </w:p>
    <w:p>
      <w:pPr>
        <w:widowControl/>
        <w:ind w:left="0" w:leftChars="0" w:firstLine="0" w:firstLineChars="0"/>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w:t>
      </w:r>
      <w:r>
        <w:rPr>
          <w:rFonts w:hint="eastAsia" w:ascii="楷体" w:hAnsi="楷体" w:eastAsia="楷体" w:cs="楷体"/>
          <w:b/>
          <w:sz w:val="40"/>
          <w:szCs w:val="40"/>
          <w:lang w:eastAsia="zh-CN"/>
        </w:rPr>
        <w:t>十二</w:t>
      </w:r>
      <w:r>
        <w:rPr>
          <w:rFonts w:hint="eastAsia" w:ascii="楷体" w:hAnsi="楷体" w:eastAsia="楷体" w:cs="楷体"/>
          <w:b/>
          <w:sz w:val="40"/>
          <w:szCs w:val="40"/>
        </w:rPr>
        <w:t>月</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pStyle w:val="11"/>
        <w:keepNext w:val="0"/>
        <w:keepLines w:val="0"/>
        <w:widowControl/>
        <w:suppressLineNumbers w:val="0"/>
      </w:pPr>
      <w:r>
        <w:rPr>
          <w:rFonts w:ascii="ä»¿å®" w:hAnsi="ä»¿å®" w:eastAsia="ä»¿å®" w:cs="ä»¿å®"/>
          <w:color w:val="000000"/>
          <w:sz w:val="24"/>
          <w:szCs w:val="24"/>
        </w:rPr>
        <w:t>（一）主管全县党的纪律检查工作。负责贯彻党中央、中央</w:t>
      </w:r>
      <w:r>
        <w:rPr>
          <w:rFonts w:ascii="EditControl" w:hAnsi="EditControl" w:eastAsia="EditControl" w:cs="EditControl"/>
          <w:color w:val="000000"/>
          <w:sz w:val="24"/>
          <w:szCs w:val="24"/>
        </w:rPr>
        <w:t xml:space="preserve"> </w:t>
      </w:r>
      <w:r>
        <w:rPr>
          <w:rFonts w:hint="default" w:ascii="ä»¿å®" w:hAnsi="ä»¿å®" w:eastAsia="ä»¿å®" w:cs="ä»¿å®"/>
          <w:color w:val="000000"/>
          <w:sz w:val="24"/>
          <w:szCs w:val="24"/>
        </w:rPr>
        <w:t>纪委、河北省委、省纪委、邯郸市委、市纪委和县委关于加强党风廉政建设的决定，维护党的章程和其他党内法规，检查党的路</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线、方针、政策和决议的执行情况。</w:t>
      </w:r>
    </w:p>
    <w:p>
      <w:pPr>
        <w:pStyle w:val="11"/>
        <w:keepNext w:val="0"/>
        <w:keepLines w:val="0"/>
        <w:widowControl/>
        <w:suppressLineNumbers w:val="0"/>
      </w:pPr>
      <w:r>
        <w:rPr>
          <w:rFonts w:hint="default" w:ascii="ä»¿å®" w:hAnsi="ä»¿å®" w:eastAsia="ä»¿å®" w:cs="ä»¿å®"/>
          <w:color w:val="000000"/>
          <w:sz w:val="24"/>
          <w:szCs w:val="24"/>
        </w:rPr>
        <w:t>（二）主管全县行政监察工作。负责落实党中央、国务院、</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省委、省政府、市委、市政府和县委、县政府有关行政监察工作</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的决定，监督检查县政府各部门及其工作人员、各乡镇人民政府</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及其主要负责人和县属企事业单位及其由国家行政机关任命的</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领导干部执行国家、省、市、县的政策和法律法规、国民经济和</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社会发展计划以及国务院、省、市、县政府颁发的决议和法令情</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况。</w:t>
      </w:r>
    </w:p>
    <w:p>
      <w:pPr>
        <w:pStyle w:val="11"/>
        <w:keepNext w:val="0"/>
        <w:keepLines w:val="0"/>
        <w:widowControl/>
        <w:suppressLineNumbers w:val="0"/>
      </w:pPr>
      <w:r>
        <w:rPr>
          <w:rFonts w:hint="default" w:ascii="ä»¿å®" w:hAnsi="ä»¿å®" w:eastAsia="ä»¿å®" w:cs="ä»¿å®"/>
          <w:color w:val="000000"/>
          <w:sz w:val="24"/>
          <w:szCs w:val="24"/>
        </w:rPr>
        <w:t>（三）负责检查并处理县委、县政府机关各部门、各乡镇党</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的组织和县委管理的党员领导干部违反党的章程及其他党内法</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规的案件，决定或取消对这些案件中的党员的处分；受理党员的</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控告和申诉，必要时直接查处下级党的纪律检查机关管辖管理范</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围内比较重要的或复杂的案件。</w:t>
      </w:r>
    </w:p>
    <w:p>
      <w:pPr>
        <w:pStyle w:val="11"/>
        <w:keepNext w:val="0"/>
        <w:keepLines w:val="0"/>
        <w:widowControl/>
        <w:suppressLineNumbers w:val="0"/>
      </w:pPr>
      <w:r>
        <w:rPr>
          <w:rFonts w:hint="default" w:ascii="ä»¿å®" w:hAnsi="ä»¿å®" w:eastAsia="ä»¿å®" w:cs="ä»¿å®"/>
          <w:color w:val="000000"/>
          <w:sz w:val="24"/>
          <w:szCs w:val="24"/>
        </w:rPr>
        <w:t>（四）负责调查处理县政府各部门及其工作人员、各乡镇政</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府及其领导成员、县属企事业单位主要负责人违反国家政策、法</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律法规以及违反政纪的行为，并根据责任人所犯错误的情节轻</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重，作出适当的行政处分（对涉及选举产生的领导干部按法定程</w:t>
      </w:r>
      <w:r>
        <w:rPr>
          <w:rFonts w:ascii="ä»¿å®" w:hAnsi="ä»¿å®" w:eastAsia="ä»¿å®" w:cs="ä»¿å®"/>
          <w:color w:val="000000"/>
          <w:sz w:val="24"/>
          <w:szCs w:val="24"/>
        </w:rPr>
        <w:t>序办理）；受理监察对象不服政纪处分的申诉，受理个人或单位</w:t>
      </w:r>
      <w:r>
        <w:rPr>
          <w:rFonts w:ascii="EditControl" w:hAnsi="EditControl" w:eastAsia="EditControl" w:cs="EditControl"/>
          <w:color w:val="000000"/>
          <w:sz w:val="24"/>
          <w:szCs w:val="24"/>
        </w:rPr>
        <w:t xml:space="preserve"> </w:t>
      </w:r>
      <w:r>
        <w:rPr>
          <w:rFonts w:hint="default" w:ascii="ä»¿å®" w:hAnsi="ä»¿å®" w:eastAsia="ä»¿å®" w:cs="ä»¿å®"/>
          <w:color w:val="000000"/>
          <w:sz w:val="24"/>
          <w:szCs w:val="24"/>
        </w:rPr>
        <w:t>对监察对象违纪行为的检举、控告。</w:t>
      </w:r>
    </w:p>
    <w:p>
      <w:pPr>
        <w:pStyle w:val="11"/>
        <w:keepNext w:val="0"/>
        <w:keepLines w:val="0"/>
        <w:widowControl/>
        <w:suppressLineNumbers w:val="0"/>
      </w:pPr>
      <w:r>
        <w:rPr>
          <w:rFonts w:hint="default" w:ascii="ä»¿å®" w:hAnsi="ä»¿å®" w:eastAsia="ä»¿å®" w:cs="ä»¿å®"/>
          <w:color w:val="000000"/>
          <w:sz w:val="24"/>
          <w:szCs w:val="24"/>
        </w:rPr>
        <w:t>（五）负责作出关于维护党纪的决定，制定全县党风党纪教</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育规划，配合有关部门做好宣传党的纪检工作方针、政策和教育</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党员遵守纪律的工作。</w:t>
      </w:r>
    </w:p>
    <w:p>
      <w:pPr>
        <w:pStyle w:val="11"/>
        <w:keepNext w:val="0"/>
        <w:keepLines w:val="0"/>
        <w:widowControl/>
        <w:suppressLineNumbers w:val="0"/>
      </w:pPr>
      <w:r>
        <w:rPr>
          <w:rFonts w:hint="default" w:ascii="ä»¿å®" w:hAnsi="ä»¿å®" w:eastAsia="ä»¿å®" w:cs="ä»¿å®"/>
          <w:color w:val="000000"/>
          <w:sz w:val="24"/>
          <w:szCs w:val="24"/>
        </w:rPr>
        <w:t>（六）会同有关部门做好行政监察工作方针、政策和法律法</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规的宣传工作，教育国家工作人员遵守法纪、为政清廉。</w:t>
      </w:r>
    </w:p>
    <w:p>
      <w:pPr>
        <w:pStyle w:val="11"/>
        <w:keepNext w:val="0"/>
        <w:keepLines w:val="0"/>
        <w:widowControl/>
        <w:suppressLineNumbers w:val="0"/>
      </w:pPr>
      <w:r>
        <w:rPr>
          <w:rFonts w:hint="default" w:ascii="ä»¿å®" w:hAnsi="ä»¿å®" w:eastAsia="ä»¿å®" w:cs="ä»¿å®"/>
          <w:color w:val="000000"/>
          <w:sz w:val="24"/>
          <w:szCs w:val="24"/>
        </w:rPr>
        <w:t>（七）负责对党的纪律检查工作理论及有关向题进行调查研</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究，拟定纪检监察工作的有关规定。</w:t>
      </w:r>
    </w:p>
    <w:p>
      <w:pPr>
        <w:pStyle w:val="11"/>
        <w:keepNext w:val="0"/>
        <w:keepLines w:val="0"/>
        <w:widowControl/>
        <w:suppressLineNumbers w:val="0"/>
      </w:pPr>
      <w:r>
        <w:rPr>
          <w:rFonts w:hint="default" w:ascii="ä»¿å®" w:hAnsi="ä»¿å®" w:eastAsia="ä»¿å®" w:cs="ä»¿å®"/>
          <w:color w:val="000000"/>
          <w:sz w:val="24"/>
          <w:szCs w:val="24"/>
        </w:rPr>
        <w:t>（八）会同县直有关部门以及各乡镇党委、政府做好纪检监</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察干部的管理工作；组织和指导纪检监察系统干部的培训工作。</w:t>
      </w:r>
    </w:p>
    <w:p>
      <w:pPr>
        <w:pStyle w:val="11"/>
        <w:keepNext w:val="0"/>
        <w:keepLines w:val="0"/>
        <w:widowControl/>
        <w:suppressLineNumbers w:val="0"/>
      </w:pPr>
      <w:r>
        <w:rPr>
          <w:rFonts w:hint="default" w:ascii="ä»¿å®" w:hAnsi="ä»¿å®" w:eastAsia="ä»¿å®" w:cs="ä»¿å®"/>
          <w:color w:val="000000"/>
          <w:sz w:val="24"/>
          <w:szCs w:val="24"/>
        </w:rPr>
        <w:t>（九）承办市纪委、市监察局、县委、县政府授权和交办的</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其他工作。</w:t>
      </w:r>
    </w:p>
    <w:p>
      <w:pPr>
        <w:pStyle w:val="11"/>
        <w:keepNext w:val="0"/>
        <w:keepLines w:val="0"/>
        <w:widowControl/>
        <w:suppressLineNumbers w:val="0"/>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 xml:space="preserve"> 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馆陶县纪律检查委员会</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hint="eastAsia" w:ascii="仿宋_GB2312" w:eastAsia="仿宋_GB2312" w:hAnsiTheme="majorEastAsia"/>
          <w:b/>
          <w:sz w:val="48"/>
          <w:szCs w:val="48"/>
          <w:highlight w:val="none"/>
          <w:lang w:eastAsia="zh-CN"/>
        </w:rPr>
        <w:sectPr>
          <w:pgSz w:w="11906" w:h="16838"/>
          <w:pgMar w:top="2098" w:right="1474" w:bottom="1984" w:left="1588" w:header="851" w:footer="992" w:gutter="0"/>
          <w:cols w:space="0" w:num="1"/>
          <w:docGrid w:type="lines" w:linePitch="312" w:charSpace="0"/>
        </w:sectPr>
      </w:pPr>
      <w:r>
        <w:rPr>
          <w:rFonts w:hint="eastAsia" w:ascii="仿宋_GB2312" w:eastAsia="仿宋_GB2312" w:hAnsiTheme="majorEastAsia"/>
          <w:b/>
          <w:sz w:val="48"/>
          <w:szCs w:val="48"/>
          <w:highlight w:val="none"/>
          <w:lang w:eastAsia="zh-CN"/>
        </w:rPr>
        <w:t>决算报表见附件</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076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076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683.79</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88.31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w:t>
      </w:r>
      <w:r>
        <w:rPr>
          <w:rFonts w:hint="eastAsia"/>
          <w:sz w:val="36"/>
          <w:szCs w:val="44"/>
          <w:lang w:val="en-US" w:eastAsia="zh-CN"/>
        </w:rPr>
        <w:t>4</w:t>
      </w:r>
      <w:r>
        <w:rPr>
          <w:rFonts w:hint="eastAsia" w:ascii="仿宋_GB2312" w:eastAsia="仿宋_GB2312" w:cs="DengXian-Regular"/>
          <w:sz w:val="32"/>
          <w:szCs w:val="32"/>
          <w:lang w:val="en-US" w:eastAsia="zh-CN"/>
        </w:rPr>
        <w:t>.83</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人员经费及项目经费增加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683.79</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683.79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6</w:t>
      </w:r>
      <w:r>
        <w:rPr>
          <w:rFonts w:hint="eastAsia"/>
          <w:sz w:val="36"/>
          <w:szCs w:val="44"/>
          <w:lang w:val="en-US" w:eastAsia="zh-CN"/>
        </w:rPr>
        <w:t>48.95</w:t>
      </w:r>
      <w:r>
        <w:rPr>
          <w:rFonts w:hint="eastAsia" w:ascii="仿宋_GB2312" w:eastAsia="仿宋_GB2312" w:cs="DengXian-Regular"/>
          <w:sz w:val="32"/>
          <w:szCs w:val="32"/>
        </w:rPr>
        <w:t>万元，其中：基本支出</w:t>
      </w:r>
      <w:r>
        <w:rPr>
          <w:rFonts w:hint="eastAsia"/>
          <w:sz w:val="36"/>
          <w:szCs w:val="44"/>
          <w:lang w:val="en-US" w:eastAsia="zh-CN"/>
        </w:rPr>
        <w:t>483.79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w:t>
      </w:r>
      <w:r>
        <w:rPr>
          <w:rFonts w:hint="eastAsia"/>
          <w:sz w:val="36"/>
          <w:szCs w:val="44"/>
          <w:lang w:val="en-US" w:eastAsia="zh-CN"/>
        </w:rPr>
        <w:t>4</w:t>
      </w:r>
      <w:r>
        <w:rPr>
          <w:rFonts w:hint="eastAsia" w:ascii="仿宋_GB2312" w:eastAsia="仿宋_GB2312" w:cs="DengXian-Regular"/>
          <w:sz w:val="32"/>
          <w:szCs w:val="32"/>
          <w:lang w:val="en-US" w:eastAsia="zh-CN"/>
        </w:rPr>
        <w:t>.55</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165.16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25.</w:t>
      </w:r>
      <w:r>
        <w:rPr>
          <w:rFonts w:hint="eastAsia"/>
          <w:sz w:val="36"/>
          <w:szCs w:val="44"/>
          <w:lang w:val="en-US" w:eastAsia="zh-CN"/>
        </w:rPr>
        <w:t>45</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3"/>
        <w:spacing w:before="0" w:after="0" w:line="580" w:lineRule="exact"/>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683.79</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88.31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14.83</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人员经费及项目经费增加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648.95</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53.47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8.98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人员经费及项目经费增加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683.79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严格预算执行</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648.95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94.90</w:t>
      </w:r>
      <w:r>
        <w:rPr>
          <w:rFonts w:hint="eastAsia" w:ascii="仿宋_GB2312" w:eastAsia="仿宋_GB2312" w:cs="DengXian-Regular"/>
          <w:sz w:val="32"/>
          <w:szCs w:val="32"/>
        </w:rPr>
        <w:t>%,比年初预减少</w:t>
      </w:r>
      <w:r>
        <w:rPr>
          <w:rFonts w:hint="eastAsia" w:ascii="仿宋_GB2312" w:eastAsia="仿宋_GB2312" w:cs="DengXian-Regular"/>
          <w:sz w:val="32"/>
          <w:szCs w:val="32"/>
          <w:lang w:val="en-US" w:eastAsia="zh-CN"/>
        </w:rPr>
        <w:t>34.84</w:t>
      </w:r>
      <w:r>
        <w:rPr>
          <w:rFonts w:hint="eastAsia" w:ascii="仿宋_GB2312" w:eastAsia="仿宋_GB2312" w:cs="DengXian-Regular"/>
          <w:sz w:val="32"/>
          <w:szCs w:val="32"/>
        </w:rPr>
        <w:t>万元，决算数小</w:t>
      </w:r>
      <w:r>
        <w:rPr>
          <w:sz w:val="44"/>
        </w:rPr>
        <mc:AlternateContent>
          <mc:Choice Requires="wpg">
            <w:drawing>
              <wp:anchor distT="0" distB="0" distL="114300" distR="114300" simplePos="0" relativeHeight="25167564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6" name="组合 76"/>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MrMSKkUDAAA8CQAADgAAAGRycy9lMm9Eb2MueG1s&#10;7VbLbtQwFN0j8Q+W9zTJTDIvdVoNHVohFVqpINYex3lIjm1sTzNlzYIlf4DEjm9AfE7Fb3BtZ9IH&#10;lWhBsEIjZWxf+z6Oz7nJ7v6m4eicaVNLMcfJTowRE1TmtSjn+PWrwycTjIwlIidcCjbHF8zg/b3H&#10;j3ZbNWMDWUmeM43AiTCzVs1xZa2aRZGhFWuI2ZGKCTAWUjfEwlSXUa5JC94bHg3ieBS1UudKS8qM&#10;gdVlMOLOo76PQ1kUNWVLSdcNEzZ41YwTCyWZqlYG7/lsi4JRe1IUhlnE5xgqtf4JQWC8cs9ob5fM&#10;Sk1UVdMuBXKfFG7V1JBaQNDe1ZJYgta6/slVU1MtjSzsDpVNFArxiEAVSXwLmyMt18rXUs7aUvWg&#10;w0XdQv233dKX56ca1fkcj0cYCdLAjX//+v7y4wcEC4BOq8oZbDrS6kyd6m6hDDNX8KbQjfuHUtDG&#10;43rR48o2FlFYHE6Gw3SaYUTBlmWTZJQF4GkFt+OOpVmWYOSsg1HSG5915ydZCsm5w8lwOnFHo23g&#10;yOXXp9Mq4KS5Asr8GVBnFVHM428cBlugxj1Qn75cfvuMkmEAym/qUTIzA4DdAdFdtW6RulZpMvY4&#10;9JWSmdLGHjHZIDeYYw3k9pwj58fGBlC2W1xYI3mdH9ac+4kuVwdco3MCQlhO3c+f5evmhczD8iSL&#10;Y68IiGnCfo/0DUdcoHaOB1kKWxEl0AAKEB4MGwUkMqLEiPASOgu12kcQ0uUA6YUClsRUIZx3210m&#10;FxDJ3V7AzI1WMr8AxLUMmjWKHtZQ9zEx9pRoECnEhzZmT+BRcAlJyW6EUSX1u7vW3X6gBFgxakH0&#10;kPDbNdEMI/5cAFmmSZq6LuEnaTYewERft6yuW8S6OZAAJzAXsvNDt9/y7bDQsnkD3W7hooKJCAqx&#10;AzTd5MCGZgT9krLFwm+DzqCIPRZnijrnDjkhF2sri9pf8xU6HWhAeSfUf8F9eDl0TaLjfvpA7o9B&#10;PV7nk2nXfXvuDwdpp/Jk4CX1N7i/WMbxYNnRzlNwK5EHM/vG6U4wgdpP4/EoOfQ3ZyqSs7Dq5PVL&#10;fTkF31sjdrPa+Jb8Xy4PlYt/ccBL1Xe47gPAvbWvz728rj569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n7KztsAAAALAQAADwAAAAAAAAABACAAAAAiAAAAZHJzL2Rvd25yZXYueG1sUEsBAhQA&#10;FAAAAAgAh07iQDKzEip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eastAsia="zh-CN"/>
        </w:rPr>
        <w:t>结转</w:t>
      </w:r>
      <w:r>
        <w:rPr>
          <w:rFonts w:hint="eastAsia" w:ascii="仿宋_GB2312" w:eastAsia="仿宋_GB2312" w:cs="DengXian-Regular"/>
          <w:sz w:val="32"/>
          <w:szCs w:val="32"/>
          <w:lang w:val="en-US" w:eastAsia="zh-CN"/>
        </w:rPr>
        <w:t>34.84万元</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648.95</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648.95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pPr>
        <w:adjustRightInd w:val="0"/>
        <w:snapToGrid w:val="0"/>
        <w:spacing w:after="0" w:line="580" w:lineRule="exact"/>
        <w:rPr>
          <w:rFonts w:hint="eastAsia"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r>
        <w:rPr>
          <w:sz w:val="44"/>
        </w:rP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483.79</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347.49</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136.31</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pStyle w:val="11"/>
        <w:keepNext w:val="0"/>
        <w:keepLines w:val="0"/>
        <w:widowControl/>
        <w:suppressLineNumbers w:val="0"/>
        <w:rPr>
          <w:rFonts w:hint="default"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 xml:space="preserve">本部门2018年度 “三公”经费支出共计6.90万元，较年初 </w:t>
      </w:r>
      <w:r>
        <w:rPr>
          <w:rFonts w:hint="default" w:ascii="仿宋_GB2312" w:hAnsi="Times New Roman" w:eastAsia="仿宋_GB2312" w:cs="DengXian-Regular"/>
          <w:kern w:val="2"/>
          <w:sz w:val="32"/>
          <w:szCs w:val="32"/>
          <w:lang w:val="en-US" w:eastAsia="zh-CN" w:bidi="ar-SA"/>
        </w:rPr>
        <w:t>预算持平，主要是认真贯彻落实中央八项规定精神和厉行节 约要求，从严控制“三公”经费开支，全年实际支出比预算有所 节约。具体情况如下：</w:t>
      </w:r>
    </w:p>
    <w:p>
      <w:pPr>
        <w:pStyle w:val="11"/>
        <w:keepNext w:val="0"/>
        <w:keepLines w:val="0"/>
        <w:widowControl/>
        <w:suppressLineNumbers w:val="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 xml:space="preserve">（一）因公出国（境）费支出0万元。本部门2018年度因公出 国（境） </w:t>
      </w:r>
      <w:r>
        <w:rPr>
          <w:rFonts w:hint="default" w:ascii="仿宋_GB2312" w:hAnsi="Times New Roman" w:eastAsia="仿宋_GB2312" w:cs="DengXian-Regular"/>
          <w:kern w:val="2"/>
          <w:sz w:val="32"/>
          <w:szCs w:val="32"/>
          <w:lang w:val="en-US" w:eastAsia="zh-CN" w:bidi="ar-SA"/>
        </w:rPr>
        <w:t>团组0个、共0人/参加其他单位组织的因公出国（境）团 组0个、共0人/无 本单位组织的出国（境）团组。因公出国（境） 费支出较年初预算持平, 主要是无出国出境费用支出。</w:t>
      </w:r>
    </w:p>
    <w:p>
      <w:pPr>
        <w:pStyle w:val="11"/>
        <w:keepNext w:val="0"/>
        <w:keepLines w:val="0"/>
        <w:widowControl/>
        <w:suppressLineNumbers w:val="0"/>
        <w:rPr>
          <w:rFonts w:hint="eastAsia" w:ascii="仿宋_GB2312" w:hAnsi="Times New Roman" w:eastAsia="仿宋_GB2312" w:cs="DengXian-Regular"/>
          <w:kern w:val="2"/>
          <w:sz w:val="32"/>
          <w:szCs w:val="32"/>
          <w:lang w:val="en-US" w:eastAsia="zh-CN" w:bidi="ar-SA"/>
        </w:rPr>
      </w:pPr>
      <w:r>
        <w:rPr>
          <w:rFonts w:hint="default" w:ascii="仿宋_GB2312" w:hAnsi="Times New Roman" w:eastAsia="仿宋_GB2312" w:cs="DengXian-Regular"/>
          <w:kern w:val="2"/>
          <w:sz w:val="32"/>
          <w:szCs w:val="32"/>
          <w:lang w:val="en-US" w:eastAsia="zh-CN" w:bidi="ar-SA"/>
        </w:rPr>
        <w:t>（二）公务用车购置及运行维护费支出6.09万元。</w:t>
      </w:r>
    </w:p>
    <w:p>
      <w:pPr>
        <w:pStyle w:val="11"/>
        <w:keepNext w:val="0"/>
        <w:keepLines w:val="0"/>
        <w:widowControl/>
        <w:suppressLineNumbers w:val="0"/>
        <w:rPr>
          <w:rFonts w:hint="eastAsia" w:ascii="仿宋_GB2312" w:hAnsi="Times New Roman" w:eastAsia="仿宋_GB2312" w:cs="DengXian-Regular"/>
          <w:kern w:val="2"/>
          <w:sz w:val="32"/>
          <w:szCs w:val="32"/>
          <w:lang w:val="en-US" w:eastAsia="zh-CN" w:bidi="ar-SA"/>
        </w:rPr>
      </w:pPr>
      <w:r>
        <w:rPr>
          <w:rFonts w:hint="default" w:ascii="仿宋_GB2312" w:hAnsi="Times New Roman" w:eastAsia="仿宋_GB2312" w:cs="DengXian-Regular"/>
          <w:kern w:val="2"/>
          <w:sz w:val="32"/>
          <w:szCs w:val="32"/>
          <w:lang w:val="en-US" w:eastAsia="zh-CN" w:bidi="ar-SA"/>
        </w:rPr>
        <w:t>本部门2018 年度公务用车购置及运行维护费较年初预算持平,主要 是从严控制“三公”经费开支。其中：</w:t>
      </w:r>
    </w:p>
    <w:p>
      <w:pPr>
        <w:pStyle w:val="11"/>
        <w:keepNext w:val="0"/>
        <w:keepLines w:val="0"/>
        <w:widowControl/>
        <w:suppressLineNumbers w:val="0"/>
        <w:rPr>
          <w:rFonts w:hint="eastAsia" w:ascii="仿宋_GB2312" w:hAnsi="Times New Roman" w:eastAsia="仿宋_GB2312" w:cs="DengXian-Regular"/>
          <w:kern w:val="2"/>
          <w:sz w:val="32"/>
          <w:szCs w:val="32"/>
          <w:lang w:val="en-US" w:eastAsia="zh-CN" w:bidi="ar-SA"/>
        </w:rPr>
      </w:pPr>
      <w:r>
        <w:rPr>
          <w:rFonts w:hint="default" w:ascii="仿宋_GB2312" w:hAnsi="Times New Roman" w:eastAsia="仿宋_GB2312" w:cs="DengXian-Regular"/>
          <w:kern w:val="2"/>
          <w:sz w:val="32"/>
          <w:szCs w:val="32"/>
          <w:lang w:val="en-US" w:eastAsia="zh-CN" w:bidi="ar-SA"/>
        </w:rPr>
        <w:t>公务用车购置费：本部门2018年度公务用车购置量0辆，发 生“公务 用车购置”经费支出0万元。公务用车购置费支出较年初 预算持平, 主要是未发生‘公务用车购置’经费支出。</w:t>
      </w:r>
    </w:p>
    <w:p>
      <w:pPr>
        <w:pStyle w:val="11"/>
        <w:keepNext w:val="0"/>
        <w:keepLines w:val="0"/>
        <w:widowControl/>
        <w:suppressLineNumbers w:val="0"/>
        <w:rPr>
          <w:rFonts w:hint="eastAsia" w:ascii="仿宋_GB2312" w:hAnsi="Times New Roman" w:eastAsia="仿宋_GB2312" w:cs="DengXian-Regular"/>
          <w:kern w:val="2"/>
          <w:sz w:val="32"/>
          <w:szCs w:val="32"/>
          <w:lang w:val="en-US" w:eastAsia="zh-CN" w:bidi="ar-SA"/>
        </w:rPr>
      </w:pPr>
      <w:r>
        <w:rPr>
          <w:rFonts w:hint="default" w:ascii="仿宋_GB2312" w:hAnsi="Times New Roman" w:eastAsia="仿宋_GB2312" w:cs="DengXian-Regular"/>
          <w:kern w:val="2"/>
          <w:sz w:val="32"/>
          <w:szCs w:val="32"/>
          <w:lang w:val="en-US" w:eastAsia="zh-CN" w:bidi="ar-SA"/>
        </w:rPr>
        <w:t>公务用车运行维护费：本部门2018年度单位公务用车保有量2 辆。公 车运行维护费支出较年初预算持平,主要是从严控制“三公”经费开 支。</w:t>
      </w:r>
    </w:p>
    <w:p>
      <w:pPr>
        <w:pStyle w:val="11"/>
        <w:keepNext w:val="0"/>
        <w:keepLines w:val="0"/>
        <w:widowControl/>
        <w:suppressLineNumbers w:val="0"/>
        <w:rPr>
          <w:rFonts w:hint="eastAsia" w:ascii="仿宋_GB2312" w:hAnsi="Times New Roman" w:eastAsia="仿宋_GB2312" w:cs="DengXian-Regular"/>
          <w:kern w:val="2"/>
          <w:sz w:val="32"/>
          <w:szCs w:val="32"/>
          <w:lang w:val="en-US" w:eastAsia="zh-CN" w:bidi="ar-SA"/>
        </w:rPr>
      </w:pPr>
      <w:r>
        <w:rPr>
          <w:rFonts w:hint="default" w:ascii="仿宋_GB2312" w:hAnsi="Times New Roman" w:eastAsia="仿宋_GB2312" w:cs="DengXian-Regular"/>
          <w:kern w:val="2"/>
          <w:sz w:val="32"/>
          <w:szCs w:val="32"/>
          <w:lang w:val="en-US" w:eastAsia="zh-CN" w:bidi="ar-SA"/>
        </w:rPr>
        <w:t>（三）公务接待费支出0.81万元。本部门2018年度公务接待 共15批 次、75人次。公务接待费支出较年初预算持平,主要是从严控制“三 公”经费开支。</w:t>
      </w:r>
    </w:p>
    <w:p>
      <w:pPr>
        <w:pStyle w:val="11"/>
        <w:keepNext w:val="0"/>
        <w:keepLines w:val="0"/>
        <w:widowControl/>
        <w:suppressLineNumbers w:val="0"/>
        <w:rPr>
          <w:rFonts w:hint="eastAsia" w:ascii="仿宋_GB2312" w:hAnsi="Times New Roman" w:eastAsia="仿宋_GB2312" w:cs="DengXian-Regular"/>
          <w:kern w:val="2"/>
          <w:sz w:val="32"/>
          <w:szCs w:val="32"/>
          <w:lang w:val="en-US" w:eastAsia="zh-CN" w:bidi="ar-SA"/>
        </w:rPr>
      </w:pP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pStyle w:val="11"/>
        <w:keepNext w:val="0"/>
        <w:keepLines w:val="0"/>
        <w:widowControl/>
        <w:suppressLineNumbers w:val="0"/>
      </w:pPr>
      <w:r>
        <w:rPr>
          <w:rFonts w:ascii="ä»¿å®" w:hAnsi="ä»¿å®" w:eastAsia="ä»¿å®" w:cs="ä»¿å®"/>
          <w:color w:val="000000"/>
          <w:sz w:val="24"/>
          <w:szCs w:val="24"/>
        </w:rPr>
        <w:t>按照预算绩效管理改革要求，县纪委结合预算绩效管理目标</w:t>
      </w:r>
      <w:r>
        <w:rPr>
          <w:rFonts w:ascii="EditControl" w:hAnsi="EditControl" w:eastAsia="EditControl" w:cs="EditControl"/>
          <w:color w:val="000000"/>
          <w:sz w:val="24"/>
          <w:szCs w:val="24"/>
        </w:rPr>
        <w:t xml:space="preserve"> </w:t>
      </w:r>
      <w:r>
        <w:rPr>
          <w:rFonts w:hint="default" w:ascii="ä»¿å®" w:hAnsi="ä»¿å®" w:eastAsia="ä»¿å®" w:cs="ä»¿å®"/>
          <w:color w:val="000000"/>
          <w:sz w:val="24"/>
          <w:szCs w:val="24"/>
        </w:rPr>
        <w:t>任务，从</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预算源头抓起，以绩效为目标，以结果为导向，严格执</w:t>
      </w:r>
      <w:r>
        <w:rPr>
          <w:rFonts w:ascii="ä»¿å®" w:hAnsi="ä»¿å®" w:eastAsia="ä»¿å®" w:cs="ä»¿å®"/>
          <w:color w:val="000000"/>
          <w:sz w:val="24"/>
          <w:szCs w:val="24"/>
        </w:rPr>
        <w:t>行绩效预算管理，按照县财政局有关要求，对预算项目执行及工</w:t>
      </w:r>
      <w:r>
        <w:rPr>
          <w:rFonts w:ascii="EditControl" w:hAnsi="EditControl" w:eastAsia="EditControl" w:cs="EditControl"/>
          <w:color w:val="000000"/>
          <w:sz w:val="24"/>
          <w:szCs w:val="24"/>
        </w:rPr>
        <w:t xml:space="preserve"> </w:t>
      </w:r>
      <w:r>
        <w:rPr>
          <w:rFonts w:hint="default" w:ascii="ä»¿å®" w:hAnsi="ä»¿å®" w:eastAsia="ä»¿å®" w:cs="ä»¿å®"/>
          <w:color w:val="000000"/>
          <w:sz w:val="24"/>
          <w:szCs w:val="24"/>
        </w:rPr>
        <w:t>作活动进行了绩效评价，强化了绩效意识和支出责任，促进提高</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预算资金使用效率，并将绩效评价结果应用到实际工作中去，进</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一步提升了部门预算绩效管理工作水平。</w:t>
      </w:r>
    </w:p>
    <w:p>
      <w:pPr>
        <w:pStyle w:val="11"/>
        <w:keepNext w:val="0"/>
        <w:keepLines w:val="0"/>
        <w:widowControl/>
        <w:suppressLineNumbers w:val="0"/>
        <w:rPr>
          <w:rFonts w:hint="default" w:ascii="ä»¿å®" w:hAnsi="ä»¿å®" w:eastAsia="ä»¿å®" w:cs="ä»¿å®"/>
          <w:color w:val="000000"/>
          <w:sz w:val="24"/>
          <w:szCs w:val="24"/>
        </w:rPr>
      </w:pPr>
      <w:r>
        <w:rPr>
          <w:rFonts w:hint="default" w:ascii="ä»¿å®" w:hAnsi="ä»¿å®" w:eastAsia="ä»¿å®" w:cs="ä»¿å®"/>
          <w:color w:val="000000"/>
          <w:sz w:val="24"/>
          <w:szCs w:val="24"/>
        </w:rPr>
        <w:t>按照绩效评价的有关程序，对项目绩效开展了自我评价，从</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项目年度目标、效率目标、项目管理和项目结果等方面进行了综</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合评价，清楚地了解实施项目所要取得的政治效果、社会效益和</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经济效益。通过评价，县纪委各项职责活动都圆满完成了既定目</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标，保障了机关正常有效运转和县纪委各项重要事项的落实，取</w:t>
      </w:r>
      <w:r>
        <w:rPr>
          <w:rFonts w:hint="default" w:ascii="EditControl" w:hAnsi="EditControl" w:eastAsia="EditControl" w:cs="EditControl"/>
          <w:color w:val="000000"/>
          <w:sz w:val="24"/>
          <w:szCs w:val="24"/>
        </w:rPr>
        <w:t xml:space="preserve"> </w:t>
      </w:r>
      <w:r>
        <w:rPr>
          <w:rFonts w:hint="default" w:ascii="ä»¿å®" w:hAnsi="ä»¿å®" w:eastAsia="ä»¿å®" w:cs="ä»¿å®"/>
          <w:color w:val="000000"/>
          <w:sz w:val="24"/>
          <w:szCs w:val="24"/>
        </w:rPr>
        <w:t>得了良好的效果。</w:t>
      </w:r>
    </w:p>
    <w:p>
      <w:pPr>
        <w:pStyle w:val="11"/>
        <w:keepNext w:val="0"/>
        <w:keepLines w:val="0"/>
        <w:widowControl/>
        <w:numPr>
          <w:ilvl w:val="0"/>
          <w:numId w:val="2"/>
        </w:numPr>
        <w:suppressLineNumbers w:val="0"/>
        <w:rPr>
          <w:rFonts w:hint="eastAsia" w:ascii="仿宋_GB2312" w:eastAsia="仿宋_GB2312" w:cs="DengXian-Regular"/>
          <w:sz w:val="32"/>
          <w:szCs w:val="32"/>
        </w:rPr>
      </w:pPr>
      <w:r>
        <w:rPr>
          <w:rFonts w:hint="eastAsia" w:ascii="仿宋_GB2312" w:eastAsia="仿宋_GB2312" w:cs="DengXian-Regular"/>
          <w:sz w:val="32"/>
          <w:szCs w:val="32"/>
        </w:rPr>
        <w:t>项目绩效自评结果。</w:t>
      </w:r>
    </w:p>
    <w:p>
      <w:pPr>
        <w:pStyle w:val="11"/>
        <w:keepNext w:val="0"/>
        <w:keepLines w:val="0"/>
        <w:widowControl/>
        <w:numPr>
          <w:ilvl w:val="0"/>
          <w:numId w:val="0"/>
        </w:numPr>
        <w:suppressLineNumbers w:val="0"/>
        <w:ind w:right="0" w:rightChars="0"/>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 xml:space="preserve">     无</w:t>
      </w:r>
    </w:p>
    <w:p>
      <w:pPr>
        <w:numPr>
          <w:ilvl w:val="0"/>
          <w:numId w:val="2"/>
        </w:numPr>
        <w:adjustRightInd w:val="0"/>
        <w:snapToGrid w:val="0"/>
        <w:spacing w:after="0" w:line="580" w:lineRule="exact"/>
        <w:ind w:left="0" w:leftChars="0" w:firstLine="0" w:firstLineChars="0"/>
        <w:rPr>
          <w:rFonts w:hint="eastAsia" w:ascii="仿宋_GB2312" w:eastAsia="仿宋_GB2312" w:cs="DengXian-Regular"/>
          <w:sz w:val="32"/>
          <w:szCs w:val="32"/>
        </w:rPr>
      </w:pPr>
      <w:r>
        <w:rPr>
          <w:rFonts w:hint="eastAsia" w:ascii="仿宋_GB2312" w:eastAsia="仿宋_GB2312" w:cs="DengXian-Regular"/>
          <w:sz w:val="32"/>
          <w:szCs w:val="32"/>
        </w:rPr>
        <w:t>重点项目绩效评价结果。</w:t>
      </w:r>
    </w:p>
    <w:p>
      <w:pPr>
        <w:numPr>
          <w:ilvl w:val="0"/>
          <w:numId w:val="0"/>
        </w:numPr>
        <w:adjustRightInd w:val="0"/>
        <w:snapToGrid w:val="0"/>
        <w:spacing w:after="0" w:line="580" w:lineRule="exact"/>
        <w:ind w:leftChars="0" w:firstLine="960" w:firstLineChars="300"/>
        <w:rPr>
          <w:rFonts w:hint="eastAsia" w:ascii="仿宋_GB2312" w:eastAsia="仿宋_GB2312" w:cs="DengXian-Regular"/>
          <w:sz w:val="32"/>
          <w:szCs w:val="32"/>
        </w:rPr>
      </w:pPr>
      <w:r>
        <w:rPr>
          <w:rFonts w:hint="eastAsia" w:ascii="仿宋_GB2312" w:eastAsia="仿宋_GB2312" w:cs="DengXian-Regular"/>
          <w:sz w:val="32"/>
          <w:szCs w:val="32"/>
          <w:lang w:eastAsia="zh-CN"/>
        </w:rPr>
        <w:t>无</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pStyle w:val="11"/>
        <w:keepNext w:val="0"/>
        <w:keepLines w:val="0"/>
        <w:widowControl/>
        <w:suppressLineNumbers w:val="0"/>
        <w:rPr>
          <w:rFonts w:hint="eastAsia"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136.31</w:t>
      </w:r>
      <w:r>
        <w:rPr>
          <w:rFonts w:hint="eastAsia" w:ascii="仿宋_GB2312" w:eastAsia="仿宋_GB2312" w:cs="DengXian-Regular"/>
          <w:sz w:val="32"/>
          <w:szCs w:val="32"/>
        </w:rPr>
        <w:t>万元，比年初预算数</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。主要原因是主要是严格按照中央八项规定，严控费用支出。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hAnsi="仿宋_GB2312" w:eastAsia="仿宋_GB2312" w:cs="仿宋_GB2312"/>
          <w:color w:val="000000"/>
          <w:kern w:val="0"/>
          <w:sz w:val="32"/>
          <w:szCs w:val="32"/>
          <w:lang w:bidi="ar"/>
        </w:rPr>
      </w:pPr>
      <w:r>
        <w:rPr>
          <w:rFonts w:hint="eastAsia" w:ascii="仿宋_GB2312" w:eastAsia="仿宋_GB2312" w:cs="DengXian-Regular"/>
          <w:sz w:val="32"/>
          <w:szCs w:val="32"/>
        </w:rPr>
        <w:t>本部门201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pStyle w:val="11"/>
        <w:keepNext w:val="0"/>
        <w:keepLines w:val="0"/>
        <w:widowControl/>
        <w:suppressLineNumbers w:val="0"/>
        <w:ind w:firstLine="640" w:firstLineChars="200"/>
        <w:rPr>
          <w:rFonts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val="en-US" w:eastAsia="zh-CN" w:bidi="ar"/>
        </w:rPr>
        <w:t xml:space="preserve">截至2018年12月31日，本部门共有车辆2辆，比上年持平， 主要 </w:t>
      </w:r>
      <w:r>
        <w:rPr>
          <w:rFonts w:hint="default" w:ascii="仿宋_GB2312" w:hAnsi="仿宋_GB2312" w:eastAsia="仿宋_GB2312" w:cs="仿宋_GB2312"/>
          <w:color w:val="000000"/>
          <w:kern w:val="0"/>
          <w:sz w:val="32"/>
          <w:szCs w:val="32"/>
          <w:lang w:val="en-US" w:eastAsia="zh-CN" w:bidi="ar"/>
        </w:rPr>
        <w:t>是严控公车费用。其中，机要通信用车2辆；单位价值50万元以上 通用设备0台（套），比上年持平，主要 是无此项设备 ，单位价 值100万元以上专用设备0台（套） 比上年持平,主要是无此项设备。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政府性基金、国有资本经营、政府采购</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val="en-US" w:eastAsia="zh-CN"/>
        </w:rPr>
        <w:t>08、09、10</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769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ind w:firstLine="640" w:firstLineChars="200"/>
        <w:rPr>
          <w:rFonts w:ascii="仿宋_GB2312" w:eastAsia="仿宋_GB2312" w:cs="MS-UIGothic,Bold" w:hAnsiTheme="majorEastAsia"/>
          <w:bCs/>
          <w:sz w:val="32"/>
          <w:szCs w:val="32"/>
        </w:rPr>
      </w:pPr>
      <w:r>
        <w:rPr>
          <w:rFonts w:hint="eastAsia" w:ascii="仿宋_GB2312" w:eastAsia="仿宋_GB2312" w:cs="ArialUnicodeMS" w:hAnsiTheme="majorEastAsia"/>
          <w:sz w:val="32"/>
          <w:szCs w:val="32"/>
          <w:highlight w:val="yellow"/>
        </w:rPr>
        <w:t>(各部门应根据本部门实际情况,对公开的本部门决算信息中相关专业性较强的名词进行必要解释和说明，包含但不限于以下名词解释。)</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872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872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974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974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8"/>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6CD53B-9602-4402-AA2F-EE65F024FF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AA165189-801C-49E4-9D19-DF2F468BD264}"/>
  </w:font>
  <w:font w:name="楷体">
    <w:panose1 w:val="02010609060101010101"/>
    <w:charset w:val="86"/>
    <w:family w:val="modern"/>
    <w:pitch w:val="default"/>
    <w:sig w:usb0="800002BF" w:usb1="38CF7CFA" w:usb2="00000016" w:usb3="00000000" w:csb0="00040001" w:csb1="00000000"/>
    <w:embedRegular r:id="rId3" w:fontKey="{ADB4685D-922F-4680-8D70-F296940ACE8C}"/>
  </w:font>
  <w:font w:name="仿宋_GB2312">
    <w:panose1 w:val="02010609030101010101"/>
    <w:charset w:val="86"/>
    <w:family w:val="modern"/>
    <w:pitch w:val="default"/>
    <w:sig w:usb0="00000001" w:usb1="080E0000" w:usb2="00000000" w:usb3="00000000" w:csb0="00040000" w:csb1="00000000"/>
    <w:embedRegular r:id="rId4" w:fontKey="{818DA60D-29BB-4681-9182-7046FBEA82CC}"/>
  </w:font>
  <w:font w:name="ArialUnicodeMS">
    <w:altName w:val="Malgun Gothic"/>
    <w:panose1 w:val="00000000000000000000"/>
    <w:charset w:val="81"/>
    <w:family w:val="auto"/>
    <w:pitch w:val="default"/>
    <w:sig w:usb0="00000000" w:usb1="00000000" w:usb2="00000010" w:usb3="00000000" w:csb0="00080001" w:csb1="00000000"/>
    <w:embedRegular r:id="rId5" w:fontKey="{C1D7A6BE-1956-41E0-8474-BC4FFB603FC8}"/>
  </w:font>
  <w:font w:name="ä»¿å®">
    <w:altName w:val="Segoe Print"/>
    <w:panose1 w:val="00000000000000000000"/>
    <w:charset w:val="00"/>
    <w:family w:val="auto"/>
    <w:pitch w:val="default"/>
    <w:sig w:usb0="00000000" w:usb1="00000000" w:usb2="00000000" w:usb3="00000000" w:csb0="00000000" w:csb1="00000000"/>
    <w:embedRegular r:id="rId6" w:fontKey="{ED95850E-9934-48DD-B0DB-BEFA1E4943B5}"/>
  </w:font>
  <w:font w:name="EditControl">
    <w:altName w:val="Segoe Print"/>
    <w:panose1 w:val="00000000000000000000"/>
    <w:charset w:val="00"/>
    <w:family w:val="auto"/>
    <w:pitch w:val="default"/>
    <w:sig w:usb0="00000000" w:usb1="00000000" w:usb2="00000000" w:usb3="00000000" w:csb0="00000000" w:csb1="00000000"/>
    <w:embedRegular r:id="rId7" w:fontKey="{5B668A1D-3B69-4E04-A754-D7D76AB155A1}"/>
  </w:font>
  <w:font w:name="MS-UIGothic,Bold">
    <w:altName w:val="Malgun Gothic"/>
    <w:panose1 w:val="00000000000000000000"/>
    <w:charset w:val="81"/>
    <w:family w:val="auto"/>
    <w:pitch w:val="default"/>
    <w:sig w:usb0="00000000" w:usb1="00000000" w:usb2="00000010" w:usb3="00000000" w:csb0="00080000" w:csb1="00000000"/>
    <w:embedRegular r:id="rId8" w:fontKey="{68362F80-8ACB-4C51-B34C-02E6BB726F16}"/>
  </w:font>
  <w:font w:name="DengXian-Regular">
    <w:altName w:val="宋体"/>
    <w:panose1 w:val="00000000000000000000"/>
    <w:charset w:val="86"/>
    <w:family w:val="auto"/>
    <w:pitch w:val="default"/>
    <w:sig w:usb0="00000000" w:usb1="00000000" w:usb2="00000010" w:usb3="00000000" w:csb0="00040001" w:csb1="00000000"/>
    <w:embedRegular r:id="rId9" w:fontKey="{7A5D4B99-6AA0-4F5C-A188-1F4093D508BA}"/>
  </w:font>
  <w:font w:name="楷体_GB2312">
    <w:panose1 w:val="02010609030101010101"/>
    <w:charset w:val="86"/>
    <w:family w:val="modern"/>
    <w:pitch w:val="default"/>
    <w:sig w:usb0="00000001" w:usb1="080E0000" w:usb2="00000000" w:usb3="00000000" w:csb0="00040000" w:csb1="00000000"/>
    <w:embedRegular r:id="rId10" w:fontKey="{BBFA5344-7059-419C-BC69-C9A657770C8C}"/>
  </w:font>
  <w:font w:name="DengXian-Bold">
    <w:altName w:val="宋体"/>
    <w:panose1 w:val="00000000000000000000"/>
    <w:charset w:val="86"/>
    <w:family w:val="auto"/>
    <w:pitch w:val="default"/>
    <w:sig w:usb0="00000000" w:usb1="00000000" w:usb2="00000010" w:usb3="00000000" w:csb0="00040001" w:csb1="00000000"/>
    <w:embedRegular r:id="rId11" w:fontKey="{4E2D0E00-BDF2-49C1-A419-978B5F7BCBCF}"/>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ABCB6E"/>
    <w:multiLevelType w:val="singleLevel"/>
    <w:tmpl w:val="8DABCB6E"/>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3MzdkNjM4ODgwYzA2ODU2MjM2OTJlMmM0YWU3ZDA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4073F84"/>
    <w:rsid w:val="0B60750A"/>
    <w:rsid w:val="0FDF58EC"/>
    <w:rsid w:val="10686488"/>
    <w:rsid w:val="10DF728A"/>
    <w:rsid w:val="1264200E"/>
    <w:rsid w:val="141C5B77"/>
    <w:rsid w:val="18D8339D"/>
    <w:rsid w:val="1A21388F"/>
    <w:rsid w:val="1A570D2F"/>
    <w:rsid w:val="28FB0B8D"/>
    <w:rsid w:val="2A9870FC"/>
    <w:rsid w:val="2D2B7942"/>
    <w:rsid w:val="2D46481D"/>
    <w:rsid w:val="2E733B28"/>
    <w:rsid w:val="31852B5A"/>
    <w:rsid w:val="32D01238"/>
    <w:rsid w:val="3DFC59A8"/>
    <w:rsid w:val="3ECF245E"/>
    <w:rsid w:val="3FB96314"/>
    <w:rsid w:val="4D310787"/>
    <w:rsid w:val="53A44FAF"/>
    <w:rsid w:val="594329EC"/>
    <w:rsid w:val="5BEE1540"/>
    <w:rsid w:val="5DE61A5D"/>
    <w:rsid w:val="615F2E52"/>
    <w:rsid w:val="63C04243"/>
    <w:rsid w:val="649C01C7"/>
    <w:rsid w:val="699A3F60"/>
    <w:rsid w:val="72902E62"/>
    <w:rsid w:val="73C61104"/>
    <w:rsid w:val="764B7D32"/>
    <w:rsid w:val="776452EA"/>
    <w:rsid w:val="7BB85868"/>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1615</Words>
  <Characters>9212</Characters>
  <Lines>76</Lines>
  <Paragraphs>21</Paragraphs>
  <TotalTime>3</TotalTime>
  <ScaleCrop>false</ScaleCrop>
  <LinksUpToDate>false</LinksUpToDate>
  <CharactersWithSpaces>10806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2023-11-25T10:07:07Z</dcterms:modified>
  <dc:subject>石家庄市xxx部门</dc:subject>
  <dc:title>2017年度部门决算</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3ED0FCFED7DD41F4B639C4E561FA84A0_12</vt:lpwstr>
  </property>
</Properties>
</file>