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馆陶县人民检察院</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馆陶县人民检察院</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left="0" w:leftChars="0" w:firstLine="0" w:firstLineChars="0"/>
        <w:jc w:val="center"/>
        <w:rPr>
          <w:rFonts w:ascii="楷体" w:hAnsi="楷体" w:eastAsia="楷体" w:cs="楷体"/>
          <w:b/>
          <w:sz w:val="40"/>
          <w:szCs w:val="40"/>
        </w:rPr>
      </w:pPr>
      <w:r>
        <w:rPr>
          <w:rFonts w:hint="eastAsia" w:ascii="楷体" w:hAnsi="楷体" w:eastAsia="楷体" w:cs="楷体"/>
          <w:b/>
          <w:sz w:val="40"/>
          <w:szCs w:val="40"/>
        </w:rPr>
        <w:t>（部门公章）</w:t>
      </w:r>
    </w:p>
    <w:p>
      <w:pPr>
        <w:widowControl/>
        <w:ind w:left="0" w:leftChars="0" w:firstLine="0" w:firstLineChars="0"/>
        <w:jc w:val="center"/>
        <w:rPr>
          <w:rFonts w:hint="eastAsia" w:ascii="楷体" w:hAnsi="楷体" w:eastAsia="楷体" w:cs="楷体"/>
          <w:b/>
          <w:sz w:val="40"/>
          <w:szCs w:val="40"/>
          <w:lang w:val="en-US" w:eastAsia="zh-CN"/>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w:t>
      </w:r>
      <w:r>
        <w:rPr>
          <w:rFonts w:hint="eastAsia" w:ascii="楷体" w:hAnsi="楷体" w:eastAsia="楷体" w:cs="楷体"/>
          <w:b/>
          <w:sz w:val="40"/>
          <w:szCs w:val="40"/>
          <w:lang w:eastAsia="zh-CN"/>
        </w:rPr>
        <w:t>十二月</w:t>
      </w:r>
    </w:p>
    <w:p>
      <w:pPr>
        <w:spacing w:before="624" w:beforeLines="200" w:after="0" w:line="1000" w:lineRule="exact"/>
        <w:jc w:val="center"/>
        <w:rPr>
          <w:rFonts w:hint="eastAsia" w:ascii="黑体" w:eastAsia="黑体"/>
          <w:sz w:val="48"/>
          <w:szCs w:val="48"/>
          <w:lang w:eastAsia="zh-CN"/>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馆陶县人民检察院</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numPr>
          <w:ilvl w:val="0"/>
          <w:numId w:val="1"/>
        </w:numPr>
        <w:spacing w:before="0" w:after="0" w:line="600" w:lineRule="exact"/>
        <w:jc w:val="left"/>
        <w:rPr>
          <w:rFonts w:hint="eastAsia"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部门职责</w:t>
      </w:r>
    </w:p>
    <w:p>
      <w:pPr>
        <w:numPr>
          <w:ilvl w:val="0"/>
          <w:numId w:val="0"/>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根据《中华人民共和国宪法》《中华人民共和国检察院组织法》和《河北省设区市和基层人民检察院内设机构改革方案》，馆陶县人民检察院的主要职责是：</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深入贯彻习近平新时代中国特色社会主义思想，深入贯彻党的路线方针和决策部署，坚持党对检察工作的绝对领导，坚决维护习近平总书记的核心地位，坚决维护党中央权威和集中统一领导。</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依法向县人民代表大会及其常务委员会提出议案。</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贯彻落实检察工作方针、总体规划，研究制定检察工作计划并组织实施。</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依照法律规定对直接受理的刑事案件行使侦查权。</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负责对管辖的各类刑事案件依法审查批准逮捕、决定逮捕、提起公诉。</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负责应由本院承办的刑事、民事、行政诉讼活动及刑事、民事、行政判决和裁定等生效法律文书执行的法律监督工作。</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负责由本院承办的提起公益诉讼工作。</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依法受理核准追诉案件，审查是否上报。</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负责应由本院承办的对看守所、社区矫正等执法活动的法律监督工作。</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受理向本院的控告申诉。</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组织检察工作中法律政策具体应用问题的研究；组织开展检察理论研究工作。</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负责检察人员思想政治教育和业务培训工作；按照权限管理检察官和其他工作人员。</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负责本院检务督察工作。</w:t>
      </w:r>
    </w:p>
    <w:p>
      <w:pPr>
        <w:numPr>
          <w:ilvl w:val="0"/>
          <w:numId w:val="2"/>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负责本院检务保障以及检察技术、信息化建设工作</w:t>
      </w:r>
    </w:p>
    <w:p>
      <w:pPr>
        <w:numPr>
          <w:ilvl w:val="0"/>
          <w:numId w:val="2"/>
        </w:num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完成其他应当由本院负责的工作。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3</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馆陶县人民检察院</w:t>
            </w: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馆陶县人民检察院机关</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馆陶县人民检察院事业</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参公事业单位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rPr>
            </w:pPr>
          </w:p>
        </w:tc>
      </w:tr>
    </w:tbl>
    <w:p>
      <w:pPr>
        <w:widowControl/>
        <w:spacing w:line="560" w:lineRule="exact"/>
        <w:jc w:val="both"/>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hint="eastAsia" w:ascii="仿宋_GB2312" w:eastAsia="仿宋_GB2312" w:hAnsiTheme="majorEastAsia"/>
          <w:b/>
          <w:sz w:val="48"/>
          <w:szCs w:val="48"/>
          <w:highlight w:val="none"/>
          <w:lang w:eastAsia="zh-CN"/>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48"/>
          <w:szCs w:val="48"/>
          <w:highlight w:val="none"/>
          <w:lang w:eastAsia="zh-CN"/>
        </w:rPr>
        <w:t>决算报表见附件</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179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179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本部门2018年度收</w:t>
      </w:r>
      <w:r>
        <w:rPr>
          <w:rFonts w:hint="eastAsia" w:ascii="仿宋_GB2312" w:eastAsia="仿宋_GB2312" w:cs="DengXian-Regular"/>
          <w:sz w:val="32"/>
          <w:szCs w:val="32"/>
          <w:lang w:eastAsia="zh-CN"/>
        </w:rPr>
        <w:t>入</w:t>
      </w:r>
      <w:r>
        <w:rPr>
          <w:rFonts w:hint="eastAsia" w:ascii="仿宋_GB2312" w:eastAsia="仿宋_GB2312" w:cs="DengXian-Regular"/>
          <w:sz w:val="32"/>
          <w:szCs w:val="32"/>
        </w:rPr>
        <w:t>总计（含结转和结余）</w:t>
      </w:r>
      <w:r>
        <w:rPr>
          <w:rFonts w:hint="eastAsia" w:ascii="仿宋_GB2312" w:eastAsia="仿宋_GB2312" w:cs="DengXian-Regular"/>
          <w:sz w:val="32"/>
          <w:szCs w:val="32"/>
          <w:lang w:val="en-US" w:eastAsia="zh-CN"/>
        </w:rPr>
        <w:t>687.71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，支出总计</w:t>
      </w:r>
      <w:r>
        <w:rPr>
          <w:rFonts w:hint="eastAsia" w:ascii="仿宋_GB2312" w:eastAsia="仿宋_GB2312" w:cs="DengXian-Regular"/>
          <w:sz w:val="32"/>
          <w:szCs w:val="32"/>
          <w:lang w:val="en-US" w:eastAsia="zh-CN"/>
        </w:rPr>
        <w:t>633.04万元</w:t>
      </w:r>
      <w:r>
        <w:rPr>
          <w:rFonts w:hint="eastAsia" w:ascii="仿宋_GB2312" w:eastAsia="仿宋_GB2312" w:cs="DengXian-Regular"/>
          <w:sz w:val="32"/>
          <w:szCs w:val="32"/>
        </w:rPr>
        <w:t>。与2017年度决算相比，收支</w:t>
      </w:r>
      <w:r>
        <w:rPr>
          <w:rFonts w:hint="eastAsia" w:ascii="仿宋_GB2312" w:eastAsia="仿宋_GB2312" w:cs="DengXian-Regular"/>
          <w:sz w:val="32"/>
          <w:szCs w:val="32"/>
          <w:lang w:eastAsia="zh-CN"/>
        </w:rPr>
        <w:t>基本持平。</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642.08</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642.08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633.04</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459.13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73</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173.91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27</w:t>
      </w:r>
      <w:r>
        <w:rPr>
          <w:rFonts w:hint="eastAsia" w:ascii="仿宋_GB2312" w:eastAsia="仿宋_GB2312" w:cs="DengXian-Regular"/>
          <w:sz w:val="32"/>
          <w:szCs w:val="32"/>
        </w:rPr>
        <w:t>%。</w:t>
      </w:r>
      <w:r>
        <w:rPr>
          <w:sz w:val="44"/>
        </w:rP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642.08</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45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633.04</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6.11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人员经费增加</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highlight w:val="yellow"/>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642.08</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132</w:t>
      </w:r>
      <w:r>
        <w:rPr>
          <w:rFonts w:hint="eastAsia" w:ascii="仿宋_GB2312" w:eastAsia="仿宋_GB2312" w:cs="DengXian-Regular"/>
          <w:sz w:val="32"/>
          <w:szCs w:val="32"/>
        </w:rPr>
        <w:t>%,比年初预算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154.45</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人员经费的增加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633.04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130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145.41</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人员经费的增加</w:t>
      </w:r>
      <w:r>
        <w:rPr>
          <w:rFonts w:hint="eastAsia" w:ascii="仿宋_GB2312" w:eastAsia="仿宋_GB2312" w:cs="DengXian-Regular"/>
          <w:sz w:val="32"/>
          <w:szCs w:val="32"/>
        </w:rPr>
        <w:t>。</w:t>
      </w:r>
    </w:p>
    <w:p>
      <w:pPr>
        <w:numPr>
          <w:ilvl w:val="0"/>
          <w:numId w:val="3"/>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633.04</w:t>
      </w:r>
      <w:r>
        <w:rPr>
          <w:rFonts w:hint="eastAsia" w:ascii="仿宋_GB2312" w:eastAsia="仿宋_GB2312" w:cs="DengXian-Regular"/>
          <w:sz w:val="32"/>
          <w:szCs w:val="32"/>
        </w:rPr>
        <w:t>万元，主要用于公共安全类（类）支出</w:t>
      </w:r>
      <w:r>
        <w:rPr>
          <w:rFonts w:hint="eastAsia" w:ascii="仿宋_GB2312" w:eastAsia="仿宋_GB2312" w:cs="DengXian-Regular"/>
          <w:sz w:val="32"/>
          <w:szCs w:val="32"/>
          <w:lang w:val="en-US" w:eastAsia="zh-CN"/>
        </w:rPr>
        <w:t>633.04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pPr>
        <w:adjustRightInd w:val="0"/>
        <w:snapToGrid w:val="0"/>
        <w:spacing w:after="0" w:line="580" w:lineRule="exact"/>
        <w:ind w:firstLine="440" w:firstLineChars="1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7564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8281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281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459.13</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373.51</w:t>
      </w:r>
      <w:r>
        <w:rPr>
          <w:rFonts w:hint="eastAsia" w:ascii="仿宋_GB2312" w:eastAsia="仿宋_GB2312" w:cs="DengXian-Regular"/>
          <w:sz w:val="32"/>
          <w:szCs w:val="32"/>
        </w:rPr>
        <w:t>万元，主要包括基本工资、津贴补贴、奖金、其他工资福利支出、奖励金；公用经费</w:t>
      </w:r>
      <w:r>
        <w:rPr>
          <w:rFonts w:hint="eastAsia" w:ascii="仿宋_GB2312" w:eastAsia="仿宋_GB2312" w:cs="DengXian-Regular"/>
          <w:sz w:val="32"/>
          <w:szCs w:val="32"/>
          <w:lang w:val="en-US" w:eastAsia="zh-CN"/>
        </w:rPr>
        <w:t>85.62</w:t>
      </w:r>
      <w:r>
        <w:rPr>
          <w:rFonts w:hint="eastAsia" w:ascii="仿宋_GB2312" w:eastAsia="仿宋_GB2312" w:cs="DengXian-Regular"/>
          <w:sz w:val="32"/>
          <w:szCs w:val="32"/>
        </w:rPr>
        <w:t>万元，主要包括办公费、手续费、电费、邮电费、物业管理费、差旅费、维修（护）费、培训费、劳务费、委托业务费、公务用车运行维护费、其他交通费用、其他商品和服务支出、办公设备购置。</w:t>
      </w:r>
    </w:p>
    <w:p>
      <w:pPr>
        <w:pStyle w:val="3"/>
        <w:spacing w:before="0" w:after="0" w:line="580" w:lineRule="exact"/>
        <w:ind w:firstLine="640" w:firstLineChars="200"/>
        <w:rPr>
          <w:rFonts w:ascii="仿宋_GB2312" w:hAnsi="Times New Roman" w:eastAsia="仿宋_GB2312" w:cs="DengXian-Regular"/>
          <w:b w:val="0"/>
          <w:bCs w:val="0"/>
          <w:highlight w:val="yellow"/>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17.95</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1.25</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7</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17.95</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1.25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color w:val="000000" w:themeColor="text1"/>
          <w:sz w:val="32"/>
          <w:szCs w:val="32"/>
          <w:lang w:eastAsia="zh-CN"/>
          <w14:textFill>
            <w14:solidFill>
              <w14:schemeClr w14:val="tx1"/>
            </w14:solidFill>
          </w14:textFill>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未发生公务用车购置费。</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1.25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%,主要是认真贯彻落实中央</w:t>
      </w:r>
      <w:bookmarkStart w:id="0" w:name="_GoBack"/>
      <w:bookmarkEnd w:id="0"/>
      <w:r>
        <w:rPr>
          <w:rFonts w:hint="eastAsia" w:ascii="仿宋_GB2312" w:eastAsia="仿宋_GB2312" w:cs="DengXian-Regular"/>
          <w:sz w:val="32"/>
          <w:szCs w:val="32"/>
        </w:rPr>
        <w:t>八项规定精神和厉行节约要求，从严控制“三公”经费开支，全年实际支出比预算有所节约。</w:t>
      </w:r>
    </w:p>
    <w:p>
      <w:pPr>
        <w:adjustRightInd w:val="0"/>
        <w:snapToGrid w:val="0"/>
        <w:spacing w:after="0" w:line="580" w:lineRule="exact"/>
        <w:ind w:firstLine="643" w:firstLineChars="200"/>
        <w:rPr>
          <w:rFonts w:hint="eastAsia" w:ascii="仿宋_GB2312" w:eastAsia="仿宋_GB2312" w:cs="DengXian-Regular"/>
          <w:sz w:val="32"/>
          <w:szCs w:val="32"/>
          <w:highlight w:val="yellow"/>
          <w:lang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7769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公务接待</w:t>
      </w:r>
      <w:r>
        <w:rPr>
          <w:rFonts w:hint="eastAsia" w:ascii="仿宋_GB2312" w:eastAsia="仿宋_GB2312" w:cs="DengXian-Regular"/>
          <w:sz w:val="32"/>
          <w:szCs w:val="32"/>
          <w:lang w:eastAsia="zh-CN"/>
        </w:rPr>
        <w:t>费。</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autoSpaceDE w:val="0"/>
        <w:autoSpaceDN w:val="0"/>
        <w:adjustRightInd w:val="0"/>
        <w:ind w:left="198" w:firstLine="562" w:firstLineChars="200"/>
        <w:jc w:val="left"/>
        <w:rPr>
          <w:rFonts w:hint="eastAsia" w:ascii="仿宋_GB2312" w:hAnsi="Times New Roman" w:eastAsia="仿宋_GB2312"/>
          <w:sz w:val="32"/>
          <w:szCs w:val="32"/>
          <w:lang w:val="en-US" w:eastAsia="zh-CN"/>
        </w:rPr>
      </w:pPr>
      <w:r>
        <w:rPr>
          <w:rFonts w:hint="eastAsia" w:ascii="方正楷体_GBK" w:eastAsia="方正楷体_GBK"/>
          <w:b/>
          <w:sz w:val="28"/>
          <w:lang w:val="en-US" w:eastAsia="zh-CN"/>
        </w:rPr>
        <w:t xml:space="preserve"> </w:t>
      </w:r>
      <w:r>
        <w:rPr>
          <w:rFonts w:hint="eastAsia" w:ascii="仿宋_GB2312" w:hAnsi="Times New Roman" w:eastAsia="仿宋_GB2312"/>
          <w:sz w:val="32"/>
          <w:szCs w:val="32"/>
          <w:lang w:val="en-US" w:eastAsia="zh-CN"/>
        </w:rPr>
        <w:t>201</w:t>
      </w:r>
      <w:r>
        <w:rPr>
          <w:rFonts w:hint="eastAsia" w:ascii="仿宋_GB2312" w:eastAsia="仿宋_GB2312"/>
          <w:sz w:val="32"/>
          <w:szCs w:val="32"/>
          <w:lang w:val="en-US" w:eastAsia="zh-CN"/>
        </w:rPr>
        <w:t>8</w:t>
      </w:r>
      <w:r>
        <w:rPr>
          <w:rFonts w:hint="eastAsia" w:ascii="仿宋_GB2312" w:hAnsi="Times New Roman" w:eastAsia="仿宋_GB2312"/>
          <w:sz w:val="32"/>
          <w:szCs w:val="32"/>
          <w:lang w:val="en-US" w:eastAsia="zh-CN"/>
        </w:rPr>
        <w:t>年，馆陶县院将紧紧围绕市院和县委的工作部署，紧盯目标任务，坚定检察自信，创新法律监督，服务保障大局，以更加饱满的工作热情、更加优质的监督实效、更加严明的工作作风，在新的历史起点上奋力开创馆陶检察工作新局面。重点做好以下几项工作：</w:t>
      </w:r>
    </w:p>
    <w:p>
      <w:pPr>
        <w:autoSpaceDE w:val="0"/>
        <w:autoSpaceDN w:val="0"/>
        <w:adjustRightInd w:val="0"/>
        <w:ind w:left="198" w:firstLine="640" w:firstLineChars="200"/>
        <w:jc w:val="left"/>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一是鼎力维护社会和谐稳定。深入开展扫黑除恶专项斗争，严厉打击各类刑事犯罪。维护社会大局稳定和城乡公共安全。加强与公安、法院、司法行政等部门的协作配合，进一步发挥好检察机关在打击犯罪、保障人权、维护社会稳定中的重要作用。</w:t>
      </w:r>
    </w:p>
    <w:p>
      <w:pPr>
        <w:autoSpaceDE w:val="0"/>
        <w:autoSpaceDN w:val="0"/>
        <w:adjustRightInd w:val="0"/>
        <w:ind w:left="198" w:firstLine="640" w:firstLineChars="200"/>
        <w:jc w:val="left"/>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二是全面强化法律监督。强化对诉讼活动的监督，依法排除非法证据，加强人权司法保障。完善行政执法与刑事司法衔接工作机制，加强对行政执法活动的监督，着力解决有案不立、有罪不究等问题。全面深化刑事立案侦查、审判、执行和民事行政监督，着力提升法律监督的能力和水平。　</w:t>
      </w:r>
    </w:p>
    <w:p>
      <w:pPr>
        <w:autoSpaceDE w:val="0"/>
        <w:autoSpaceDN w:val="0"/>
        <w:adjustRightInd w:val="0"/>
        <w:ind w:left="198" w:firstLine="640" w:firstLineChars="200"/>
        <w:jc w:val="left"/>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三是大力开展公益诉讼。创新工作机制，加大案件线索搜集力度，认真履行党和国家赋予检察机关新的职责使命。加强对破坏生态环境和资源保护、食品药品安全、国有财产保护、国有土地使用权出让等领域的公益诉讼工作；积极探索行政执法监督的有效途径和手段。准确把握法定案件范围，促进依法行政，维护好国家利益和社会公共利益。</w:t>
      </w:r>
    </w:p>
    <w:p>
      <w:pPr>
        <w:autoSpaceDE w:val="0"/>
        <w:autoSpaceDN w:val="0"/>
        <w:adjustRightInd w:val="0"/>
        <w:ind w:left="198" w:firstLine="640" w:firstLineChars="200"/>
        <w:jc w:val="left"/>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四是不断加强检察队伍建设。全面落实从严治检要求，教育干警自觉增强“四个意识”，坚定“四个自信”，牢记“两个维护”。坚持把纪律和规矩挺在前面，加强党风廉政建设和自身反腐败工作。充分发扬“传帮带”的优良传统和“陶检论坛”的培训机制，努力建设一支适应正规化、专业化、职业化要求的特别能战斗的检察队伍。</w:t>
      </w:r>
    </w:p>
    <w:p>
      <w:pPr>
        <w:autoSpaceDE w:val="0"/>
        <w:autoSpaceDN w:val="0"/>
        <w:adjustRightInd w:val="0"/>
        <w:ind w:left="198" w:firstLine="640" w:firstLineChars="200"/>
        <w:jc w:val="left"/>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五是自觉接受人大和社会各界监督。创新在信息化条件下与人大代表、政协委员和社会各界的沟通交流渠道和方式，虚心听取意见、建议和批评，确保检察权的依法正确行使。</w:t>
      </w:r>
    </w:p>
    <w:p>
      <w:pPr>
        <w:adjustRightInd w:val="0"/>
        <w:snapToGrid w:val="0"/>
        <w:spacing w:after="0" w:line="580" w:lineRule="exact"/>
        <w:ind w:firstLine="640" w:firstLineChars="200"/>
        <w:rPr>
          <w:rFonts w:hint="eastAsia" w:ascii="仿宋_GB2312" w:eastAsia="仿宋_GB2312" w:cs="DengXian-Regular"/>
          <w:sz w:val="32"/>
          <w:szCs w:val="32"/>
        </w:rPr>
      </w:pP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85.62</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年初预算数</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主要是严格按照中央八项规定，从严控制经费支出。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w:t>
      </w:r>
      <w:r>
        <w:rPr>
          <w:rFonts w:hint="eastAsia" w:ascii="仿宋_GB2312" w:eastAsia="仿宋_GB2312" w:cs="DengXian-Regular"/>
          <w:sz w:val="32"/>
          <w:szCs w:val="32"/>
          <w:lang w:eastAsia="zh-CN"/>
        </w:rPr>
        <w:t>上年持平</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主要是无此项设备；</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w:t>
      </w:r>
      <w:r>
        <w:rPr>
          <w:rFonts w:hint="eastAsia" w:ascii="仿宋_GB2312" w:eastAsia="仿宋_GB2312" w:cs="DengXian-Regular"/>
          <w:sz w:val="32"/>
          <w:szCs w:val="32"/>
          <w:lang w:eastAsia="zh-CN"/>
        </w:rPr>
        <w:t>持平，主要是无此项设备。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由于决算公开表格中金额数值应当保留两位小数，公开数据为四舍五入计算结</w:t>
      </w:r>
      <w:r>
        <w:rPr>
          <w:sz w:val="44"/>
        </w:rPr>
        <mc:AlternateContent>
          <mc:Choice Requires="wpg">
            <w:drawing>
              <wp:anchor distT="0" distB="0" distL="114300" distR="114300" simplePos="0" relativeHeight="25167872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950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974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974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076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07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8"/>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04D327-0DA6-42D6-A826-2604B994AF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442D326D-6BE3-457C-B780-22C3BD088592}"/>
  </w:font>
  <w:font w:name="楷体">
    <w:panose1 w:val="02010609060101010101"/>
    <w:charset w:val="86"/>
    <w:family w:val="modern"/>
    <w:pitch w:val="default"/>
    <w:sig w:usb0="800002BF" w:usb1="38CF7CFA" w:usb2="00000016" w:usb3="00000000" w:csb0="00040001" w:csb1="00000000"/>
    <w:embedRegular r:id="rId3" w:fontKey="{1A5641F8-E136-4ADE-8B11-6541BB7189DA}"/>
  </w:font>
  <w:font w:name="仿宋_GB2312">
    <w:panose1 w:val="02010609030101010101"/>
    <w:charset w:val="86"/>
    <w:family w:val="modern"/>
    <w:pitch w:val="default"/>
    <w:sig w:usb0="00000001" w:usb1="080E0000" w:usb2="00000000" w:usb3="00000000" w:csb0="00040000" w:csb1="00000000"/>
    <w:embedRegular r:id="rId4" w:fontKey="{DF947C43-6958-4B17-93AA-0F93B0622598}"/>
  </w:font>
  <w:font w:name="ArialUnicodeMS">
    <w:altName w:val="Malgun Gothic"/>
    <w:panose1 w:val="00000000000000000000"/>
    <w:charset w:val="81"/>
    <w:family w:val="auto"/>
    <w:pitch w:val="default"/>
    <w:sig w:usb0="00000000" w:usb1="00000000" w:usb2="00000010" w:usb3="00000000" w:csb0="00080001" w:csb1="00000000"/>
    <w:embedRegular r:id="rId5" w:fontKey="{8B083ECE-C59E-451A-8B0A-F59DDBF0C12B}"/>
  </w:font>
  <w:font w:name="MS-UIGothic,Bold">
    <w:altName w:val="Malgun Gothic"/>
    <w:panose1 w:val="00000000000000000000"/>
    <w:charset w:val="81"/>
    <w:family w:val="auto"/>
    <w:pitch w:val="default"/>
    <w:sig w:usb0="00000000" w:usb1="00000000" w:usb2="00000010" w:usb3="00000000" w:csb0="00080000" w:csb1="00000000"/>
    <w:embedRegular r:id="rId6" w:fontKey="{5D9899C0-1155-4C80-BC37-C539FCEE8B77}"/>
  </w:font>
  <w:font w:name="DengXian-Regular">
    <w:altName w:val="宋体"/>
    <w:panose1 w:val="00000000000000000000"/>
    <w:charset w:val="86"/>
    <w:family w:val="auto"/>
    <w:pitch w:val="default"/>
    <w:sig w:usb0="00000000" w:usb1="00000000" w:usb2="00000010" w:usb3="00000000" w:csb0="00040001" w:csb1="00000000"/>
    <w:embedRegular r:id="rId7" w:fontKey="{675B65A2-B371-4691-AD0B-1A9AFE2D12B9}"/>
  </w:font>
  <w:font w:name="楷体_GB2312">
    <w:panose1 w:val="02010609030101010101"/>
    <w:charset w:val="86"/>
    <w:family w:val="modern"/>
    <w:pitch w:val="default"/>
    <w:sig w:usb0="00000001" w:usb1="080E0000" w:usb2="00000000" w:usb3="00000000" w:csb0="00040000" w:csb1="00000000"/>
    <w:embedRegular r:id="rId8" w:fontKey="{8D58FC20-BF69-40DB-815C-08105B73BA65}"/>
  </w:font>
  <w:font w:name="DengXian-Bold">
    <w:altName w:val="宋体"/>
    <w:panose1 w:val="00000000000000000000"/>
    <w:charset w:val="86"/>
    <w:family w:val="auto"/>
    <w:pitch w:val="default"/>
    <w:sig w:usb0="00000000" w:usb1="00000000" w:usb2="00000010" w:usb3="00000000" w:csb0="00040001" w:csb1="00000000"/>
    <w:embedRegular r:id="rId9" w:fontKey="{E4472257-FE01-4AA6-9C69-C2CE45E51AD3}"/>
  </w:font>
  <w:font w:name="方正楷体_GBK">
    <w:altName w:val="宋体"/>
    <w:panose1 w:val="00000000000000000000"/>
    <w:charset w:val="86"/>
    <w:family w:val="roman"/>
    <w:pitch w:val="default"/>
    <w:sig w:usb0="00000000" w:usb1="00000000" w:usb2="00000000" w:usb3="00000000" w:csb0="00040001" w:csb1="00000000"/>
    <w:embedRegular r:id="rId10" w:fontKey="{1FC7904B-4FA7-439D-824E-CB8308B2950A}"/>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ED15D0"/>
    <w:multiLevelType w:val="singleLevel"/>
    <w:tmpl w:val="9EED15D0"/>
    <w:lvl w:ilvl="0" w:tentative="0">
      <w:start w:val="1"/>
      <w:numFmt w:val="chineseCounting"/>
      <w:suff w:val="nothing"/>
      <w:lvlText w:val="（%1）"/>
      <w:lvlJc w:val="left"/>
      <w:rPr>
        <w:rFonts w:hint="eastAsia"/>
      </w:rPr>
    </w:lvl>
  </w:abstractNum>
  <w:abstractNum w:abstractNumId="1">
    <w:nsid w:val="0880F673"/>
    <w:multiLevelType w:val="singleLevel"/>
    <w:tmpl w:val="0880F673"/>
    <w:lvl w:ilvl="0" w:tentative="0">
      <w:start w:val="1"/>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3MzdkNjM4ODgwYzA2ODU2MjM2OTJlMmM0YWU3ZDA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619E"/>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16E6768"/>
    <w:rsid w:val="04073F84"/>
    <w:rsid w:val="09843F9B"/>
    <w:rsid w:val="0A704E9A"/>
    <w:rsid w:val="0B60750A"/>
    <w:rsid w:val="0D0A49E6"/>
    <w:rsid w:val="10686488"/>
    <w:rsid w:val="10DF728A"/>
    <w:rsid w:val="1264200E"/>
    <w:rsid w:val="13CD568E"/>
    <w:rsid w:val="141C5B77"/>
    <w:rsid w:val="142A188C"/>
    <w:rsid w:val="144C4951"/>
    <w:rsid w:val="163B6765"/>
    <w:rsid w:val="18D8339D"/>
    <w:rsid w:val="18FB6E92"/>
    <w:rsid w:val="1A21388F"/>
    <w:rsid w:val="1A570D2F"/>
    <w:rsid w:val="1E7A3A18"/>
    <w:rsid w:val="1F8E1CAC"/>
    <w:rsid w:val="20F90B13"/>
    <w:rsid w:val="22360E16"/>
    <w:rsid w:val="23597D87"/>
    <w:rsid w:val="280E3D02"/>
    <w:rsid w:val="28FB0B8D"/>
    <w:rsid w:val="291562F1"/>
    <w:rsid w:val="2A9870FC"/>
    <w:rsid w:val="2D2B7942"/>
    <w:rsid w:val="2D46481D"/>
    <w:rsid w:val="2E733B28"/>
    <w:rsid w:val="31852B5A"/>
    <w:rsid w:val="32D01238"/>
    <w:rsid w:val="365F2EDE"/>
    <w:rsid w:val="3BD5680F"/>
    <w:rsid w:val="3DFC59A8"/>
    <w:rsid w:val="3ECF245E"/>
    <w:rsid w:val="3F8B7AA1"/>
    <w:rsid w:val="3FB81D61"/>
    <w:rsid w:val="3FB96314"/>
    <w:rsid w:val="416B455E"/>
    <w:rsid w:val="53A44FAF"/>
    <w:rsid w:val="594329EC"/>
    <w:rsid w:val="5BEE1540"/>
    <w:rsid w:val="5DE61A5D"/>
    <w:rsid w:val="5F011BDE"/>
    <w:rsid w:val="63C04243"/>
    <w:rsid w:val="63DC59BC"/>
    <w:rsid w:val="649C01C7"/>
    <w:rsid w:val="699A3F60"/>
    <w:rsid w:val="6F6D2F36"/>
    <w:rsid w:val="72902E62"/>
    <w:rsid w:val="73C61104"/>
    <w:rsid w:val="776452EA"/>
    <w:rsid w:val="7DC663B9"/>
    <w:rsid w:val="7DCF0C6B"/>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B6CD849-8498-4D71-8BA8-27EB336527A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1615</Words>
  <Characters>9212</Characters>
  <Lines>76</Lines>
  <Paragraphs>21</Paragraphs>
  <TotalTime>2</TotalTime>
  <ScaleCrop>false</ScaleCrop>
  <LinksUpToDate>false</LinksUpToDate>
  <CharactersWithSpaces>10806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2023-11-25T10:37:29Z</dcterms:modified>
  <dc:subject>石家庄市xxx部门</dc:subject>
  <dc:title>2017年度部门决算</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509A71A609764C43B05C56883463C848_12</vt:lpwstr>
  </property>
</Properties>
</file>