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6F" w:rsidRDefault="00750E6F" w:rsidP="00750E6F">
      <w:pPr>
        <w:spacing w:line="400" w:lineRule="exact"/>
        <w:jc w:val="center"/>
        <w:rPr>
          <w:rFonts w:ascii="宋体" w:eastAsia="宋体" w:hAnsi="宋体" w:cs="宋体" w:hint="eastAsia"/>
          <w:b/>
          <w:bCs/>
          <w:sz w:val="36"/>
          <w:szCs w:val="36"/>
        </w:rPr>
      </w:pPr>
      <w:r>
        <w:rPr>
          <w:rFonts w:ascii="宋体" w:eastAsia="宋体" w:hAnsi="宋体" w:cs="宋体" w:hint="eastAsia"/>
          <w:b/>
          <w:bCs/>
          <w:sz w:val="36"/>
          <w:szCs w:val="36"/>
        </w:rPr>
        <w:t>冀财政法【2019】1号河北省财政厅</w:t>
      </w:r>
    </w:p>
    <w:p w:rsidR="00750E6F" w:rsidRDefault="00750E6F" w:rsidP="00750E6F">
      <w:pPr>
        <w:spacing w:line="400" w:lineRule="exact"/>
        <w:jc w:val="center"/>
        <w:rPr>
          <w:rFonts w:ascii="宋体" w:eastAsia="宋体" w:hAnsi="宋体" w:cs="宋体" w:hint="eastAsia"/>
          <w:b/>
          <w:bCs/>
          <w:sz w:val="36"/>
          <w:szCs w:val="36"/>
        </w:rPr>
      </w:pPr>
      <w:r>
        <w:rPr>
          <w:rFonts w:ascii="宋体" w:eastAsia="宋体" w:hAnsi="宋体" w:cs="宋体" w:hint="eastAsia"/>
          <w:b/>
          <w:bCs/>
          <w:sz w:val="36"/>
          <w:szCs w:val="36"/>
        </w:rPr>
        <w:t>关于下达2019年中央政法纪检监察转移支付资金的通知</w:t>
      </w:r>
    </w:p>
    <w:p w:rsidR="00750E6F" w:rsidRDefault="00750E6F" w:rsidP="00750E6F">
      <w:pPr>
        <w:spacing w:line="400" w:lineRule="exact"/>
        <w:jc w:val="center"/>
        <w:rPr>
          <w:rFonts w:ascii="Arial" w:eastAsia="宋体" w:hAnsi="Arial"/>
          <w:b/>
          <w:bCs/>
          <w:sz w:val="36"/>
          <w:szCs w:val="36"/>
        </w:rPr>
      </w:pPr>
      <w:r>
        <w:rPr>
          <w:rFonts w:ascii="宋体" w:eastAsia="宋体" w:hAnsi="宋体" w:cs="宋体" w:hint="eastAsia"/>
          <w:b/>
          <w:bCs/>
          <w:sz w:val="36"/>
          <w:szCs w:val="36"/>
        </w:rPr>
        <w:t>项目支出绩效评价报告</w:t>
      </w:r>
    </w:p>
    <w:p w:rsidR="00307D82" w:rsidRPr="00ED089E" w:rsidRDefault="00243B1C"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一、基本情况</w:t>
      </w:r>
    </w:p>
    <w:p w:rsidR="00307D82" w:rsidRPr="00ED089E" w:rsidRDefault="00243B1C" w:rsidP="00ED089E">
      <w:pPr>
        <w:spacing w:line="380" w:lineRule="exact"/>
        <w:ind w:firstLineChars="200" w:firstLine="480"/>
        <w:outlineLvl w:val="0"/>
        <w:rPr>
          <w:rFonts w:ascii="仿宋_GB2312" w:cs="仿宋_GB2312"/>
          <w:sz w:val="24"/>
          <w:szCs w:val="24"/>
        </w:rPr>
      </w:pPr>
      <w:r w:rsidRPr="00ED089E">
        <w:rPr>
          <w:rFonts w:ascii="仿宋_GB2312" w:cs="仿宋_GB2312" w:hint="eastAsia"/>
          <w:sz w:val="24"/>
          <w:szCs w:val="24"/>
        </w:rPr>
        <w:t>（一）项目概况。</w:t>
      </w:r>
    </w:p>
    <w:p w:rsidR="00307D82" w:rsidRPr="00ED089E" w:rsidRDefault="00243B1C" w:rsidP="00750E6F">
      <w:pPr>
        <w:spacing w:line="400" w:lineRule="exact"/>
        <w:ind w:firstLineChars="200" w:firstLine="480"/>
        <w:jc w:val="left"/>
        <w:rPr>
          <w:rFonts w:ascii="楷体" w:eastAsia="楷体" w:hAnsi="楷体"/>
          <w:sz w:val="24"/>
          <w:szCs w:val="24"/>
        </w:rPr>
      </w:pPr>
      <w:r w:rsidRPr="00ED089E">
        <w:rPr>
          <w:rFonts w:ascii="楷体" w:eastAsia="楷体" w:hAnsi="楷体" w:cs="仿宋_GB2312" w:hint="eastAsia"/>
          <w:sz w:val="24"/>
          <w:szCs w:val="24"/>
        </w:rPr>
        <w:t>根据冀财行</w:t>
      </w:r>
      <w:r w:rsidR="00750E6F" w:rsidRPr="00750E6F">
        <w:rPr>
          <w:rFonts w:ascii="楷体" w:eastAsia="楷体" w:hAnsi="楷体" w:cs="仿宋_GB2312" w:hint="eastAsia"/>
          <w:sz w:val="24"/>
          <w:szCs w:val="24"/>
        </w:rPr>
        <w:t>冀财政法【2019】1号河北省财政厅关于下达2019年中央政法纪检监察转移支付资金的通知</w:t>
      </w:r>
      <w:r w:rsidRPr="00ED089E">
        <w:rPr>
          <w:rFonts w:ascii="楷体" w:eastAsia="楷体" w:hAnsi="楷体" w:cs="仿宋_GB2312" w:hint="eastAsia"/>
          <w:sz w:val="24"/>
          <w:szCs w:val="24"/>
        </w:rPr>
        <w:t>，为保障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机关开展业务办案工作所需基本手段和条件的装备及办案需要，1.通过打击犯罪挽回被害者经济损失2.保障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机关办案所支出的交通、差旅等3.保障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机关办案所需装备购置，资金投入</w:t>
      </w:r>
      <w:r w:rsidR="00750E6F">
        <w:rPr>
          <w:rFonts w:ascii="楷体" w:eastAsia="楷体" w:hAnsi="楷体" w:cs="仿宋_GB2312" w:hint="eastAsia"/>
          <w:sz w:val="24"/>
          <w:szCs w:val="24"/>
        </w:rPr>
        <w:t>46</w:t>
      </w:r>
      <w:r w:rsidRPr="00ED089E">
        <w:rPr>
          <w:rFonts w:ascii="楷体" w:eastAsia="楷体" w:hAnsi="楷体" w:cs="仿宋_GB2312" w:hint="eastAsia"/>
          <w:sz w:val="24"/>
          <w:szCs w:val="24"/>
        </w:rPr>
        <w:t>万元，其中：财政拨款</w:t>
      </w:r>
      <w:r w:rsidR="00750E6F">
        <w:rPr>
          <w:rFonts w:ascii="楷体" w:eastAsia="楷体" w:hAnsi="楷体" w:cs="仿宋_GB2312" w:hint="eastAsia"/>
          <w:sz w:val="24"/>
          <w:szCs w:val="24"/>
        </w:rPr>
        <w:t>46</w:t>
      </w:r>
      <w:r w:rsidRPr="00ED089E">
        <w:rPr>
          <w:rFonts w:ascii="楷体" w:eastAsia="楷体" w:hAnsi="楷体" w:cs="仿宋_GB2312" w:hint="eastAsia"/>
          <w:sz w:val="24"/>
          <w:szCs w:val="24"/>
        </w:rPr>
        <w:t>万元（</w:t>
      </w:r>
      <w:r w:rsidR="00750E6F">
        <w:rPr>
          <w:rFonts w:ascii="楷体" w:eastAsia="楷体" w:hAnsi="楷体" w:cs="仿宋_GB2312" w:hint="eastAsia"/>
          <w:sz w:val="24"/>
          <w:szCs w:val="24"/>
        </w:rPr>
        <w:t>中央</w:t>
      </w:r>
      <w:r w:rsidR="005511CE">
        <w:rPr>
          <w:rFonts w:ascii="楷体" w:eastAsia="楷体" w:hAnsi="楷体" w:cs="仿宋_GB2312" w:hint="eastAsia"/>
          <w:sz w:val="24"/>
          <w:szCs w:val="24"/>
        </w:rPr>
        <w:t>财政</w:t>
      </w:r>
      <w:r w:rsidR="00750E6F">
        <w:rPr>
          <w:rFonts w:ascii="楷体" w:eastAsia="楷体" w:hAnsi="楷体" w:cs="仿宋_GB2312" w:hint="eastAsia"/>
          <w:sz w:val="24"/>
          <w:szCs w:val="24"/>
        </w:rPr>
        <w:t>46</w:t>
      </w:r>
      <w:r w:rsidRPr="00ED089E">
        <w:rPr>
          <w:rFonts w:ascii="楷体" w:eastAsia="楷体" w:hAnsi="楷体" w:cs="仿宋_GB2312" w:hint="eastAsia"/>
          <w:sz w:val="24"/>
          <w:szCs w:val="24"/>
        </w:rPr>
        <w:t>万元），截止2019年12月31日，实际已使用资金</w:t>
      </w:r>
      <w:r w:rsidR="00750E6F">
        <w:rPr>
          <w:rFonts w:ascii="楷体" w:eastAsia="楷体" w:hAnsi="楷体" w:cs="仿宋_GB2312" w:hint="eastAsia"/>
          <w:sz w:val="24"/>
          <w:szCs w:val="24"/>
        </w:rPr>
        <w:t>5.9</w:t>
      </w:r>
      <w:r w:rsidRPr="00ED089E">
        <w:rPr>
          <w:rFonts w:ascii="楷体" w:eastAsia="楷体" w:hAnsi="楷体" w:cs="仿宋_GB2312" w:hint="eastAsia"/>
          <w:sz w:val="24"/>
          <w:szCs w:val="24"/>
        </w:rPr>
        <w:t>万元，项目已有序进行中。</w:t>
      </w:r>
    </w:p>
    <w:p w:rsidR="00307D82" w:rsidRPr="00ED089E" w:rsidRDefault="00243B1C" w:rsidP="00ED089E">
      <w:pPr>
        <w:spacing w:line="380" w:lineRule="exact"/>
        <w:ind w:firstLineChars="200" w:firstLine="480"/>
        <w:rPr>
          <w:rFonts w:ascii="仿宋_GB2312" w:cs="仿宋_GB2312"/>
          <w:sz w:val="24"/>
          <w:szCs w:val="24"/>
        </w:rPr>
      </w:pPr>
      <w:r w:rsidRPr="00ED089E">
        <w:rPr>
          <w:rFonts w:ascii="仿宋_GB2312" w:cs="仿宋_GB2312" w:hint="eastAsia"/>
          <w:sz w:val="24"/>
          <w:szCs w:val="24"/>
        </w:rPr>
        <w:t>（二）项目绩效目标。</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总体目标：</w:t>
      </w:r>
    </w:p>
    <w:p w:rsidR="00307D82" w:rsidRPr="00ED089E" w:rsidRDefault="00243B1C"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通过打击犯罪挽回被害者经济损失。</w:t>
      </w:r>
    </w:p>
    <w:p w:rsidR="00307D82" w:rsidRPr="00ED089E" w:rsidRDefault="00243B1C"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w:t>
      </w:r>
    </w:p>
    <w:p w:rsidR="00307D82" w:rsidRPr="00ED089E" w:rsidRDefault="00243B1C"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w:t>
      </w:r>
    </w:p>
    <w:p w:rsidR="00307D82" w:rsidRPr="00ED089E" w:rsidRDefault="00243B1C"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二、绩效评价工作开展情况</w:t>
      </w:r>
    </w:p>
    <w:p w:rsidR="00307D82" w:rsidRPr="00ED089E" w:rsidRDefault="00243B1C" w:rsidP="00ED089E">
      <w:pPr>
        <w:spacing w:line="380" w:lineRule="exact"/>
        <w:ind w:firstLineChars="200" w:firstLine="480"/>
        <w:rPr>
          <w:rFonts w:ascii="仿宋_GB2312" w:cs="仿宋_GB2312"/>
          <w:sz w:val="24"/>
          <w:szCs w:val="24"/>
        </w:rPr>
      </w:pPr>
      <w:r w:rsidRPr="00ED089E">
        <w:rPr>
          <w:rFonts w:ascii="仿宋_GB2312" w:cs="仿宋_GB2312" w:hint="eastAsia"/>
          <w:sz w:val="24"/>
          <w:szCs w:val="24"/>
        </w:rPr>
        <w:t>（一）绩效评价目的、对象和范围。</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1、绩效评价目的：为深入贯彻党的十九大精神，全面落实《中共馆陶县委馆陶县人民政府关于全面实施预算绩效管理的实施意见》，进一步加强和规范预算绩效管理，确保绩效目标如期保质保量实现，提高财政资金使用效益，特开展绩效评价。</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2、绩效评价对象和范围：对馆陶县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的</w:t>
      </w:r>
      <w:r w:rsidR="00750E6F" w:rsidRPr="00750E6F">
        <w:rPr>
          <w:rFonts w:ascii="楷体" w:eastAsia="楷体" w:hAnsi="楷体" w:cs="仿宋_GB2312" w:hint="eastAsia"/>
          <w:sz w:val="24"/>
          <w:szCs w:val="24"/>
        </w:rPr>
        <w:t>冀财政法【2019】1号河北省财政厅关于下达2019年中央政法纪检监察转移支付资金的通知</w:t>
      </w:r>
      <w:r w:rsidRPr="00ED089E">
        <w:rPr>
          <w:rFonts w:ascii="楷体" w:eastAsia="楷体" w:hAnsi="楷体" w:cs="仿宋_GB2312" w:hint="eastAsia"/>
          <w:sz w:val="24"/>
          <w:szCs w:val="24"/>
        </w:rPr>
        <w:t>项目开展绩效评价，具体包括财政资金的使用情况，绩效目标和指标的实现程度，绩效评价制度的建立情况等。</w:t>
      </w:r>
    </w:p>
    <w:p w:rsidR="00307D82" w:rsidRPr="00ED089E" w:rsidRDefault="00243B1C" w:rsidP="00ED089E">
      <w:pPr>
        <w:spacing w:line="380" w:lineRule="exact"/>
        <w:ind w:firstLineChars="200" w:firstLine="480"/>
        <w:rPr>
          <w:rFonts w:ascii="仿宋_GB2312" w:cs="仿宋_GB2312"/>
          <w:sz w:val="24"/>
          <w:szCs w:val="24"/>
        </w:rPr>
      </w:pPr>
      <w:r w:rsidRPr="00ED089E">
        <w:rPr>
          <w:rFonts w:ascii="仿宋_GB2312" w:cs="仿宋_GB2312" w:hint="eastAsia"/>
          <w:sz w:val="24"/>
          <w:szCs w:val="24"/>
        </w:rPr>
        <w:t>（二）绩效评价原则、评价指标体系（附表说明）、评价方法、评价标准等。</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1、绩效评价原则：（1）重要性原则；（2）客观性原则；（3）科学性原则；（4）常规性原则；（5）及时反馈性原则；（6）公开性原则。</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2、评价指标体系：</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584"/>
        <w:gridCol w:w="2566"/>
        <w:gridCol w:w="3457"/>
      </w:tblGrid>
      <w:tr w:rsidR="00307D82" w:rsidRPr="00ED089E">
        <w:trPr>
          <w:trHeight w:val="284"/>
          <w:tblHeader/>
          <w:jc w:val="center"/>
        </w:trPr>
        <w:tc>
          <w:tcPr>
            <w:tcW w:w="1584" w:type="dxa"/>
            <w:shd w:val="clear" w:color="auto" w:fill="FFFFFF"/>
            <w:vAlign w:val="center"/>
          </w:tcPr>
          <w:p w:rsidR="00307D82"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一级指标</w:t>
            </w:r>
          </w:p>
        </w:tc>
        <w:tc>
          <w:tcPr>
            <w:tcW w:w="2566" w:type="dxa"/>
            <w:shd w:val="clear" w:color="auto" w:fill="FFFFFF"/>
            <w:vAlign w:val="center"/>
          </w:tcPr>
          <w:p w:rsidR="00307D82"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二级指标</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三级指标</w:t>
            </w:r>
          </w:p>
        </w:tc>
      </w:tr>
      <w:tr w:rsidR="00307D82" w:rsidRPr="00ED089E">
        <w:trPr>
          <w:trHeight w:val="284"/>
          <w:jc w:val="center"/>
        </w:trPr>
        <w:tc>
          <w:tcPr>
            <w:tcW w:w="1584"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2566"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绩效目标合理性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绩效指标明确性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资金投入　</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预算编制科学性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资金分配合理性</w:t>
            </w:r>
          </w:p>
        </w:tc>
      </w:tr>
      <w:tr w:rsidR="00307D82" w:rsidRPr="00ED089E">
        <w:trPr>
          <w:trHeight w:val="284"/>
          <w:jc w:val="center"/>
        </w:trPr>
        <w:tc>
          <w:tcPr>
            <w:tcW w:w="1584"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lastRenderedPageBreak/>
              <w:t>过程</w:t>
            </w:r>
          </w:p>
        </w:tc>
        <w:tc>
          <w:tcPr>
            <w:tcW w:w="2566"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资金管理</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资金到位率</w:t>
            </w:r>
          </w:p>
        </w:tc>
      </w:tr>
      <w:tr w:rsidR="00307D82" w:rsidRPr="00ED089E">
        <w:trPr>
          <w:trHeight w:val="284"/>
          <w:jc w:val="center"/>
        </w:trPr>
        <w:tc>
          <w:tcPr>
            <w:tcW w:w="1584"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预算执行率</w:t>
            </w:r>
          </w:p>
        </w:tc>
      </w:tr>
      <w:tr w:rsidR="00307D82" w:rsidRPr="00ED089E">
        <w:trPr>
          <w:trHeight w:val="284"/>
          <w:jc w:val="center"/>
        </w:trPr>
        <w:tc>
          <w:tcPr>
            <w:tcW w:w="1584"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资金使用合规性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组织实施　</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管理制度健全性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制度执行有效性</w:t>
            </w:r>
          </w:p>
        </w:tc>
      </w:tr>
      <w:tr w:rsidR="00307D82" w:rsidRPr="00ED089E">
        <w:trPr>
          <w:trHeight w:val="343"/>
          <w:jc w:val="center"/>
        </w:trPr>
        <w:tc>
          <w:tcPr>
            <w:tcW w:w="1584" w:type="dxa"/>
            <w:vMerge w:val="restart"/>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产出指标</w:t>
            </w:r>
          </w:p>
        </w:tc>
        <w:tc>
          <w:tcPr>
            <w:tcW w:w="2566"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数量</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实际完成率</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质量达标率</w:t>
            </w:r>
          </w:p>
        </w:tc>
      </w:tr>
      <w:tr w:rsidR="00307D82" w:rsidRPr="00ED089E">
        <w:trPr>
          <w:trHeight w:val="284"/>
          <w:jc w:val="center"/>
        </w:trPr>
        <w:tc>
          <w:tcPr>
            <w:tcW w:w="1584" w:type="dxa"/>
            <w:vMerge/>
            <w:shd w:val="clear" w:color="auto" w:fill="FFFFFF"/>
            <w:vAlign w:val="center"/>
          </w:tcPr>
          <w:p w:rsidR="00307D82" w:rsidRPr="00ED089E" w:rsidRDefault="00307D82" w:rsidP="00ED089E">
            <w:pPr>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307D82" w:rsidRPr="00ED089E" w:rsidRDefault="00243B1C"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时效</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完成及时性</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w:t>
            </w: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成本节约率</w:t>
            </w:r>
          </w:p>
        </w:tc>
      </w:tr>
      <w:tr w:rsidR="00307D82" w:rsidRPr="00ED089E">
        <w:trPr>
          <w:trHeight w:val="284"/>
          <w:jc w:val="center"/>
        </w:trPr>
        <w:tc>
          <w:tcPr>
            <w:tcW w:w="1584" w:type="dxa"/>
            <w:vMerge w:val="restart"/>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效益指标</w:t>
            </w:r>
          </w:p>
        </w:tc>
        <w:tc>
          <w:tcPr>
            <w:tcW w:w="2566" w:type="dxa"/>
            <w:vMerge w:val="restart"/>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实施效益</w:t>
            </w:r>
          </w:p>
        </w:tc>
      </w:tr>
      <w:tr w:rsidR="00307D82" w:rsidRPr="00ED089E">
        <w:trPr>
          <w:trHeight w:val="284"/>
          <w:jc w:val="center"/>
        </w:trPr>
        <w:tc>
          <w:tcPr>
            <w:tcW w:w="1584"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307D82" w:rsidRPr="00ED089E" w:rsidRDefault="00307D82"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307D82" w:rsidRPr="00ED089E" w:rsidRDefault="00243B1C"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满意度</w:t>
            </w:r>
          </w:p>
        </w:tc>
      </w:tr>
    </w:tbl>
    <w:p w:rsidR="00307D82" w:rsidRPr="00ED089E" w:rsidRDefault="00243B1C" w:rsidP="00ED089E">
      <w:pPr>
        <w:numPr>
          <w:ilvl w:val="0"/>
          <w:numId w:val="2"/>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绩效评价方法：成本效益分析法，比较法，因素分析法</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4、绩效评价标准：计划标准、行业标准、历史标准</w:t>
      </w:r>
    </w:p>
    <w:p w:rsidR="00307D82" w:rsidRPr="00ED089E" w:rsidRDefault="00243B1C" w:rsidP="00ED089E">
      <w:pPr>
        <w:spacing w:line="380" w:lineRule="exact"/>
        <w:ind w:firstLineChars="200" w:firstLine="480"/>
        <w:rPr>
          <w:rFonts w:ascii="仿宋_GB2312" w:cs="仿宋_GB2312"/>
          <w:sz w:val="24"/>
          <w:szCs w:val="24"/>
        </w:rPr>
      </w:pPr>
      <w:r w:rsidRPr="00ED089E">
        <w:rPr>
          <w:rFonts w:ascii="仿宋_GB2312" w:cs="仿宋_GB2312" w:hint="eastAsia"/>
          <w:sz w:val="24"/>
          <w:szCs w:val="24"/>
        </w:rPr>
        <w:t>（三）绩效评价工作过程。</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2019年度项目绩效自评工作组”，由财务科牵头，积极开展项目绩效评价工作。在此项工作开展进行中我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0B60D4"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307D82" w:rsidRPr="00ED089E" w:rsidRDefault="00243B1C" w:rsidP="00ED089E">
      <w:pPr>
        <w:spacing w:line="380" w:lineRule="exact"/>
        <w:ind w:firstLineChars="200" w:firstLine="480"/>
        <w:rPr>
          <w:rFonts w:ascii="仿宋_GB2312" w:cs="仿宋_GB2312"/>
          <w:sz w:val="24"/>
          <w:szCs w:val="24"/>
        </w:rPr>
      </w:pPr>
      <w:r w:rsidRPr="00ED089E">
        <w:rPr>
          <w:rFonts w:ascii="黑体" w:eastAsia="黑体" w:hAnsi="黑体" w:cs="黑体" w:hint="eastAsia"/>
          <w:sz w:val="24"/>
          <w:szCs w:val="24"/>
        </w:rPr>
        <w:t>三、综合评价情况及评价结论</w:t>
      </w:r>
      <w:r w:rsidRPr="00ED089E">
        <w:rPr>
          <w:rFonts w:ascii="仿宋_GB2312" w:cs="仿宋_GB2312" w:hint="eastAsia"/>
          <w:sz w:val="24"/>
          <w:szCs w:val="24"/>
        </w:rPr>
        <w:t>（附相关评分表）</w:t>
      </w:r>
    </w:p>
    <w:p w:rsidR="00307D82" w:rsidRPr="00ED089E" w:rsidRDefault="00750E6F" w:rsidP="00ED089E">
      <w:pPr>
        <w:spacing w:line="380" w:lineRule="exact"/>
        <w:ind w:firstLineChars="200" w:firstLine="480"/>
        <w:rPr>
          <w:rFonts w:ascii="楷体" w:eastAsia="楷体" w:hAnsi="楷体" w:cs="仿宋_GB2312"/>
          <w:sz w:val="24"/>
          <w:szCs w:val="24"/>
        </w:rPr>
      </w:pPr>
      <w:r w:rsidRPr="00750E6F">
        <w:rPr>
          <w:rFonts w:ascii="楷体" w:eastAsia="楷体" w:hAnsi="楷体" w:cs="仿宋_GB2312" w:hint="eastAsia"/>
          <w:sz w:val="24"/>
          <w:szCs w:val="24"/>
        </w:rPr>
        <w:t>冀财政法【2019】1号河北省财政厅关于下达2019年中央政法纪检监察转移支付资金的通知</w:t>
      </w:r>
      <w:r w:rsidR="00243B1C" w:rsidRPr="00ED089E">
        <w:rPr>
          <w:rFonts w:ascii="楷体" w:eastAsia="楷体" w:hAnsi="楷体" w:cs="仿宋_GB2312" w:hint="eastAsia"/>
          <w:sz w:val="24"/>
          <w:szCs w:val="24"/>
        </w:rPr>
        <w:t>项目综合评价结果为优（9</w:t>
      </w:r>
      <w:r>
        <w:rPr>
          <w:rFonts w:ascii="楷体" w:eastAsia="楷体" w:hAnsi="楷体" w:cs="仿宋_GB2312" w:hint="eastAsia"/>
          <w:sz w:val="24"/>
          <w:szCs w:val="24"/>
        </w:rPr>
        <w:t>1</w:t>
      </w:r>
      <w:r w:rsidR="00243B1C" w:rsidRPr="00ED089E">
        <w:rPr>
          <w:rFonts w:ascii="楷体" w:eastAsia="楷体" w:hAnsi="楷体" w:cs="仿宋_GB2312" w:hint="eastAsia"/>
          <w:sz w:val="24"/>
          <w:szCs w:val="24"/>
        </w:rPr>
        <w:t>分），其中：执行率得分：</w:t>
      </w:r>
      <w:r>
        <w:rPr>
          <w:rFonts w:ascii="楷体" w:eastAsia="楷体" w:hAnsi="楷体" w:cs="仿宋_GB2312" w:hint="eastAsia"/>
          <w:sz w:val="24"/>
          <w:szCs w:val="24"/>
        </w:rPr>
        <w:t>1</w:t>
      </w:r>
      <w:r w:rsidR="00243B1C" w:rsidRPr="00ED089E">
        <w:rPr>
          <w:rFonts w:ascii="楷体" w:eastAsia="楷体" w:hAnsi="楷体" w:cs="仿宋_GB2312" w:hint="eastAsia"/>
          <w:sz w:val="24"/>
          <w:szCs w:val="24"/>
        </w:rPr>
        <w:t>分，绩效指标得分：</w:t>
      </w:r>
      <w:r w:rsidR="000B60D4" w:rsidRPr="00ED089E">
        <w:rPr>
          <w:rFonts w:ascii="楷体" w:eastAsia="楷体" w:hAnsi="楷体" w:cs="仿宋_GB2312" w:hint="eastAsia"/>
          <w:sz w:val="24"/>
          <w:szCs w:val="24"/>
        </w:rPr>
        <w:t>90</w:t>
      </w:r>
      <w:r w:rsidR="00243B1C" w:rsidRPr="00ED089E">
        <w:rPr>
          <w:rFonts w:ascii="楷体" w:eastAsia="楷体" w:hAnsi="楷体" w:cs="仿宋_GB2312" w:hint="eastAsia"/>
          <w:sz w:val="24"/>
          <w:szCs w:val="24"/>
        </w:rPr>
        <w:t>分。具体详见“</w:t>
      </w:r>
      <w:r w:rsidRPr="00750E6F">
        <w:rPr>
          <w:rFonts w:ascii="楷体" w:eastAsia="楷体" w:hAnsi="楷体" w:cs="仿宋_GB2312" w:hint="eastAsia"/>
          <w:sz w:val="24"/>
          <w:szCs w:val="24"/>
        </w:rPr>
        <w:t>冀财政法【2019】1号河北省财政厅关于下达2019年中央政法纪检监察转移支付资金的通知</w:t>
      </w:r>
      <w:r w:rsidR="00243B1C" w:rsidRPr="00ED089E">
        <w:rPr>
          <w:rFonts w:ascii="楷体" w:eastAsia="楷体" w:hAnsi="楷体" w:cs="仿宋_GB2312" w:hint="eastAsia"/>
          <w:sz w:val="24"/>
          <w:szCs w:val="24"/>
        </w:rPr>
        <w:t>项目支出绩效自评表”（附后）。</w:t>
      </w:r>
    </w:p>
    <w:p w:rsidR="00307D82" w:rsidRPr="00ED089E" w:rsidRDefault="00243B1C"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四、绩效评价指标分析（</w:t>
      </w:r>
      <w:r w:rsidRPr="00ED089E">
        <w:rPr>
          <w:rFonts w:ascii="楷体" w:eastAsia="楷体" w:hAnsi="楷体" w:cs="仿宋_GB2312" w:hint="eastAsia"/>
          <w:sz w:val="24"/>
          <w:szCs w:val="24"/>
        </w:rPr>
        <w:t>根据评价指标体系指标详细分析）</w:t>
      </w:r>
    </w:p>
    <w:p w:rsidR="00307D82" w:rsidRPr="00ED089E" w:rsidRDefault="00243B1C" w:rsidP="00ED089E">
      <w:pPr>
        <w:spacing w:line="380" w:lineRule="exact"/>
        <w:ind w:firstLineChars="200" w:firstLine="480"/>
        <w:outlineLvl w:val="0"/>
        <w:rPr>
          <w:rFonts w:ascii="仿宋_GB2312" w:cs="仿宋_GB2312"/>
          <w:sz w:val="24"/>
          <w:szCs w:val="24"/>
        </w:rPr>
      </w:pPr>
      <w:r w:rsidRPr="00ED089E">
        <w:rPr>
          <w:rFonts w:ascii="仿宋_GB2312" w:cs="仿宋_GB2312" w:hint="eastAsia"/>
          <w:sz w:val="24"/>
          <w:szCs w:val="24"/>
        </w:rPr>
        <w:t>（一）项目决策情况。</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1、绩效目标合理性：按照实际工作内容和项目投资额，制定了合理的绩效目标。</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2、绩效指标明确性：按照项目目标任务数和计划数，将项目绩效目标细化分解为了具体的绩效指标。</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3、预算编制科学性：经过科学论证，按照项目的工作任务和计划，合理确定了项目资金额为</w:t>
      </w:r>
      <w:r w:rsidR="00750E6F">
        <w:rPr>
          <w:rFonts w:ascii="楷体" w:eastAsia="楷体" w:hAnsi="楷体" w:cs="仿宋_GB2312" w:hint="eastAsia"/>
          <w:sz w:val="24"/>
          <w:szCs w:val="24"/>
        </w:rPr>
        <w:t>46</w:t>
      </w:r>
      <w:r w:rsidRPr="00ED089E">
        <w:rPr>
          <w:rFonts w:ascii="楷体" w:eastAsia="楷体" w:hAnsi="楷体" w:cs="仿宋_GB2312" w:hint="eastAsia"/>
          <w:sz w:val="24"/>
          <w:szCs w:val="24"/>
        </w:rPr>
        <w:t>万元。</w:t>
      </w:r>
    </w:p>
    <w:p w:rsidR="00307D82" w:rsidRPr="00ED089E" w:rsidRDefault="00243B1C" w:rsidP="00ED089E">
      <w:pPr>
        <w:spacing w:line="380" w:lineRule="exact"/>
        <w:ind w:firstLineChars="200" w:firstLine="480"/>
        <w:outlineLvl w:val="0"/>
        <w:rPr>
          <w:rFonts w:ascii="仿宋_GB2312"/>
          <w:sz w:val="24"/>
          <w:szCs w:val="24"/>
        </w:rPr>
      </w:pPr>
      <w:r w:rsidRPr="00ED089E">
        <w:rPr>
          <w:rFonts w:ascii="楷体" w:eastAsia="楷体" w:hAnsi="楷体" w:cs="仿宋_GB2312" w:hint="eastAsia"/>
          <w:sz w:val="24"/>
          <w:szCs w:val="24"/>
        </w:rPr>
        <w:t>4、资金分配合理性：依据测算，项目预算资金分配科学、合理。</w:t>
      </w:r>
    </w:p>
    <w:p w:rsidR="00307D82" w:rsidRPr="00ED089E" w:rsidRDefault="00243B1C" w:rsidP="00ED089E">
      <w:pPr>
        <w:spacing w:line="380" w:lineRule="exact"/>
        <w:ind w:firstLineChars="200" w:firstLine="480"/>
        <w:outlineLvl w:val="0"/>
        <w:rPr>
          <w:rFonts w:ascii="仿宋_GB2312" w:cs="仿宋_GB2312"/>
          <w:sz w:val="24"/>
          <w:szCs w:val="24"/>
        </w:rPr>
      </w:pPr>
      <w:r w:rsidRPr="00ED089E">
        <w:rPr>
          <w:rFonts w:ascii="仿宋_GB2312" w:cs="仿宋_GB2312" w:hint="eastAsia"/>
          <w:sz w:val="24"/>
          <w:szCs w:val="24"/>
        </w:rPr>
        <w:t>（二）项目过程情况。</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1、资金到位率：</w:t>
      </w:r>
      <w:r w:rsidRPr="00ED089E">
        <w:rPr>
          <w:rFonts w:ascii="楷体" w:eastAsia="楷体" w:hAnsi="楷体" w:cs="仿宋_GB2312"/>
          <w:sz w:val="24"/>
          <w:szCs w:val="24"/>
        </w:rPr>
        <w:t>100%</w:t>
      </w:r>
      <w:r w:rsidRPr="00ED089E">
        <w:rPr>
          <w:rFonts w:ascii="楷体" w:eastAsia="楷体" w:hAnsi="楷体" w:cs="仿宋_GB2312" w:hint="eastAsia"/>
          <w:sz w:val="24"/>
          <w:szCs w:val="24"/>
        </w:rPr>
        <w:t>。</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lastRenderedPageBreak/>
        <w:t>2、预算执行率：</w:t>
      </w:r>
      <w:r w:rsidR="00750E6F">
        <w:rPr>
          <w:rFonts w:ascii="楷体" w:eastAsia="楷体" w:hAnsi="楷体" w:cs="仿宋_GB2312" w:hint="eastAsia"/>
          <w:sz w:val="24"/>
          <w:szCs w:val="24"/>
        </w:rPr>
        <w:t>12.8</w:t>
      </w:r>
      <w:r w:rsidRPr="00ED089E">
        <w:rPr>
          <w:rFonts w:ascii="楷体" w:eastAsia="楷体" w:hAnsi="楷体" w:cs="仿宋_GB2312"/>
          <w:sz w:val="24"/>
          <w:szCs w:val="24"/>
        </w:rPr>
        <w:t>%</w:t>
      </w:r>
      <w:r w:rsidRPr="00ED089E">
        <w:rPr>
          <w:rFonts w:ascii="楷体" w:eastAsia="楷体" w:hAnsi="楷体" w:cs="仿宋_GB2312" w:hint="eastAsia"/>
          <w:sz w:val="24"/>
          <w:szCs w:val="24"/>
        </w:rPr>
        <w:t>。</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3、资金使用合规性：项目资金使用，符合国家财经法规和财务管理制度以及有关专项资金管理办法的规定，有完整的审批程序和手续，符合项目预算批复（或合同）规定的用途，不存在截留、挤占、挪用、虚列支出等情况。</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4、管理制度健全性：馆陶县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已制定（或具有）相应的财务和业务管理制度，财务和业务管理制度合法、合规、完整。</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5、制度执行有效性：项目的实施遵守相关法律法规和相关管理规定，项目（调整及）支出调整手续完备，（项目合同书、验收报告、技术鉴定等资料齐全并及时归档，项目实施的人员条件、场地设备、信息支撑等都落实到位）。</w:t>
      </w:r>
    </w:p>
    <w:p w:rsidR="00307D82" w:rsidRPr="00ED089E" w:rsidRDefault="00243B1C" w:rsidP="00ED089E">
      <w:pPr>
        <w:spacing w:line="380" w:lineRule="exact"/>
        <w:ind w:firstLineChars="200" w:firstLine="480"/>
        <w:outlineLvl w:val="0"/>
        <w:rPr>
          <w:rFonts w:ascii="仿宋_GB2312" w:cs="仿宋_GB2312"/>
          <w:sz w:val="24"/>
          <w:szCs w:val="24"/>
        </w:rPr>
      </w:pPr>
      <w:r w:rsidRPr="00ED089E">
        <w:rPr>
          <w:rFonts w:ascii="仿宋_GB2312" w:cs="仿宋_GB2312" w:hint="eastAsia"/>
          <w:sz w:val="24"/>
          <w:szCs w:val="24"/>
        </w:rPr>
        <w:t>（三）项目产出情况。</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1、数量指标：</w:t>
      </w:r>
      <w:r w:rsidR="000B60D4" w:rsidRPr="00ED089E">
        <w:rPr>
          <w:rFonts w:ascii="楷体" w:eastAsia="楷体" w:hAnsi="楷体" w:cs="仿宋_GB2312" w:hint="eastAsia"/>
          <w:sz w:val="24"/>
          <w:szCs w:val="24"/>
        </w:rPr>
        <w:t>案件结案率达到90%</w:t>
      </w:r>
      <w:r w:rsidRPr="00ED089E">
        <w:rPr>
          <w:rFonts w:ascii="楷体" w:eastAsia="楷体" w:hAnsi="楷体" w:cs="仿宋_GB2312" w:hint="eastAsia"/>
          <w:sz w:val="24"/>
          <w:szCs w:val="24"/>
        </w:rPr>
        <w:t>，年度指标完成率100%。</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2、质量指标：</w:t>
      </w:r>
      <w:r w:rsidR="000B60D4" w:rsidRPr="00ED089E">
        <w:rPr>
          <w:rFonts w:ascii="楷体" w:eastAsia="楷体" w:hAnsi="楷体" w:cs="仿宋_GB2312" w:hint="eastAsia"/>
          <w:sz w:val="24"/>
          <w:szCs w:val="24"/>
        </w:rPr>
        <w:t>案件执结</w:t>
      </w:r>
      <w:r w:rsidRPr="00ED089E">
        <w:rPr>
          <w:rFonts w:ascii="楷体" w:eastAsia="楷体" w:hAnsi="楷体" w:cs="仿宋_GB2312" w:hint="eastAsia"/>
          <w:sz w:val="24"/>
          <w:szCs w:val="24"/>
        </w:rPr>
        <w:t>比例实际完成</w:t>
      </w:r>
      <w:r w:rsidR="000B60D4" w:rsidRPr="00ED089E">
        <w:rPr>
          <w:rFonts w:ascii="楷体" w:eastAsia="楷体" w:hAnsi="楷体" w:cs="仿宋_GB2312" w:hint="eastAsia"/>
          <w:sz w:val="24"/>
          <w:szCs w:val="24"/>
        </w:rPr>
        <w:t>90</w:t>
      </w:r>
      <w:r w:rsidRPr="00ED089E">
        <w:rPr>
          <w:rFonts w:ascii="楷体" w:eastAsia="楷体" w:hAnsi="楷体" w:cs="仿宋_GB2312" w:hint="eastAsia"/>
          <w:sz w:val="24"/>
          <w:szCs w:val="24"/>
        </w:rPr>
        <w:t>%，年度指标完成率</w:t>
      </w:r>
      <w:r w:rsidR="000B60D4"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p>
    <w:p w:rsidR="00307D82" w:rsidRPr="00ED089E" w:rsidRDefault="00243B1C" w:rsidP="00ED089E">
      <w:pPr>
        <w:widowControl/>
        <w:tabs>
          <w:tab w:val="left" w:pos="298"/>
        </w:tabs>
        <w:spacing w:line="380" w:lineRule="exact"/>
        <w:ind w:firstLineChars="200" w:firstLine="480"/>
        <w:jc w:val="left"/>
        <w:rPr>
          <w:rFonts w:ascii="仿宋" w:eastAsia="仿宋" w:hAnsi="仿宋" w:cs="仿宋_GB2312"/>
          <w:bCs/>
          <w:sz w:val="24"/>
          <w:szCs w:val="24"/>
        </w:rPr>
      </w:pPr>
      <w:r w:rsidRPr="00ED089E">
        <w:rPr>
          <w:rFonts w:ascii="楷体" w:eastAsia="楷体" w:hAnsi="楷体" w:cs="仿宋_GB2312" w:hint="eastAsia"/>
          <w:sz w:val="24"/>
          <w:szCs w:val="24"/>
        </w:rPr>
        <w:t>未完成原因：因个别案件取证困难较大，未办结。</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整改措施：加大管理力度，敦促办案单位及时完成案件办理  。</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3、时效指标：事项办理时限实际完成国家省市政策要求办理事项、县委县政府批转事项、省厅要求事项、</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三定方案确定的具体业务事项，按要求提出意见、重点工作推进、出台制度措施等按要求时间办结。年度指标完成率100%。</w:t>
      </w:r>
    </w:p>
    <w:p w:rsidR="00307D82" w:rsidRPr="00ED089E" w:rsidRDefault="00243B1C" w:rsidP="00ED089E">
      <w:pPr>
        <w:spacing w:line="380" w:lineRule="exact"/>
        <w:ind w:firstLineChars="200" w:firstLine="480"/>
        <w:outlineLvl w:val="0"/>
        <w:rPr>
          <w:rFonts w:ascii="仿宋_GB2312" w:cs="仿宋_GB2312"/>
          <w:sz w:val="24"/>
          <w:szCs w:val="24"/>
        </w:rPr>
      </w:pPr>
      <w:r w:rsidRPr="00ED089E">
        <w:rPr>
          <w:rFonts w:ascii="仿宋_GB2312" w:cs="仿宋_GB2312" w:hint="eastAsia"/>
          <w:sz w:val="24"/>
          <w:szCs w:val="24"/>
        </w:rPr>
        <w:t>（四）项目效益情况。</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1、经济效益指标：维护公平公正市场经济秩序实际完成通过有效的打击犯罪等职责活动维护公平公正市场经济秩序，促进经济可持续发展，年度指标完成率100%。</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2、社会效益指标：群体性事件成功处置率实际完成100%，年度指标完成率100%。</w:t>
      </w:r>
    </w:p>
    <w:p w:rsidR="00307D82" w:rsidRPr="00ED089E" w:rsidRDefault="005511CE" w:rsidP="00ED089E">
      <w:pPr>
        <w:spacing w:line="380" w:lineRule="exact"/>
        <w:ind w:firstLineChars="200" w:firstLine="480"/>
        <w:outlineLvl w:val="0"/>
        <w:rPr>
          <w:rFonts w:ascii="楷体" w:eastAsia="楷体" w:hAnsi="楷体" w:cs="仿宋_GB2312"/>
          <w:sz w:val="24"/>
          <w:szCs w:val="24"/>
        </w:rPr>
      </w:pPr>
      <w:r>
        <w:rPr>
          <w:rFonts w:ascii="楷体" w:eastAsia="楷体" w:hAnsi="楷体" w:cs="仿宋_GB2312" w:hint="eastAsia"/>
          <w:sz w:val="24"/>
          <w:szCs w:val="24"/>
        </w:rPr>
        <w:t>3</w:t>
      </w:r>
      <w:r w:rsidR="00243B1C" w:rsidRPr="00ED089E">
        <w:rPr>
          <w:rFonts w:ascii="楷体" w:eastAsia="楷体" w:hAnsi="楷体" w:cs="仿宋_GB2312" w:hint="eastAsia"/>
          <w:sz w:val="24"/>
          <w:szCs w:val="24"/>
        </w:rPr>
        <w:t>、满意度指标：群众安全感满意度实际完成95%，年度指标完成率100%。</w:t>
      </w:r>
    </w:p>
    <w:p w:rsidR="00307D82" w:rsidRPr="00ED089E" w:rsidRDefault="00243B1C" w:rsidP="00ED089E">
      <w:pPr>
        <w:spacing w:line="380" w:lineRule="exact"/>
        <w:ind w:firstLineChars="200" w:firstLine="480"/>
        <w:rPr>
          <w:rFonts w:ascii="黑体" w:eastAsia="黑体" w:hAnsi="黑体" w:cs="黑体"/>
          <w:sz w:val="24"/>
          <w:szCs w:val="24"/>
        </w:rPr>
      </w:pPr>
      <w:r w:rsidRPr="00ED089E">
        <w:rPr>
          <w:rFonts w:ascii="黑体" w:eastAsia="黑体" w:hAnsi="黑体" w:cs="黑体" w:hint="eastAsia"/>
          <w:sz w:val="24"/>
          <w:szCs w:val="24"/>
        </w:rPr>
        <w:t>五、主要经验及做法、存在的问题及原因分析</w:t>
      </w:r>
    </w:p>
    <w:p w:rsidR="00307D82" w:rsidRPr="00ED089E" w:rsidRDefault="00243B1C"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FE3FCB"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2019年度项目绩效自评工作组”，由财务科牵头，积极开展项目绩效评价工作。在此项工作开展进行中我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FE3FCB"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307D82" w:rsidRPr="00ED089E" w:rsidRDefault="00243B1C" w:rsidP="00ED089E">
      <w:pPr>
        <w:spacing w:line="380" w:lineRule="exact"/>
        <w:ind w:firstLineChars="200" w:firstLine="480"/>
        <w:rPr>
          <w:rFonts w:ascii="黑体" w:eastAsia="黑体" w:hAnsi="黑体" w:cs="黑体"/>
          <w:sz w:val="24"/>
          <w:szCs w:val="24"/>
        </w:rPr>
      </w:pPr>
      <w:r w:rsidRPr="00ED089E">
        <w:rPr>
          <w:rFonts w:ascii="黑体" w:eastAsia="黑体" w:hAnsi="黑体" w:cs="黑体" w:hint="eastAsia"/>
          <w:sz w:val="24"/>
          <w:szCs w:val="24"/>
        </w:rPr>
        <w:t>六、有关建议</w:t>
      </w:r>
    </w:p>
    <w:p w:rsidR="00307D82"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无</w:t>
      </w:r>
    </w:p>
    <w:p w:rsidR="00307D82" w:rsidRPr="00ED089E" w:rsidRDefault="00243B1C" w:rsidP="00ED089E">
      <w:pPr>
        <w:spacing w:line="380" w:lineRule="exact"/>
        <w:ind w:firstLineChars="200" w:firstLine="480"/>
        <w:rPr>
          <w:rFonts w:ascii="黑体" w:eastAsia="黑体" w:hAnsi="黑体" w:cs="黑体"/>
          <w:sz w:val="24"/>
          <w:szCs w:val="24"/>
        </w:rPr>
      </w:pPr>
      <w:r w:rsidRPr="00ED089E">
        <w:rPr>
          <w:rFonts w:ascii="黑体" w:eastAsia="黑体" w:hAnsi="黑体" w:cs="黑体" w:hint="eastAsia"/>
          <w:sz w:val="24"/>
          <w:szCs w:val="24"/>
        </w:rPr>
        <w:t>七、其他需要说明的问题</w:t>
      </w:r>
    </w:p>
    <w:p w:rsidR="00243B1C" w:rsidRPr="00ED089E" w:rsidRDefault="00243B1C"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无</w:t>
      </w:r>
    </w:p>
    <w:sectPr w:rsidR="00243B1C" w:rsidRPr="00ED089E" w:rsidSect="00307D82">
      <w:pgSz w:w="11906" w:h="16838"/>
      <w:pgMar w:top="1928" w:right="1531" w:bottom="1701" w:left="1531" w:header="737" w:footer="851"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79" w:rsidRDefault="009F6679" w:rsidP="007E3544">
      <w:r>
        <w:separator/>
      </w:r>
    </w:p>
  </w:endnote>
  <w:endnote w:type="continuationSeparator" w:id="0">
    <w:p w:rsidR="009F6679" w:rsidRDefault="009F6679" w:rsidP="007E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79" w:rsidRDefault="009F6679" w:rsidP="007E3544">
      <w:r>
        <w:separator/>
      </w:r>
    </w:p>
  </w:footnote>
  <w:footnote w:type="continuationSeparator" w:id="0">
    <w:p w:rsidR="009F6679" w:rsidRDefault="009F6679" w:rsidP="007E3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B26FF"/>
    <w:multiLevelType w:val="singleLevel"/>
    <w:tmpl w:val="5EEB26FF"/>
    <w:lvl w:ilvl="0">
      <w:start w:val="1"/>
      <w:numFmt w:val="decimal"/>
      <w:lvlText w:val="%1."/>
      <w:lvlJc w:val="left"/>
      <w:pPr>
        <w:tabs>
          <w:tab w:val="num" w:pos="312"/>
        </w:tabs>
      </w:pPr>
    </w:lvl>
  </w:abstractNum>
  <w:abstractNum w:abstractNumId="1">
    <w:nsid w:val="5EEB2A0E"/>
    <w:multiLevelType w:val="singleLevel"/>
    <w:tmpl w:val="5EEB2A0E"/>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903617"/>
    <w:rsid w:val="0005673D"/>
    <w:rsid w:val="0006353A"/>
    <w:rsid w:val="000B60D4"/>
    <w:rsid w:val="001A2BE0"/>
    <w:rsid w:val="00243B1C"/>
    <w:rsid w:val="002D6639"/>
    <w:rsid w:val="00307D82"/>
    <w:rsid w:val="00371F65"/>
    <w:rsid w:val="003A4FE8"/>
    <w:rsid w:val="003E1408"/>
    <w:rsid w:val="00442699"/>
    <w:rsid w:val="004B7E46"/>
    <w:rsid w:val="004C5C1F"/>
    <w:rsid w:val="0053451E"/>
    <w:rsid w:val="005511CE"/>
    <w:rsid w:val="005B5BCE"/>
    <w:rsid w:val="006320A6"/>
    <w:rsid w:val="00644798"/>
    <w:rsid w:val="0067267A"/>
    <w:rsid w:val="006A60A3"/>
    <w:rsid w:val="007039C5"/>
    <w:rsid w:val="0072209F"/>
    <w:rsid w:val="00750E6F"/>
    <w:rsid w:val="00822F26"/>
    <w:rsid w:val="00882F36"/>
    <w:rsid w:val="008D731A"/>
    <w:rsid w:val="00930134"/>
    <w:rsid w:val="00961B94"/>
    <w:rsid w:val="00965C37"/>
    <w:rsid w:val="009F6679"/>
    <w:rsid w:val="00A552BE"/>
    <w:rsid w:val="00A678C6"/>
    <w:rsid w:val="00AB7B6D"/>
    <w:rsid w:val="00AD4C05"/>
    <w:rsid w:val="00BA6414"/>
    <w:rsid w:val="00C70DDF"/>
    <w:rsid w:val="00C775C2"/>
    <w:rsid w:val="00CF25B0"/>
    <w:rsid w:val="00D5450A"/>
    <w:rsid w:val="00D62FF5"/>
    <w:rsid w:val="00DA1E14"/>
    <w:rsid w:val="00DA2E30"/>
    <w:rsid w:val="00DF75CB"/>
    <w:rsid w:val="00E64528"/>
    <w:rsid w:val="00E85112"/>
    <w:rsid w:val="00E94C1C"/>
    <w:rsid w:val="00E95958"/>
    <w:rsid w:val="00ED089E"/>
    <w:rsid w:val="00F17E65"/>
    <w:rsid w:val="00F208A3"/>
    <w:rsid w:val="00F53006"/>
    <w:rsid w:val="00F82132"/>
    <w:rsid w:val="00FB5BFB"/>
    <w:rsid w:val="00FE3FCB"/>
    <w:rsid w:val="0FB81684"/>
    <w:rsid w:val="17DF0473"/>
    <w:rsid w:val="297020F5"/>
    <w:rsid w:val="299C408D"/>
    <w:rsid w:val="32DF1547"/>
    <w:rsid w:val="38D34983"/>
    <w:rsid w:val="3DD9063D"/>
    <w:rsid w:val="4BEA6AE8"/>
    <w:rsid w:val="4D903617"/>
    <w:rsid w:val="586E1395"/>
    <w:rsid w:val="59EE7ABD"/>
    <w:rsid w:val="67D3730B"/>
    <w:rsid w:val="70EE01CD"/>
    <w:rsid w:val="7E9F7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lsdException w:name="caption" w:locked="1" w:uiPriority="0" w:qFormat="1"/>
    <w:lsdException w:name="page number" w:semiHidden="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82"/>
    <w:pPr>
      <w:widowControl w:val="0"/>
      <w:jc w:val="both"/>
    </w:pPr>
    <w:rPr>
      <w:rFonts w:eastAsia="仿宋_GB2312"/>
      <w:kern w:val="2"/>
      <w:sz w:val="30"/>
      <w:szCs w:val="30"/>
    </w:rPr>
  </w:style>
  <w:style w:type="paragraph" w:styleId="2">
    <w:name w:val="heading 2"/>
    <w:basedOn w:val="a"/>
    <w:next w:val="a"/>
    <w:link w:val="2Char"/>
    <w:uiPriority w:val="99"/>
    <w:qFormat/>
    <w:rsid w:val="00307D82"/>
    <w:pPr>
      <w:keepNext/>
      <w:keepLines/>
      <w:spacing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307D82"/>
  </w:style>
  <w:style w:type="character" w:customStyle="1" w:styleId="2Char">
    <w:name w:val="标题 2 Char"/>
    <w:basedOn w:val="a0"/>
    <w:link w:val="2"/>
    <w:uiPriority w:val="99"/>
    <w:semiHidden/>
    <w:locked/>
    <w:rsid w:val="00307D82"/>
    <w:rPr>
      <w:rFonts w:ascii="Cambria" w:eastAsia="宋体" w:hAnsi="Cambria" w:cs="Cambria"/>
      <w:b/>
      <w:bCs/>
      <w:sz w:val="32"/>
      <w:szCs w:val="32"/>
    </w:rPr>
  </w:style>
  <w:style w:type="character" w:customStyle="1" w:styleId="Char">
    <w:name w:val="页脚 Char"/>
    <w:basedOn w:val="a0"/>
    <w:link w:val="a4"/>
    <w:uiPriority w:val="99"/>
    <w:semiHidden/>
    <w:locked/>
    <w:rsid w:val="00307D82"/>
    <w:rPr>
      <w:rFonts w:eastAsia="仿宋_GB2312"/>
      <w:sz w:val="18"/>
      <w:szCs w:val="18"/>
    </w:rPr>
  </w:style>
  <w:style w:type="paragraph" w:styleId="a5">
    <w:name w:val="header"/>
    <w:basedOn w:val="a"/>
    <w:uiPriority w:val="99"/>
    <w:unhideWhenUsed/>
    <w:rsid w:val="00307D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307D82"/>
    <w:pPr>
      <w:tabs>
        <w:tab w:val="center" w:pos="4153"/>
        <w:tab w:val="right" w:pos="8306"/>
      </w:tabs>
      <w:snapToGrid w:val="0"/>
      <w:jc w:val="left"/>
    </w:pPr>
    <w:rPr>
      <w:rFonts w:eastAsia="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348</Words>
  <Characters>1989</Characters>
  <Application>Microsoft Office Word</Application>
  <DocSecurity>0</DocSecurity>
  <Lines>16</Lines>
  <Paragraphs>4</Paragraphs>
  <ScaleCrop>false</ScaleCrop>
  <Company>13</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附3</dc:title>
  <dc:creator>Administrator</dc:creator>
  <cp:lastModifiedBy>Administrator</cp:lastModifiedBy>
  <cp:revision>3</cp:revision>
  <cp:lastPrinted>2020-06-18T02:55:00Z</cp:lastPrinted>
  <dcterms:created xsi:type="dcterms:W3CDTF">2020-06-29T03:32:00Z</dcterms:created>
  <dcterms:modified xsi:type="dcterms:W3CDTF">2020-06-29T03:39:00Z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