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BF4D1">
      <w:pPr>
        <w:pStyle w:val="5"/>
        <w:rPr>
          <w:rFonts w:ascii="Times New Roman"/>
          <w:sz w:val="20"/>
        </w:rPr>
      </w:pPr>
      <w:bookmarkStart w:id="9" w:name="_GoBack"/>
      <w:bookmarkEnd w:id="9"/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-1905</wp:posOffset>
            </wp:positionH>
            <wp:positionV relativeFrom="page">
              <wp:posOffset>0</wp:posOffset>
            </wp:positionV>
            <wp:extent cx="7552690" cy="106921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8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900B2">
      <w:pPr>
        <w:pStyle w:val="5"/>
        <w:rPr>
          <w:rFonts w:ascii="Times New Roman"/>
          <w:sz w:val="20"/>
        </w:rPr>
      </w:pPr>
    </w:p>
    <w:p w14:paraId="7E559C97">
      <w:pPr>
        <w:pStyle w:val="5"/>
        <w:rPr>
          <w:rFonts w:ascii="Times New Roman"/>
          <w:sz w:val="20"/>
        </w:rPr>
      </w:pPr>
    </w:p>
    <w:p w14:paraId="72763E8D">
      <w:pPr>
        <w:pStyle w:val="5"/>
        <w:rPr>
          <w:rFonts w:ascii="Times New Roman"/>
          <w:sz w:val="20"/>
        </w:rPr>
      </w:pPr>
    </w:p>
    <w:p w14:paraId="32D017AD">
      <w:pPr>
        <w:pStyle w:val="5"/>
        <w:rPr>
          <w:rFonts w:ascii="Times New Roman"/>
          <w:sz w:val="20"/>
        </w:rPr>
      </w:pPr>
    </w:p>
    <w:p w14:paraId="71E00E95">
      <w:pPr>
        <w:pStyle w:val="5"/>
        <w:rPr>
          <w:rFonts w:ascii="Times New Roman"/>
          <w:sz w:val="20"/>
        </w:rPr>
      </w:pPr>
    </w:p>
    <w:p w14:paraId="1373626F">
      <w:pPr>
        <w:pStyle w:val="5"/>
        <w:rPr>
          <w:rFonts w:ascii="Times New Roman"/>
          <w:sz w:val="20"/>
        </w:rPr>
      </w:pPr>
    </w:p>
    <w:p w14:paraId="4C1A0558">
      <w:pPr>
        <w:pStyle w:val="5"/>
        <w:rPr>
          <w:rFonts w:ascii="Times New Roman"/>
          <w:sz w:val="20"/>
        </w:rPr>
      </w:pPr>
    </w:p>
    <w:p w14:paraId="0349BCBA">
      <w:pPr>
        <w:pStyle w:val="5"/>
        <w:rPr>
          <w:rFonts w:ascii="Times New Roman"/>
          <w:sz w:val="20"/>
        </w:rPr>
      </w:pPr>
    </w:p>
    <w:p w14:paraId="1CE01F9B">
      <w:pPr>
        <w:pStyle w:val="5"/>
        <w:rPr>
          <w:rFonts w:ascii="Times New Roman"/>
          <w:sz w:val="20"/>
        </w:rPr>
      </w:pPr>
    </w:p>
    <w:p w14:paraId="2836286C">
      <w:pPr>
        <w:pStyle w:val="5"/>
        <w:spacing w:before="4"/>
        <w:rPr>
          <w:rFonts w:ascii="Times New Roman"/>
          <w:sz w:val="23"/>
        </w:rPr>
      </w:pPr>
    </w:p>
    <w:p w14:paraId="49C6FEAB">
      <w:pPr>
        <w:pStyle w:val="2"/>
        <w:spacing w:line="1180" w:lineRule="exact"/>
        <w:rPr>
          <w:color w:val="FCEEBD"/>
          <w:spacing w:val="-27"/>
        </w:rPr>
      </w:pPr>
      <w:r>
        <w:rPr>
          <w:color w:val="FCEEBD"/>
          <w:spacing w:val="-27"/>
        </w:rPr>
        <w:t xml:space="preserve">馆陶县科学技术局 </w:t>
      </w:r>
    </w:p>
    <w:p w14:paraId="022926D4">
      <w:pPr>
        <w:pStyle w:val="2"/>
        <w:spacing w:line="1180" w:lineRule="exact"/>
        <w:rPr>
          <w:rFonts w:hint="eastAsia" w:ascii="黑体" w:eastAsia="黑体"/>
          <w:sz w:val="96"/>
        </w:rPr>
      </w:pPr>
      <w:r>
        <w:rPr>
          <w:color w:val="FCEEBD"/>
        </w:rPr>
        <w:t>2018</w:t>
      </w:r>
      <w:r>
        <w:rPr>
          <w:color w:val="FCEEBD"/>
          <w:spacing w:val="-120"/>
        </w:rPr>
        <w:t xml:space="preserve"> 年</w:t>
      </w:r>
      <w:r>
        <w:rPr>
          <w:rFonts w:hint="eastAsia" w:ascii="黑体" w:eastAsia="黑体"/>
          <w:color w:val="FCEEBD"/>
          <w:sz w:val="96"/>
        </w:rPr>
        <w:t>度部门决算</w:t>
      </w:r>
    </w:p>
    <w:p w14:paraId="6120FF4F">
      <w:pPr>
        <w:pStyle w:val="5"/>
        <w:rPr>
          <w:rFonts w:ascii="黑体"/>
          <w:sz w:val="20"/>
        </w:rPr>
      </w:pPr>
    </w:p>
    <w:p w14:paraId="4AAF1F20">
      <w:pPr>
        <w:pStyle w:val="5"/>
        <w:rPr>
          <w:rFonts w:ascii="黑体"/>
          <w:sz w:val="20"/>
        </w:rPr>
      </w:pPr>
    </w:p>
    <w:p w14:paraId="76C69EA1">
      <w:pPr>
        <w:pStyle w:val="5"/>
        <w:rPr>
          <w:rFonts w:ascii="黑体"/>
          <w:sz w:val="20"/>
        </w:rPr>
      </w:pPr>
    </w:p>
    <w:p w14:paraId="5CE094E8">
      <w:pPr>
        <w:pStyle w:val="5"/>
        <w:rPr>
          <w:rFonts w:ascii="黑体"/>
          <w:sz w:val="20"/>
        </w:rPr>
      </w:pPr>
    </w:p>
    <w:p w14:paraId="1F9393E5">
      <w:pPr>
        <w:pStyle w:val="5"/>
        <w:rPr>
          <w:rFonts w:ascii="黑体"/>
          <w:sz w:val="20"/>
        </w:rPr>
      </w:pPr>
    </w:p>
    <w:p w14:paraId="7D81C30B">
      <w:pPr>
        <w:pStyle w:val="5"/>
        <w:rPr>
          <w:rFonts w:ascii="黑体"/>
          <w:sz w:val="20"/>
        </w:rPr>
      </w:pPr>
    </w:p>
    <w:p w14:paraId="6E94A9F6">
      <w:pPr>
        <w:pStyle w:val="5"/>
        <w:rPr>
          <w:rFonts w:ascii="黑体"/>
          <w:sz w:val="20"/>
        </w:rPr>
      </w:pPr>
    </w:p>
    <w:p w14:paraId="18F6B77A">
      <w:pPr>
        <w:pStyle w:val="5"/>
        <w:rPr>
          <w:rFonts w:ascii="黑体"/>
          <w:sz w:val="20"/>
        </w:rPr>
      </w:pPr>
    </w:p>
    <w:p w14:paraId="1191B87B">
      <w:pPr>
        <w:pStyle w:val="5"/>
        <w:rPr>
          <w:rFonts w:ascii="黑体"/>
          <w:sz w:val="20"/>
        </w:rPr>
      </w:pPr>
    </w:p>
    <w:p w14:paraId="4EADFA98">
      <w:pPr>
        <w:pStyle w:val="5"/>
        <w:rPr>
          <w:rFonts w:ascii="黑体"/>
          <w:sz w:val="20"/>
        </w:rPr>
      </w:pPr>
    </w:p>
    <w:p w14:paraId="5149717F">
      <w:pPr>
        <w:pStyle w:val="5"/>
        <w:rPr>
          <w:rFonts w:ascii="黑体"/>
          <w:sz w:val="20"/>
        </w:rPr>
      </w:pPr>
    </w:p>
    <w:p w14:paraId="0A5FE23B">
      <w:pPr>
        <w:pStyle w:val="5"/>
        <w:rPr>
          <w:rFonts w:ascii="黑体"/>
          <w:sz w:val="20"/>
        </w:rPr>
      </w:pPr>
    </w:p>
    <w:p w14:paraId="0BE5D461">
      <w:pPr>
        <w:pStyle w:val="5"/>
        <w:rPr>
          <w:rFonts w:ascii="黑体"/>
          <w:sz w:val="20"/>
        </w:rPr>
      </w:pPr>
    </w:p>
    <w:p w14:paraId="417AEB3B">
      <w:pPr>
        <w:pStyle w:val="5"/>
        <w:rPr>
          <w:rFonts w:ascii="黑体"/>
          <w:sz w:val="20"/>
        </w:rPr>
      </w:pPr>
    </w:p>
    <w:p w14:paraId="3ECE6160">
      <w:pPr>
        <w:pStyle w:val="5"/>
        <w:rPr>
          <w:rFonts w:ascii="黑体"/>
          <w:sz w:val="20"/>
        </w:rPr>
      </w:pPr>
    </w:p>
    <w:p w14:paraId="4A63DB62">
      <w:pPr>
        <w:pStyle w:val="5"/>
        <w:rPr>
          <w:rFonts w:ascii="黑体"/>
          <w:sz w:val="20"/>
        </w:rPr>
      </w:pPr>
    </w:p>
    <w:p w14:paraId="65EAAB76">
      <w:pPr>
        <w:pStyle w:val="5"/>
        <w:rPr>
          <w:rFonts w:ascii="黑体"/>
          <w:sz w:val="20"/>
        </w:rPr>
      </w:pPr>
    </w:p>
    <w:p w14:paraId="3F475A6F">
      <w:pPr>
        <w:pStyle w:val="5"/>
        <w:rPr>
          <w:rFonts w:ascii="黑体"/>
          <w:sz w:val="20"/>
        </w:rPr>
      </w:pPr>
    </w:p>
    <w:p w14:paraId="1469CF47">
      <w:pPr>
        <w:pStyle w:val="5"/>
        <w:rPr>
          <w:rFonts w:ascii="黑体"/>
          <w:sz w:val="20"/>
        </w:rPr>
      </w:pPr>
    </w:p>
    <w:p w14:paraId="4B5310B9">
      <w:pPr>
        <w:pStyle w:val="5"/>
        <w:rPr>
          <w:rFonts w:ascii="黑体"/>
          <w:sz w:val="20"/>
        </w:rPr>
      </w:pPr>
    </w:p>
    <w:p w14:paraId="375DA75E">
      <w:pPr>
        <w:pStyle w:val="5"/>
        <w:rPr>
          <w:rFonts w:ascii="黑体"/>
          <w:sz w:val="20"/>
        </w:rPr>
      </w:pPr>
    </w:p>
    <w:p w14:paraId="71AC8922">
      <w:pPr>
        <w:pStyle w:val="5"/>
        <w:rPr>
          <w:rFonts w:ascii="黑体"/>
          <w:sz w:val="20"/>
        </w:rPr>
      </w:pPr>
    </w:p>
    <w:p w14:paraId="41D99870">
      <w:pPr>
        <w:pStyle w:val="5"/>
        <w:rPr>
          <w:rFonts w:ascii="黑体"/>
          <w:sz w:val="20"/>
        </w:rPr>
      </w:pPr>
    </w:p>
    <w:p w14:paraId="14161D63">
      <w:pPr>
        <w:pStyle w:val="5"/>
        <w:rPr>
          <w:rFonts w:ascii="黑体"/>
          <w:sz w:val="20"/>
        </w:rPr>
      </w:pPr>
    </w:p>
    <w:p w14:paraId="4C7CB1E8">
      <w:pPr>
        <w:pStyle w:val="5"/>
        <w:spacing w:before="11"/>
        <w:rPr>
          <w:rFonts w:ascii="黑体"/>
          <w:sz w:val="27"/>
        </w:rPr>
      </w:pPr>
    </w:p>
    <w:p w14:paraId="7A7484CB">
      <w:pPr>
        <w:pStyle w:val="5"/>
        <w:ind w:firstLine="4373" w:firstLineChars="1100"/>
        <w:rPr>
          <w:rFonts w:ascii="楷体"/>
          <w:b/>
          <w:sz w:val="20"/>
        </w:rPr>
      </w:pPr>
      <w:r>
        <w:rPr>
          <w:rFonts w:hint="eastAsia" w:ascii="楷体" w:eastAsia="楷体"/>
          <w:b/>
          <w:spacing w:val="-2"/>
          <w:sz w:val="40"/>
        </w:rPr>
        <w:t>二〇一九年</w:t>
      </w:r>
      <w:r>
        <w:rPr>
          <w:rFonts w:hint="eastAsia" w:ascii="楷体" w:eastAsia="楷体"/>
          <w:b/>
          <w:spacing w:val="-2"/>
          <w:sz w:val="40"/>
          <w:lang w:eastAsia="zh-CN"/>
        </w:rPr>
        <w:t>十二</w:t>
      </w:r>
      <w:r>
        <w:rPr>
          <w:rFonts w:hint="eastAsia" w:ascii="楷体" w:eastAsia="楷体"/>
          <w:b/>
          <w:spacing w:val="-2"/>
          <w:sz w:val="40"/>
        </w:rPr>
        <w:t>月</w:t>
      </w:r>
    </w:p>
    <w:p w14:paraId="1C6D8B3E">
      <w:pPr>
        <w:pStyle w:val="5"/>
        <w:rPr>
          <w:rFonts w:ascii="楷体"/>
          <w:b/>
          <w:sz w:val="20"/>
        </w:rPr>
      </w:pPr>
    </w:p>
    <w:p w14:paraId="3D4E8FE3">
      <w:pPr>
        <w:pStyle w:val="5"/>
        <w:rPr>
          <w:rFonts w:ascii="楷体"/>
          <w:b/>
          <w:sz w:val="20"/>
        </w:rPr>
      </w:pPr>
    </w:p>
    <w:p w14:paraId="008C0C6F">
      <w:pPr>
        <w:pStyle w:val="5"/>
        <w:rPr>
          <w:rFonts w:ascii="楷体"/>
          <w:b/>
          <w:sz w:val="20"/>
        </w:rPr>
      </w:pPr>
    </w:p>
    <w:p w14:paraId="64B5CC10">
      <w:pPr>
        <w:pStyle w:val="5"/>
        <w:rPr>
          <w:rFonts w:ascii="楷体"/>
          <w:b/>
          <w:sz w:val="20"/>
        </w:rPr>
      </w:pPr>
    </w:p>
    <w:p w14:paraId="7319A0AF">
      <w:pPr>
        <w:pStyle w:val="5"/>
        <w:rPr>
          <w:rFonts w:ascii="楷体"/>
          <w:b/>
          <w:sz w:val="20"/>
        </w:rPr>
      </w:pPr>
    </w:p>
    <w:p w14:paraId="6B771CB3">
      <w:pPr>
        <w:pStyle w:val="5"/>
        <w:rPr>
          <w:rFonts w:ascii="楷体"/>
          <w:b/>
          <w:sz w:val="20"/>
        </w:rPr>
      </w:pPr>
    </w:p>
    <w:p w14:paraId="508A543B">
      <w:pPr>
        <w:pStyle w:val="5"/>
        <w:spacing w:before="3"/>
        <w:rPr>
          <w:rFonts w:ascii="楷体"/>
          <w:b/>
          <w:sz w:val="18"/>
        </w:rPr>
      </w:pPr>
    </w:p>
    <w:p w14:paraId="12B57E04">
      <w:pPr>
        <w:tabs>
          <w:tab w:val="left" w:pos="1673"/>
        </w:tabs>
        <w:spacing w:before="33"/>
        <w:ind w:left="233" w:right="0" w:firstLine="0"/>
        <w:jc w:val="center"/>
        <w:rPr>
          <w:rFonts w:hint="eastAsia" w:ascii="黑体" w:eastAsia="黑体"/>
          <w:sz w:val="48"/>
        </w:rPr>
      </w:pPr>
    </w:p>
    <w:p w14:paraId="669F85F3">
      <w:pPr>
        <w:tabs>
          <w:tab w:val="left" w:pos="1673"/>
        </w:tabs>
        <w:spacing w:before="33"/>
        <w:ind w:left="233" w:right="0" w:firstLine="0"/>
        <w:jc w:val="center"/>
        <w:rPr>
          <w:rFonts w:hint="eastAsia" w:ascii="黑体" w:eastAsia="黑体"/>
          <w:sz w:val="48"/>
        </w:rPr>
      </w:pPr>
    </w:p>
    <w:p w14:paraId="62CC380C">
      <w:pPr>
        <w:tabs>
          <w:tab w:val="left" w:pos="1673"/>
        </w:tabs>
        <w:spacing w:before="33"/>
        <w:ind w:left="233" w:right="0" w:firstLine="0"/>
        <w:jc w:val="center"/>
        <w:rPr>
          <w:rFonts w:hint="eastAsia" w:ascii="黑体" w:eastAsia="黑体"/>
          <w:sz w:val="48"/>
        </w:rPr>
      </w:pPr>
    </w:p>
    <w:p w14:paraId="3C39F83F">
      <w:pPr>
        <w:tabs>
          <w:tab w:val="left" w:pos="1673"/>
        </w:tabs>
        <w:spacing w:before="33"/>
        <w:ind w:left="233" w:right="0" w:firstLine="0"/>
        <w:jc w:val="center"/>
        <w:rPr>
          <w:rFonts w:hint="eastAsia" w:ascii="黑体" w:eastAsia="黑体"/>
          <w:sz w:val="48"/>
        </w:rPr>
      </w:pPr>
    </w:p>
    <w:p w14:paraId="3CFA1130">
      <w:pPr>
        <w:tabs>
          <w:tab w:val="left" w:pos="1673"/>
        </w:tabs>
        <w:spacing w:before="33"/>
        <w:ind w:left="233" w:right="0" w:firstLine="0"/>
        <w:jc w:val="center"/>
        <w:rPr>
          <w:rFonts w:hint="eastAsia" w:ascii="黑体" w:eastAsia="黑体"/>
          <w:sz w:val="48"/>
        </w:rPr>
      </w:pPr>
      <w:r>
        <w:rPr>
          <w:rFonts w:hint="eastAsia" w:ascii="黑体" w:eastAsia="黑体"/>
          <w:sz w:val="48"/>
        </w:rPr>
        <w:t>目</w:t>
      </w:r>
      <w:r>
        <w:rPr>
          <w:rFonts w:hint="eastAsia" w:ascii="黑体" w:eastAsia="黑体"/>
          <w:sz w:val="48"/>
        </w:rPr>
        <w:tab/>
      </w:r>
      <w:r>
        <w:rPr>
          <w:rFonts w:hint="eastAsia" w:ascii="黑体" w:eastAsia="黑体"/>
          <w:sz w:val="48"/>
        </w:rPr>
        <w:t>录</w:t>
      </w:r>
    </w:p>
    <w:p w14:paraId="2D069B80">
      <w:pPr>
        <w:pStyle w:val="5"/>
        <w:rPr>
          <w:rFonts w:ascii="黑体"/>
          <w:sz w:val="48"/>
        </w:rPr>
      </w:pPr>
    </w:p>
    <w:p w14:paraId="29CADD09">
      <w:pPr>
        <w:pStyle w:val="5"/>
        <w:tabs>
          <w:tab w:val="left" w:pos="3728"/>
        </w:tabs>
        <w:spacing w:before="337"/>
        <w:ind w:left="1967"/>
        <w:rPr>
          <w:rFonts w:hint="eastAsia" w:ascii="黑体" w:eastAsia="黑体"/>
        </w:rPr>
      </w:pPr>
      <w:r>
        <w:rPr>
          <w:rFonts w:hint="eastAsia" w:ascii="黑体" w:eastAsia="黑体"/>
        </w:rPr>
        <w:t>第一部分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部门概况</w:t>
      </w:r>
    </w:p>
    <w:p w14:paraId="75A951ED">
      <w:pPr>
        <w:pStyle w:val="5"/>
        <w:spacing w:before="8"/>
        <w:rPr>
          <w:rFonts w:ascii="黑体"/>
          <w:sz w:val="25"/>
        </w:rPr>
      </w:pPr>
    </w:p>
    <w:p w14:paraId="0D01CFD1">
      <w:pPr>
        <w:pStyle w:val="5"/>
        <w:spacing w:line="432" w:lineRule="auto"/>
        <w:ind w:left="2600" w:right="6743"/>
      </w:pPr>
      <w:r>
        <w:t>一、部门职责二、机构设置</w:t>
      </w:r>
    </w:p>
    <w:p w14:paraId="33637AAD">
      <w:pPr>
        <w:pStyle w:val="5"/>
        <w:tabs>
          <w:tab w:val="left" w:pos="3728"/>
        </w:tabs>
        <w:spacing w:before="5"/>
        <w:ind w:left="1967"/>
        <w:rPr>
          <w:rFonts w:hint="eastAsia" w:ascii="黑体" w:eastAsia="黑体"/>
        </w:rPr>
      </w:pPr>
      <w:r>
        <w:rPr>
          <w:rFonts w:hint="eastAsia" w:ascii="黑体" w:eastAsia="黑体"/>
        </w:rPr>
        <w:t>第二部分</w:t>
      </w:r>
      <w:r>
        <w:rPr>
          <w:rFonts w:hint="eastAsia" w:ascii="黑体" w:eastAsia="黑体"/>
        </w:rPr>
        <w:tab/>
      </w:r>
      <w:r>
        <w:rPr>
          <w:rFonts w:ascii="Times New Roman" w:eastAsia="Times New Roman"/>
        </w:rPr>
        <w:t>2018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hint="eastAsia" w:ascii="黑体" w:eastAsia="黑体"/>
        </w:rPr>
        <w:t>年度部门决算报表</w:t>
      </w:r>
    </w:p>
    <w:p w14:paraId="3588E73D">
      <w:pPr>
        <w:pStyle w:val="5"/>
        <w:spacing w:before="9"/>
        <w:rPr>
          <w:rFonts w:ascii="黑体"/>
          <w:sz w:val="25"/>
        </w:rPr>
      </w:pPr>
    </w:p>
    <w:p w14:paraId="018B52EC">
      <w:pPr>
        <w:pStyle w:val="5"/>
        <w:spacing w:line="432" w:lineRule="auto"/>
        <w:ind w:left="2608" w:right="5457"/>
      </w:pPr>
      <w:r>
        <w:rPr>
          <w:spacing w:val="-2"/>
        </w:rPr>
        <w:t>一、收入支出决算总表</w:t>
      </w:r>
      <w:r>
        <w:t>二、收入决算表</w:t>
      </w:r>
    </w:p>
    <w:p w14:paraId="03325F2C">
      <w:pPr>
        <w:pStyle w:val="5"/>
        <w:spacing w:before="5"/>
        <w:ind w:left="2608"/>
      </w:pPr>
      <w:r>
        <w:rPr>
          <w:w w:val="95"/>
        </w:rPr>
        <w:t>三、支出决算表</w:t>
      </w:r>
    </w:p>
    <w:p w14:paraId="58125E37">
      <w:pPr>
        <w:pStyle w:val="5"/>
        <w:spacing w:before="9"/>
        <w:rPr>
          <w:sz w:val="25"/>
        </w:rPr>
      </w:pPr>
    </w:p>
    <w:p w14:paraId="21485FA2">
      <w:pPr>
        <w:pStyle w:val="5"/>
        <w:ind w:left="2608"/>
      </w:pPr>
      <w:r>
        <w:t>四、财政拨款收入支出决算总表</w:t>
      </w:r>
    </w:p>
    <w:p w14:paraId="4CD0ED15">
      <w:pPr>
        <w:pStyle w:val="5"/>
        <w:spacing w:before="9"/>
        <w:rPr>
          <w:sz w:val="25"/>
        </w:rPr>
      </w:pPr>
    </w:p>
    <w:p w14:paraId="25B34DBA">
      <w:pPr>
        <w:pStyle w:val="5"/>
        <w:ind w:left="2608"/>
      </w:pPr>
      <w:r>
        <w:t>五、一般公共预算财政拨款支出决算表</w:t>
      </w:r>
    </w:p>
    <w:p w14:paraId="4DA2EBFD">
      <w:pPr>
        <w:pStyle w:val="5"/>
        <w:spacing w:before="11"/>
        <w:rPr>
          <w:sz w:val="25"/>
        </w:rPr>
      </w:pPr>
    </w:p>
    <w:p w14:paraId="537BA580">
      <w:pPr>
        <w:pStyle w:val="5"/>
        <w:ind w:left="2608"/>
      </w:pPr>
      <w:r>
        <w:t>六、一般公共预算财政拨款基本支出决算表</w:t>
      </w:r>
    </w:p>
    <w:p w14:paraId="4F7C27A1">
      <w:pPr>
        <w:pStyle w:val="5"/>
        <w:spacing w:before="9"/>
        <w:rPr>
          <w:sz w:val="25"/>
        </w:rPr>
      </w:pPr>
    </w:p>
    <w:p w14:paraId="7829008A">
      <w:pPr>
        <w:pStyle w:val="5"/>
        <w:spacing w:line="432" w:lineRule="auto"/>
        <w:ind w:left="2608" w:right="1653"/>
      </w:pPr>
      <w:r>
        <w:t>七、一般公共预算财政拨款</w:t>
      </w:r>
      <w:r>
        <w:rPr>
          <w:rFonts w:ascii="Times New Roman" w:hAnsi="Times New Roman" w:eastAsia="Times New Roman"/>
        </w:rPr>
        <w:t>“</w:t>
      </w:r>
      <w:r>
        <w:t>三公</w:t>
      </w:r>
      <w:r>
        <w:rPr>
          <w:rFonts w:ascii="Times New Roman" w:hAnsi="Times New Roman" w:eastAsia="Times New Roman"/>
        </w:rPr>
        <w:t>”</w:t>
      </w:r>
      <w:r>
        <w:t>经费支出决算表八、政府性基金预算财政拨款收入支出决算表</w:t>
      </w:r>
    </w:p>
    <w:p w14:paraId="1FA88750">
      <w:pPr>
        <w:pStyle w:val="5"/>
        <w:spacing w:before="5" w:line="432" w:lineRule="auto"/>
        <w:ind w:left="2608" w:right="2577"/>
      </w:pPr>
      <w:r>
        <w:t>九、国有资本经营预算财政拨款支出决算表十、政府采购情况表</w:t>
      </w:r>
    </w:p>
    <w:p w14:paraId="64E5C79D">
      <w:pPr>
        <w:spacing w:after="0" w:line="432" w:lineRule="auto"/>
        <w:sectPr>
          <w:headerReference r:id="rId5" w:type="default"/>
          <w:pgSz w:w="11910" w:h="16840"/>
          <w:pgMar w:top="820" w:right="380" w:bottom="280" w:left="260" w:header="620" w:footer="0" w:gutter="0"/>
          <w:cols w:space="720" w:num="1"/>
        </w:sectPr>
      </w:pPr>
    </w:p>
    <w:p w14:paraId="0E6EAF25">
      <w:pPr>
        <w:pStyle w:val="5"/>
        <w:rPr>
          <w:sz w:val="20"/>
        </w:rPr>
      </w:pPr>
    </w:p>
    <w:p w14:paraId="6E60408A">
      <w:pPr>
        <w:pStyle w:val="5"/>
        <w:spacing w:before="2"/>
        <w:rPr>
          <w:sz w:val="25"/>
        </w:rPr>
      </w:pPr>
    </w:p>
    <w:p w14:paraId="5BD49A27">
      <w:pPr>
        <w:pStyle w:val="5"/>
        <w:tabs>
          <w:tab w:val="left" w:pos="3567"/>
        </w:tabs>
        <w:spacing w:before="65"/>
        <w:ind w:left="1967"/>
        <w:rPr>
          <w:rFonts w:hint="eastAsia" w:ascii="黑体" w:eastAsia="黑体"/>
        </w:rPr>
      </w:pPr>
      <w:r>
        <w:rPr>
          <w:rFonts w:hint="eastAsia" w:ascii="黑体" w:eastAsia="黑体"/>
        </w:rPr>
        <w:t>第三部分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馆陶县科学技术局</w:t>
      </w:r>
      <w:r>
        <w:rPr>
          <w:rFonts w:hint="eastAsia" w:ascii="黑体" w:eastAsia="黑体"/>
          <w:spacing w:val="-80"/>
        </w:rPr>
        <w:t xml:space="preserve"> </w:t>
      </w:r>
      <w:r>
        <w:rPr>
          <w:rFonts w:ascii="Times New Roman" w:eastAsia="Times New Roman"/>
        </w:rPr>
        <w:t>2018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hint="eastAsia" w:ascii="黑体" w:eastAsia="黑体"/>
        </w:rPr>
        <w:t>年度部门决算情况说明</w:t>
      </w:r>
    </w:p>
    <w:p w14:paraId="63401BCC">
      <w:pPr>
        <w:pStyle w:val="5"/>
        <w:spacing w:before="11"/>
        <w:rPr>
          <w:rFonts w:ascii="黑体"/>
          <w:sz w:val="25"/>
        </w:rPr>
      </w:pPr>
    </w:p>
    <w:p w14:paraId="25D9F27D">
      <w:pPr>
        <w:pStyle w:val="5"/>
        <w:spacing w:line="432" w:lineRule="auto"/>
        <w:ind w:left="2608" w:right="4177"/>
      </w:pPr>
      <w:r>
        <w:rPr>
          <w:spacing w:val="-1"/>
        </w:rPr>
        <w:t>一、收入支出决算总体情况说明</w:t>
      </w:r>
      <w:r>
        <w:t>二、收入决算情况说明</w:t>
      </w:r>
    </w:p>
    <w:p w14:paraId="09E63B43">
      <w:pPr>
        <w:pStyle w:val="5"/>
        <w:spacing w:before="3"/>
        <w:ind w:left="2608"/>
      </w:pPr>
      <w:r>
        <w:rPr>
          <w:w w:val="95"/>
        </w:rPr>
        <w:t>三、支出决算情况说明</w:t>
      </w:r>
    </w:p>
    <w:p w14:paraId="4E5593C7">
      <w:pPr>
        <w:pStyle w:val="5"/>
        <w:spacing w:before="11"/>
        <w:rPr>
          <w:sz w:val="25"/>
        </w:rPr>
      </w:pPr>
    </w:p>
    <w:p w14:paraId="385675F4">
      <w:pPr>
        <w:pStyle w:val="5"/>
        <w:ind w:left="2608"/>
      </w:pPr>
      <w:r>
        <w:t>四、财政拨款收入支出决算情况说明</w:t>
      </w:r>
    </w:p>
    <w:p w14:paraId="0959B704">
      <w:pPr>
        <w:pStyle w:val="5"/>
        <w:spacing w:before="8"/>
        <w:rPr>
          <w:sz w:val="20"/>
        </w:rPr>
      </w:pPr>
    </w:p>
    <w:p w14:paraId="0E2019BC">
      <w:pPr>
        <w:pStyle w:val="5"/>
        <w:spacing w:before="65"/>
        <w:ind w:left="2608"/>
      </w:pPr>
      <w:r>
        <w:t>五、一般公共预算财政拨款</w:t>
      </w:r>
      <w:r>
        <w:rPr>
          <w:rFonts w:ascii="Times New Roman" w:hAnsi="Times New Roman" w:eastAsia="Times New Roman"/>
        </w:rPr>
        <w:t>“</w:t>
      </w:r>
      <w:r>
        <w:t>三公</w:t>
      </w:r>
      <w:r>
        <w:rPr>
          <w:rFonts w:ascii="Times New Roman" w:hAnsi="Times New Roman" w:eastAsia="Times New Roman"/>
        </w:rPr>
        <w:t>”</w:t>
      </w:r>
      <w:r>
        <w:t>经费支出决算情况说</w:t>
      </w:r>
    </w:p>
    <w:p w14:paraId="480CE106">
      <w:pPr>
        <w:pStyle w:val="5"/>
        <w:spacing w:before="171"/>
        <w:ind w:left="1967"/>
      </w:pPr>
      <w:r>
        <w:rPr>
          <w:w w:val="99"/>
        </w:rPr>
        <w:t>明</w:t>
      </w:r>
    </w:p>
    <w:p w14:paraId="4062FD84">
      <w:pPr>
        <w:pStyle w:val="5"/>
        <w:spacing w:before="5"/>
        <w:rPr>
          <w:sz w:val="21"/>
        </w:rPr>
      </w:pPr>
    </w:p>
    <w:p w14:paraId="2E8F58AE">
      <w:pPr>
        <w:pStyle w:val="5"/>
        <w:spacing w:before="55" w:line="432" w:lineRule="auto"/>
        <w:ind w:left="2608" w:right="5137"/>
      </w:pPr>
      <w:r>
        <w:t xml:space="preserve">六、预算绩效情况说明 </w:t>
      </w:r>
      <w:r>
        <w:rPr>
          <w:spacing w:val="-2"/>
        </w:rPr>
        <w:t>七、其他重要事项的说明</w:t>
      </w:r>
    </w:p>
    <w:p w14:paraId="1D55E30E">
      <w:pPr>
        <w:pStyle w:val="5"/>
        <w:tabs>
          <w:tab w:val="left" w:pos="3567"/>
        </w:tabs>
        <w:spacing w:before="5"/>
        <w:ind w:left="1967"/>
        <w:rPr>
          <w:rFonts w:hint="eastAsia" w:ascii="黑体" w:eastAsia="黑体"/>
        </w:rPr>
      </w:pPr>
      <w:r>
        <w:rPr>
          <w:rFonts w:hint="eastAsia" w:ascii="黑体" w:eastAsia="黑体"/>
        </w:rPr>
        <w:t>第四部分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名词解释</w:t>
      </w:r>
    </w:p>
    <w:p w14:paraId="5C16E41D">
      <w:pPr>
        <w:spacing w:after="0"/>
        <w:rPr>
          <w:rFonts w:hint="eastAsia" w:ascii="黑体" w:eastAsia="黑体"/>
        </w:rPr>
        <w:sectPr>
          <w:headerReference r:id="rId6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09E5B870">
      <w:pPr>
        <w:pStyle w:val="5"/>
        <w:rPr>
          <w:rFonts w:ascii="黑体"/>
          <w:sz w:val="20"/>
        </w:rPr>
      </w:pPr>
    </w:p>
    <w:p w14:paraId="71B3A8E7">
      <w:pPr>
        <w:pStyle w:val="5"/>
        <w:rPr>
          <w:rFonts w:ascii="黑体"/>
          <w:sz w:val="20"/>
        </w:rPr>
      </w:pPr>
    </w:p>
    <w:p w14:paraId="06C620E2">
      <w:pPr>
        <w:pStyle w:val="5"/>
        <w:rPr>
          <w:rFonts w:ascii="黑体"/>
          <w:sz w:val="20"/>
        </w:rPr>
      </w:pPr>
    </w:p>
    <w:p w14:paraId="423790D4">
      <w:pPr>
        <w:pStyle w:val="5"/>
        <w:rPr>
          <w:rFonts w:ascii="黑体"/>
          <w:sz w:val="20"/>
        </w:rPr>
      </w:pPr>
    </w:p>
    <w:p w14:paraId="07D0691E">
      <w:pPr>
        <w:pStyle w:val="5"/>
        <w:spacing w:before="7"/>
        <w:rPr>
          <w:rFonts w:ascii="黑体"/>
          <w:sz w:val="24"/>
        </w:rPr>
      </w:pPr>
    </w:p>
    <w:p w14:paraId="1143B111">
      <w:pPr>
        <w:pStyle w:val="5"/>
        <w:spacing w:before="55"/>
        <w:ind w:left="1328"/>
        <w:rPr>
          <w:rFonts w:hint="eastAsia" w:ascii="黑体" w:eastAsia="黑体"/>
        </w:rPr>
      </w:pPr>
      <w:r>
        <w:rPr>
          <w:rFonts w:hint="eastAsia" w:ascii="黑体" w:eastAsia="黑体"/>
        </w:rPr>
        <w:t>一、部门职责</w:t>
      </w:r>
    </w:p>
    <w:p w14:paraId="5BBC651F">
      <w:pPr>
        <w:pStyle w:val="5"/>
        <w:spacing w:before="3"/>
        <w:rPr>
          <w:rFonts w:ascii="黑体"/>
          <w:sz w:val="29"/>
        </w:rPr>
      </w:pPr>
    </w:p>
    <w:p w14:paraId="52E5185A">
      <w:pPr>
        <w:pStyle w:val="5"/>
        <w:ind w:left="1928"/>
      </w:pPr>
      <w:r>
        <w:t>主要职责</w:t>
      </w:r>
    </w:p>
    <w:p w14:paraId="4B5C3FD8">
      <w:pPr>
        <w:pStyle w:val="5"/>
        <w:spacing w:before="1"/>
        <w:rPr>
          <w:sz w:val="29"/>
        </w:rPr>
      </w:pPr>
    </w:p>
    <w:p w14:paraId="10CE3CD1">
      <w:pPr>
        <w:pStyle w:val="5"/>
        <w:spacing w:line="364" w:lineRule="auto"/>
        <w:ind w:left="1328" w:right="1093" w:firstLine="600"/>
        <w:jc w:val="both"/>
      </w:pPr>
      <w:r>
        <w:rPr>
          <w:w w:val="95"/>
        </w:rPr>
        <w:t>（一</w:t>
      </w:r>
      <w:r>
        <w:rPr>
          <w:spacing w:val="-24"/>
          <w:w w:val="95"/>
        </w:rPr>
        <w:t>）</w:t>
      </w:r>
      <w:r>
        <w:rPr>
          <w:spacing w:val="-3"/>
          <w:w w:val="95"/>
        </w:rPr>
        <w:t xml:space="preserve">健全技术创新市场导向机制，创新政府投入方式，组 </w:t>
      </w:r>
      <w:r>
        <w:rPr>
          <w:spacing w:val="-9"/>
          <w:w w:val="95"/>
        </w:rPr>
        <w:t xml:space="preserve">织实施自然科学基金和重点基础研究；以促进产业转型升级、治 </w:t>
      </w:r>
      <w:r>
        <w:rPr>
          <w:spacing w:val="-13"/>
        </w:rPr>
        <w:t>理生态环境、改善民生等重大科技需求为重点，在高新技术、现</w:t>
      </w:r>
      <w:r>
        <w:rPr>
          <w:spacing w:val="-15"/>
          <w:w w:val="95"/>
        </w:rPr>
        <w:t xml:space="preserve">代农业发展、生态环境治理与科技惠民等领域，实施关键共性技 </w:t>
      </w:r>
      <w:r>
        <w:rPr>
          <w:spacing w:val="-15"/>
        </w:rPr>
        <w:t>术研究。</w:t>
      </w:r>
    </w:p>
    <w:p w14:paraId="03651FE9">
      <w:pPr>
        <w:pStyle w:val="5"/>
        <w:spacing w:before="165" w:line="364" w:lineRule="auto"/>
        <w:ind w:left="1328" w:right="1091" w:firstLine="600"/>
        <w:jc w:val="both"/>
      </w:pPr>
      <w:r>
        <w:rPr>
          <w:w w:val="95"/>
        </w:rPr>
        <w:t>（二</w:t>
      </w:r>
      <w:r>
        <w:rPr>
          <w:spacing w:val="-36"/>
          <w:w w:val="95"/>
        </w:rPr>
        <w:t>）</w:t>
      </w:r>
      <w:r>
        <w:rPr>
          <w:spacing w:val="-2"/>
          <w:w w:val="95"/>
        </w:rPr>
        <w:t xml:space="preserve">围绕京津冀科技协同创新实施科技合作项目；支持重 </w:t>
      </w:r>
      <w:r>
        <w:rPr>
          <w:spacing w:val="-9"/>
          <w:w w:val="95"/>
        </w:rPr>
        <w:t xml:space="preserve">大科技成果转化和产业化。获得一批重要原始创新成果，培养一 </w:t>
      </w:r>
      <w:r>
        <w:rPr>
          <w:spacing w:val="-15"/>
          <w:w w:val="95"/>
        </w:rPr>
        <w:t xml:space="preserve">批高层次科技人才和创新团队，提升我省基础研究能力。为产业 </w:t>
      </w:r>
      <w:r>
        <w:rPr>
          <w:spacing w:val="-14"/>
        </w:rPr>
        <w:t>转型升级、现代农业建设、和谐宜居环境创建和民生改善提供创新支撑。</w:t>
      </w:r>
    </w:p>
    <w:p w14:paraId="6EED0F96">
      <w:pPr>
        <w:pStyle w:val="5"/>
        <w:spacing w:before="164" w:line="364" w:lineRule="auto"/>
        <w:ind w:left="1328" w:right="934" w:firstLine="600"/>
      </w:pPr>
      <w:r>
        <w:t>（三</w:t>
      </w:r>
      <w:r>
        <w:rPr>
          <w:spacing w:val="-118"/>
        </w:rPr>
        <w:t>）</w:t>
      </w:r>
      <w:r>
        <w:rPr>
          <w:spacing w:val="-10"/>
        </w:rPr>
        <w:t>负责地震监测设施建设运维、地震预测预报研究分析。提升地震监测能力，强化震情跟踪，加强基础研究，提高地震预</w:t>
      </w:r>
      <w:r>
        <w:rPr>
          <w:spacing w:val="-14"/>
        </w:rPr>
        <w:t>测水平，提供有效的公共服务。地震监测台站、台网等设施建设与运行维护。</w:t>
      </w:r>
    </w:p>
    <w:p w14:paraId="039B5A10">
      <w:pPr>
        <w:pStyle w:val="5"/>
        <w:spacing w:before="162" w:line="364" w:lineRule="auto"/>
        <w:ind w:left="1328" w:right="934" w:firstLine="600"/>
      </w:pPr>
      <w:r>
        <w:rPr>
          <w:w w:val="95"/>
        </w:rPr>
        <w:t>（四</w:t>
      </w:r>
      <w:r>
        <w:rPr>
          <w:spacing w:val="-58"/>
          <w:w w:val="95"/>
        </w:rPr>
        <w:t>）</w:t>
      </w:r>
      <w:r>
        <w:rPr>
          <w:spacing w:val="-15"/>
          <w:w w:val="95"/>
        </w:rPr>
        <w:t xml:space="preserve">实施《全民科学素质行动计划纲要》，改善科普设施， </w:t>
      </w:r>
      <w:r>
        <w:rPr>
          <w:spacing w:val="-16"/>
        </w:rPr>
        <w:t>提升科普能力，开展多种形式的科普活动。依据《全民科学素质行动计划纲要》和《科普法》并结合社会实际 需要，开展科普</w:t>
      </w:r>
    </w:p>
    <w:p w14:paraId="5B1DC94F">
      <w:pPr>
        <w:spacing w:after="0" w:line="364" w:lineRule="auto"/>
        <w:sectPr>
          <w:headerReference r:id="rId7" w:type="default"/>
          <w:pgSz w:w="11910" w:h="16840"/>
          <w:pgMar w:top="800" w:right="380" w:bottom="280" w:left="260" w:header="611" w:footer="0" w:gutter="0"/>
          <w:cols w:space="720" w:num="1"/>
        </w:sectPr>
      </w:pPr>
    </w:p>
    <w:p w14:paraId="091369E6">
      <w:pPr>
        <w:pStyle w:val="5"/>
        <w:rPr>
          <w:sz w:val="20"/>
        </w:rPr>
      </w:pPr>
    </w:p>
    <w:p w14:paraId="30FE1E41">
      <w:pPr>
        <w:pStyle w:val="5"/>
        <w:spacing w:before="2"/>
        <w:rPr>
          <w:sz w:val="23"/>
        </w:rPr>
      </w:pPr>
    </w:p>
    <w:p w14:paraId="475C7134">
      <w:pPr>
        <w:pStyle w:val="5"/>
        <w:spacing w:before="55" w:line="364" w:lineRule="auto"/>
        <w:ind w:left="1328" w:right="1091"/>
      </w:pPr>
      <w:r>
        <w:rPr>
          <w:spacing w:val="-11"/>
          <w:w w:val="95"/>
        </w:rPr>
        <w:t xml:space="preserve">活动，加强科普设施建设，提升科普能力：提升重点人群科学素 </w:t>
      </w:r>
      <w:r>
        <w:rPr>
          <w:spacing w:val="-11"/>
        </w:rPr>
        <w:t>质，包括农民、社区居民、公务员和领导干部、青少年等；</w:t>
      </w:r>
    </w:p>
    <w:p w14:paraId="66544AAF">
      <w:pPr>
        <w:pStyle w:val="5"/>
        <w:spacing w:before="162" w:line="364" w:lineRule="auto"/>
        <w:ind w:left="1328" w:right="1091" w:firstLine="600"/>
        <w:jc w:val="both"/>
      </w:pPr>
      <w:r>
        <w:rPr>
          <w:w w:val="95"/>
        </w:rPr>
        <w:t>（五</w:t>
      </w:r>
      <w:r>
        <w:rPr>
          <w:spacing w:val="-36"/>
          <w:w w:val="95"/>
        </w:rPr>
        <w:t>）</w:t>
      </w:r>
      <w:r>
        <w:rPr>
          <w:spacing w:val="-3"/>
          <w:w w:val="95"/>
        </w:rPr>
        <w:t xml:space="preserve">重点组织好全国科普日河北科普活动，组织参与科技 </w:t>
      </w:r>
      <w:r>
        <w:rPr>
          <w:spacing w:val="-11"/>
          <w:w w:val="95"/>
        </w:rPr>
        <w:t xml:space="preserve">周、防灾减灾日、食品安全宣传周、节水日、土地日等科普宣传 </w:t>
      </w:r>
      <w:r>
        <w:rPr>
          <w:spacing w:val="-12"/>
          <w:w w:val="95"/>
        </w:rPr>
        <w:t>周日和节能、环保等重点科普宣传活动；加强乡镇</w:t>
      </w:r>
      <w:r>
        <w:rPr>
          <w:w w:val="95"/>
        </w:rPr>
        <w:t>（街道</w:t>
      </w:r>
      <w:r>
        <w:rPr>
          <w:spacing w:val="-29"/>
          <w:w w:val="95"/>
        </w:rPr>
        <w:t>）</w:t>
      </w:r>
      <w:r>
        <w:rPr>
          <w:w w:val="95"/>
        </w:rPr>
        <w:t xml:space="preserve">科协 </w:t>
      </w:r>
      <w:r>
        <w:rPr>
          <w:spacing w:val="-8"/>
        </w:rPr>
        <w:t>和园区科协等基层科协体系建设，不断健全和完善基层科普组织网络体系。</w:t>
      </w:r>
    </w:p>
    <w:p w14:paraId="4D158427">
      <w:pPr>
        <w:pStyle w:val="5"/>
        <w:spacing w:before="162" w:line="364" w:lineRule="auto"/>
        <w:ind w:left="1328" w:right="934" w:firstLine="600"/>
      </w:pPr>
      <w:r>
        <w:t xml:space="preserve">（六）保障科技馆的正常运行，开展多种形式的科普活动。面向农民、社区居民、青少年、领导干部和公务员等重点人群， </w:t>
      </w:r>
      <w:r>
        <w:rPr>
          <w:spacing w:val="-19"/>
        </w:rPr>
        <w:t>开展科普惠农、科普益民等重点科普活动；开展科普日、科技周、</w:t>
      </w:r>
      <w:r>
        <w:rPr>
          <w:spacing w:val="-11"/>
        </w:rPr>
        <w:t>减灾日、三下乡等系列科普活动。加强全县科技馆体系建设，推</w:t>
      </w:r>
      <w:r>
        <w:rPr>
          <w:spacing w:val="-15"/>
        </w:rPr>
        <w:t>动科普大篷车、流动科技馆建设，加强全民科学素质教育基地建设。</w:t>
      </w:r>
    </w:p>
    <w:p w14:paraId="6EBC03F6">
      <w:pPr>
        <w:pStyle w:val="5"/>
        <w:spacing w:before="166" w:line="364" w:lineRule="auto"/>
        <w:ind w:left="1328" w:right="1093" w:firstLine="638"/>
      </w:pPr>
      <w:r>
        <w:rPr>
          <w:w w:val="95"/>
        </w:rPr>
        <w:t>（七</w:t>
      </w:r>
      <w:r>
        <w:rPr>
          <w:spacing w:val="-24"/>
          <w:w w:val="95"/>
        </w:rPr>
        <w:t>）</w:t>
      </w:r>
      <w:r>
        <w:rPr>
          <w:spacing w:val="-8"/>
          <w:w w:val="95"/>
        </w:rPr>
        <w:t xml:space="preserve">承办县人大、县政协建议、提案议案，承办县委、县 </w:t>
      </w:r>
      <w:r>
        <w:rPr>
          <w:spacing w:val="-8"/>
        </w:rPr>
        <w:t>政府交办的其他事项。</w:t>
      </w:r>
    </w:p>
    <w:p w14:paraId="5159B3E9">
      <w:pPr>
        <w:pStyle w:val="5"/>
        <w:spacing w:before="215"/>
        <w:ind w:left="1328"/>
        <w:rPr>
          <w:rFonts w:hint="eastAsia" w:ascii="黑体" w:eastAsia="黑体"/>
        </w:rPr>
      </w:pPr>
      <w:bookmarkStart w:id="0" w:name="二、机构设置"/>
      <w:bookmarkEnd w:id="0"/>
      <w:r>
        <w:rPr>
          <w:rFonts w:hint="eastAsia" w:ascii="黑体" w:eastAsia="黑体"/>
        </w:rPr>
        <w:t>二、机构设置</w:t>
      </w:r>
    </w:p>
    <w:p w14:paraId="2EF47575">
      <w:pPr>
        <w:pStyle w:val="5"/>
        <w:spacing w:before="157"/>
        <w:ind w:left="1967"/>
      </w:pPr>
      <w:r>
        <w:t>从决算编报单位构成看，纳入 2018 年度本部门决算汇编范</w:t>
      </w:r>
    </w:p>
    <w:p w14:paraId="40EFC3FF">
      <w:pPr>
        <w:pStyle w:val="5"/>
        <w:spacing w:before="151"/>
        <w:ind w:left="1328"/>
      </w:pPr>
      <w:r>
        <w:t>围的独立核算单位（以下简称“单位”）共 1 个，具体情况如下：</w:t>
      </w:r>
    </w:p>
    <w:p w14:paraId="4DFA30E8">
      <w:pPr>
        <w:spacing w:after="0"/>
        <w:sectPr>
          <w:headerReference r:id="rId8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1509FDA7">
      <w:pPr>
        <w:pStyle w:val="5"/>
        <w:rPr>
          <w:sz w:val="20"/>
        </w:rPr>
      </w:pPr>
    </w:p>
    <w:p w14:paraId="77FBFFCE">
      <w:pPr>
        <w:pStyle w:val="5"/>
        <w:rPr>
          <w:sz w:val="20"/>
        </w:rPr>
      </w:pPr>
    </w:p>
    <w:p w14:paraId="3B5C5532">
      <w:pPr>
        <w:pStyle w:val="5"/>
        <w:rPr>
          <w:sz w:val="20"/>
        </w:rPr>
      </w:pPr>
    </w:p>
    <w:p w14:paraId="379DA171">
      <w:pPr>
        <w:pStyle w:val="5"/>
        <w:rPr>
          <w:sz w:val="20"/>
        </w:rPr>
      </w:pPr>
    </w:p>
    <w:p w14:paraId="46458A42">
      <w:pPr>
        <w:pStyle w:val="5"/>
        <w:spacing w:before="4"/>
        <w:rPr>
          <w:sz w:val="29"/>
        </w:rPr>
      </w:pPr>
    </w:p>
    <w:tbl>
      <w:tblPr>
        <w:tblStyle w:val="6"/>
        <w:tblW w:w="9580" w:type="dxa"/>
        <w:tblInd w:w="9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3485"/>
        <w:gridCol w:w="2445"/>
        <w:gridCol w:w="2665"/>
      </w:tblGrid>
      <w:tr w14:paraId="1827C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985" w:type="dxa"/>
          </w:tcPr>
          <w:p w14:paraId="28038359">
            <w:pPr>
              <w:pStyle w:val="10"/>
              <w:spacing w:before="2"/>
              <w:rPr>
                <w:sz w:val="23"/>
              </w:rPr>
            </w:pPr>
          </w:p>
          <w:p w14:paraId="4DE75049">
            <w:pPr>
              <w:pStyle w:val="10"/>
              <w:ind w:left="190" w:right="185"/>
              <w:jc w:val="center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序号</w:t>
            </w:r>
          </w:p>
        </w:tc>
        <w:tc>
          <w:tcPr>
            <w:tcW w:w="3485" w:type="dxa"/>
          </w:tcPr>
          <w:p w14:paraId="11DED2D4">
            <w:pPr>
              <w:pStyle w:val="10"/>
              <w:spacing w:before="2"/>
              <w:rPr>
                <w:sz w:val="23"/>
              </w:rPr>
            </w:pPr>
          </w:p>
          <w:p w14:paraId="5FAAA980">
            <w:pPr>
              <w:pStyle w:val="10"/>
              <w:ind w:left="1022" w:right="1013"/>
              <w:jc w:val="center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单位名称</w:t>
            </w:r>
          </w:p>
        </w:tc>
        <w:tc>
          <w:tcPr>
            <w:tcW w:w="2445" w:type="dxa"/>
          </w:tcPr>
          <w:p w14:paraId="43755DA9">
            <w:pPr>
              <w:pStyle w:val="10"/>
              <w:spacing w:before="2"/>
              <w:rPr>
                <w:sz w:val="23"/>
              </w:rPr>
            </w:pPr>
          </w:p>
          <w:p w14:paraId="756CEB70">
            <w:pPr>
              <w:pStyle w:val="10"/>
              <w:ind w:left="362" w:right="353"/>
              <w:jc w:val="center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单位基本性质</w:t>
            </w:r>
          </w:p>
        </w:tc>
        <w:tc>
          <w:tcPr>
            <w:tcW w:w="2665" w:type="dxa"/>
          </w:tcPr>
          <w:p w14:paraId="565870F4">
            <w:pPr>
              <w:pStyle w:val="10"/>
              <w:spacing w:before="2"/>
              <w:rPr>
                <w:sz w:val="23"/>
              </w:rPr>
            </w:pPr>
          </w:p>
          <w:p w14:paraId="0FC18EAA">
            <w:pPr>
              <w:pStyle w:val="10"/>
              <w:ind w:right="759"/>
              <w:jc w:val="right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经费形式</w:t>
            </w:r>
          </w:p>
        </w:tc>
      </w:tr>
      <w:tr w14:paraId="42619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985" w:type="dxa"/>
          </w:tcPr>
          <w:p w14:paraId="71110086">
            <w:pPr>
              <w:pStyle w:val="10"/>
              <w:spacing w:before="170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485" w:type="dxa"/>
          </w:tcPr>
          <w:p w14:paraId="389868DA">
            <w:pPr>
              <w:pStyle w:val="10"/>
              <w:spacing w:before="170"/>
              <w:ind w:left="1022" w:right="1013"/>
              <w:jc w:val="center"/>
              <w:rPr>
                <w:sz w:val="28"/>
              </w:rPr>
            </w:pPr>
            <w:r>
              <w:rPr>
                <w:sz w:val="28"/>
              </w:rPr>
              <w:t>科学技术局</w:t>
            </w:r>
          </w:p>
        </w:tc>
        <w:tc>
          <w:tcPr>
            <w:tcW w:w="2445" w:type="dxa"/>
          </w:tcPr>
          <w:p w14:paraId="30E604E9">
            <w:pPr>
              <w:pStyle w:val="10"/>
              <w:spacing w:before="170"/>
              <w:ind w:left="362" w:right="350"/>
              <w:jc w:val="center"/>
              <w:rPr>
                <w:sz w:val="28"/>
              </w:rPr>
            </w:pPr>
            <w:r>
              <w:rPr>
                <w:sz w:val="28"/>
              </w:rPr>
              <w:t>行政</w:t>
            </w:r>
          </w:p>
        </w:tc>
        <w:tc>
          <w:tcPr>
            <w:tcW w:w="2665" w:type="dxa"/>
          </w:tcPr>
          <w:p w14:paraId="55969794">
            <w:pPr>
              <w:pStyle w:val="10"/>
              <w:spacing w:before="170"/>
              <w:ind w:right="761"/>
              <w:jc w:val="right"/>
              <w:rPr>
                <w:sz w:val="28"/>
              </w:rPr>
            </w:pPr>
            <w:r>
              <w:rPr>
                <w:sz w:val="28"/>
              </w:rPr>
              <w:t>财政拨款</w:t>
            </w:r>
          </w:p>
        </w:tc>
      </w:tr>
    </w:tbl>
    <w:p w14:paraId="6C500CE4">
      <w:pPr>
        <w:spacing w:after="0"/>
        <w:jc w:val="right"/>
        <w:rPr>
          <w:sz w:val="28"/>
        </w:rPr>
        <w:sectPr>
          <w:headerReference r:id="rId9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42B18C6E">
      <w:pPr>
        <w:pStyle w:val="5"/>
        <w:rPr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4445</wp:posOffset>
            </wp:positionV>
            <wp:extent cx="7555865" cy="1068006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40864">
      <w:pPr>
        <w:pStyle w:val="5"/>
        <w:rPr>
          <w:sz w:val="20"/>
        </w:rPr>
      </w:pPr>
    </w:p>
    <w:p w14:paraId="45D821A8">
      <w:pPr>
        <w:pStyle w:val="5"/>
        <w:rPr>
          <w:sz w:val="20"/>
        </w:rPr>
      </w:pPr>
    </w:p>
    <w:p w14:paraId="4E7E748E">
      <w:pPr>
        <w:pStyle w:val="5"/>
        <w:rPr>
          <w:sz w:val="20"/>
        </w:rPr>
      </w:pPr>
    </w:p>
    <w:p w14:paraId="34FCB084">
      <w:pPr>
        <w:pStyle w:val="5"/>
        <w:rPr>
          <w:sz w:val="20"/>
        </w:rPr>
      </w:pPr>
    </w:p>
    <w:p w14:paraId="72401105">
      <w:pPr>
        <w:pStyle w:val="5"/>
        <w:rPr>
          <w:sz w:val="20"/>
        </w:rPr>
      </w:pPr>
    </w:p>
    <w:p w14:paraId="6C387A5B">
      <w:pPr>
        <w:pStyle w:val="5"/>
        <w:rPr>
          <w:sz w:val="20"/>
        </w:rPr>
      </w:pPr>
    </w:p>
    <w:p w14:paraId="66AA8E75">
      <w:pPr>
        <w:pStyle w:val="5"/>
        <w:rPr>
          <w:sz w:val="20"/>
        </w:rPr>
      </w:pPr>
    </w:p>
    <w:p w14:paraId="0204C195">
      <w:pPr>
        <w:pStyle w:val="5"/>
        <w:rPr>
          <w:sz w:val="20"/>
        </w:rPr>
      </w:pPr>
    </w:p>
    <w:p w14:paraId="0BFF69A3">
      <w:pPr>
        <w:pStyle w:val="5"/>
        <w:rPr>
          <w:sz w:val="20"/>
        </w:rPr>
      </w:pPr>
    </w:p>
    <w:p w14:paraId="6122AD73">
      <w:pPr>
        <w:pStyle w:val="5"/>
        <w:rPr>
          <w:sz w:val="20"/>
        </w:rPr>
      </w:pPr>
    </w:p>
    <w:p w14:paraId="15AF7D7A">
      <w:pPr>
        <w:pStyle w:val="5"/>
        <w:rPr>
          <w:sz w:val="20"/>
        </w:rPr>
      </w:pPr>
    </w:p>
    <w:p w14:paraId="4C208991">
      <w:pPr>
        <w:pStyle w:val="5"/>
        <w:rPr>
          <w:sz w:val="20"/>
        </w:rPr>
      </w:pPr>
    </w:p>
    <w:p w14:paraId="40037C68">
      <w:pPr>
        <w:pStyle w:val="5"/>
        <w:rPr>
          <w:sz w:val="20"/>
        </w:rPr>
      </w:pPr>
    </w:p>
    <w:p w14:paraId="46F370F9">
      <w:pPr>
        <w:pStyle w:val="5"/>
        <w:rPr>
          <w:sz w:val="20"/>
        </w:rPr>
      </w:pPr>
    </w:p>
    <w:p w14:paraId="118CF49D">
      <w:pPr>
        <w:pStyle w:val="5"/>
        <w:rPr>
          <w:sz w:val="20"/>
        </w:rPr>
      </w:pPr>
    </w:p>
    <w:p w14:paraId="452B8622">
      <w:pPr>
        <w:pStyle w:val="5"/>
        <w:rPr>
          <w:sz w:val="20"/>
        </w:rPr>
      </w:pPr>
    </w:p>
    <w:p w14:paraId="05F247E0">
      <w:pPr>
        <w:pStyle w:val="5"/>
        <w:rPr>
          <w:sz w:val="20"/>
        </w:rPr>
      </w:pPr>
    </w:p>
    <w:p w14:paraId="7DC6B3A1">
      <w:pPr>
        <w:pStyle w:val="5"/>
        <w:rPr>
          <w:sz w:val="20"/>
        </w:rPr>
      </w:pPr>
    </w:p>
    <w:p w14:paraId="04ED3457">
      <w:pPr>
        <w:pStyle w:val="5"/>
        <w:spacing w:before="9"/>
        <w:rPr>
          <w:sz w:val="28"/>
        </w:rPr>
      </w:pPr>
    </w:p>
    <w:p w14:paraId="3998E2E4">
      <w:pPr>
        <w:pStyle w:val="2"/>
        <w:spacing w:line="1196" w:lineRule="exact"/>
        <w:ind w:left="444"/>
      </w:pPr>
      <w:r>
        <w:rPr>
          <w:color w:val="FCEEBD"/>
        </w:rPr>
        <w:t>第二部分</w:t>
      </w:r>
    </w:p>
    <w:p w14:paraId="3197742F">
      <w:pPr>
        <w:spacing w:before="131"/>
        <w:ind w:left="444" w:right="101" w:firstLine="0"/>
        <w:jc w:val="center"/>
        <w:rPr>
          <w:rFonts w:hint="eastAsia" w:ascii="黑体" w:eastAsia="黑体"/>
          <w:sz w:val="96"/>
        </w:rPr>
      </w:pPr>
      <w:r>
        <w:rPr>
          <w:rFonts w:hint="eastAsia" w:ascii="黑体" w:eastAsia="黑体"/>
          <w:color w:val="FCEEBD"/>
          <w:sz w:val="96"/>
        </w:rPr>
        <w:t>2018 年度部门决算报表</w:t>
      </w:r>
    </w:p>
    <w:p w14:paraId="5335464D">
      <w:pPr>
        <w:spacing w:after="0"/>
        <w:jc w:val="center"/>
        <w:rPr>
          <w:rFonts w:hint="eastAsia" w:ascii="黑体" w:eastAsia="黑体"/>
          <w:sz w:val="96"/>
        </w:rPr>
        <w:sectPr>
          <w:headerReference r:id="rId10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6C9DCE42">
      <w:pPr>
        <w:pStyle w:val="5"/>
        <w:rPr>
          <w:rFonts w:ascii="黑体"/>
          <w:sz w:val="20"/>
        </w:rPr>
      </w:pPr>
    </w:p>
    <w:p w14:paraId="0E8962B6">
      <w:pPr>
        <w:pStyle w:val="5"/>
        <w:rPr>
          <w:rFonts w:ascii="黑体"/>
          <w:sz w:val="20"/>
        </w:rPr>
      </w:pPr>
    </w:p>
    <w:p w14:paraId="53D66041">
      <w:pPr>
        <w:pStyle w:val="5"/>
        <w:rPr>
          <w:rFonts w:ascii="黑体"/>
          <w:sz w:val="20"/>
        </w:rPr>
      </w:pPr>
    </w:p>
    <w:p w14:paraId="0F64EC3B">
      <w:pPr>
        <w:pStyle w:val="5"/>
        <w:rPr>
          <w:rFonts w:ascii="黑体"/>
          <w:sz w:val="20"/>
        </w:rPr>
      </w:pPr>
    </w:p>
    <w:p w14:paraId="7447055D">
      <w:pPr>
        <w:pStyle w:val="5"/>
        <w:rPr>
          <w:rFonts w:ascii="黑体"/>
          <w:sz w:val="20"/>
        </w:rPr>
      </w:pPr>
    </w:p>
    <w:p w14:paraId="3401D865">
      <w:pPr>
        <w:pStyle w:val="5"/>
        <w:spacing w:before="3"/>
        <w:rPr>
          <w:sz w:val="6"/>
        </w:rPr>
      </w:pPr>
    </w:p>
    <w:p w14:paraId="15FE6E9B">
      <w:pPr>
        <w:pStyle w:val="5"/>
        <w:ind w:firstLine="1760" w:firstLineChars="400"/>
        <w:rPr>
          <w:rFonts w:hint="eastAsia" w:eastAsia="宋体"/>
          <w:sz w:val="44"/>
          <w:szCs w:val="96"/>
          <w:lang w:eastAsia="zh-CN"/>
        </w:rPr>
      </w:pPr>
      <w:r>
        <w:rPr>
          <w:rFonts w:hint="eastAsia"/>
          <w:sz w:val="44"/>
          <w:szCs w:val="96"/>
          <w:lang w:eastAsia="zh-CN"/>
        </w:rPr>
        <w:t>决算报表见附件</w:t>
      </w:r>
    </w:p>
    <w:p w14:paraId="7916E34F">
      <w:pPr>
        <w:pStyle w:val="5"/>
        <w:rPr>
          <w:sz w:val="20"/>
        </w:rPr>
      </w:pPr>
    </w:p>
    <w:p w14:paraId="6401A25E">
      <w:pPr>
        <w:pStyle w:val="5"/>
        <w:rPr>
          <w:sz w:val="20"/>
        </w:rPr>
      </w:pPr>
    </w:p>
    <w:p w14:paraId="5C713C91">
      <w:pPr>
        <w:pStyle w:val="5"/>
        <w:rPr>
          <w:sz w:val="20"/>
        </w:rPr>
      </w:pPr>
    </w:p>
    <w:p w14:paraId="42D02AAC">
      <w:pPr>
        <w:pStyle w:val="5"/>
        <w:rPr>
          <w:sz w:val="20"/>
        </w:rPr>
      </w:pPr>
    </w:p>
    <w:p w14:paraId="70965C18">
      <w:pPr>
        <w:pStyle w:val="5"/>
        <w:spacing w:before="10"/>
        <w:rPr>
          <w:sz w:val="25"/>
        </w:rPr>
      </w:pPr>
    </w:p>
    <w:p w14:paraId="78C06CC5">
      <w:pPr>
        <w:pStyle w:val="5"/>
        <w:rPr>
          <w:sz w:val="20"/>
        </w:rPr>
      </w:pPr>
    </w:p>
    <w:p w14:paraId="5D99264E">
      <w:pPr>
        <w:pStyle w:val="5"/>
        <w:rPr>
          <w:sz w:val="20"/>
        </w:rPr>
      </w:pPr>
    </w:p>
    <w:p w14:paraId="18CEFEDB">
      <w:pPr>
        <w:pStyle w:val="5"/>
        <w:rPr>
          <w:sz w:val="20"/>
        </w:rPr>
      </w:pPr>
    </w:p>
    <w:p w14:paraId="1599E9D8">
      <w:pPr>
        <w:pStyle w:val="5"/>
        <w:rPr>
          <w:sz w:val="20"/>
        </w:rPr>
      </w:pPr>
    </w:p>
    <w:p w14:paraId="0A3EF897">
      <w:pPr>
        <w:pStyle w:val="5"/>
        <w:rPr>
          <w:sz w:val="20"/>
        </w:rPr>
      </w:pPr>
    </w:p>
    <w:p w14:paraId="665598D5">
      <w:pPr>
        <w:spacing w:after="0" w:line="242" w:lineRule="auto"/>
        <w:jc w:val="left"/>
        <w:rPr>
          <w:sz w:val="21"/>
        </w:rPr>
        <w:sectPr>
          <w:headerReference r:id="rId11" w:type="default"/>
          <w:pgSz w:w="11910" w:h="16840"/>
          <w:pgMar w:top="500" w:right="380" w:bottom="280" w:left="260" w:header="312" w:footer="0" w:gutter="0"/>
          <w:cols w:space="720" w:num="1"/>
        </w:sectPr>
      </w:pPr>
    </w:p>
    <w:p w14:paraId="2D8FE149">
      <w:pPr>
        <w:pStyle w:val="5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0150" cy="106743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896" cy="1067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75AC8">
      <w:pPr>
        <w:pStyle w:val="5"/>
        <w:rPr>
          <w:sz w:val="20"/>
        </w:rPr>
      </w:pPr>
    </w:p>
    <w:p w14:paraId="7DCC3AA9">
      <w:pPr>
        <w:pStyle w:val="5"/>
        <w:rPr>
          <w:sz w:val="20"/>
        </w:rPr>
      </w:pPr>
    </w:p>
    <w:p w14:paraId="53BD5DA2">
      <w:pPr>
        <w:pStyle w:val="5"/>
        <w:rPr>
          <w:sz w:val="20"/>
        </w:rPr>
      </w:pPr>
    </w:p>
    <w:p w14:paraId="22278187">
      <w:pPr>
        <w:pStyle w:val="5"/>
        <w:rPr>
          <w:sz w:val="20"/>
        </w:rPr>
      </w:pPr>
    </w:p>
    <w:p w14:paraId="4EF90A31">
      <w:pPr>
        <w:pStyle w:val="5"/>
        <w:rPr>
          <w:sz w:val="20"/>
        </w:rPr>
      </w:pPr>
    </w:p>
    <w:p w14:paraId="09A4E628">
      <w:pPr>
        <w:pStyle w:val="5"/>
        <w:rPr>
          <w:sz w:val="20"/>
        </w:rPr>
      </w:pPr>
    </w:p>
    <w:p w14:paraId="280294B5">
      <w:pPr>
        <w:pStyle w:val="5"/>
        <w:rPr>
          <w:sz w:val="20"/>
        </w:rPr>
      </w:pPr>
    </w:p>
    <w:p w14:paraId="2E9C47F0">
      <w:pPr>
        <w:pStyle w:val="5"/>
        <w:rPr>
          <w:sz w:val="20"/>
        </w:rPr>
      </w:pPr>
    </w:p>
    <w:p w14:paraId="6E013452">
      <w:pPr>
        <w:pStyle w:val="5"/>
        <w:rPr>
          <w:sz w:val="20"/>
        </w:rPr>
      </w:pPr>
    </w:p>
    <w:p w14:paraId="4DE8CDC3">
      <w:pPr>
        <w:pStyle w:val="5"/>
        <w:rPr>
          <w:sz w:val="20"/>
        </w:rPr>
      </w:pPr>
    </w:p>
    <w:p w14:paraId="2D64D639">
      <w:pPr>
        <w:pStyle w:val="5"/>
        <w:rPr>
          <w:sz w:val="20"/>
        </w:rPr>
      </w:pPr>
    </w:p>
    <w:p w14:paraId="44B59D64">
      <w:pPr>
        <w:pStyle w:val="5"/>
        <w:rPr>
          <w:sz w:val="20"/>
        </w:rPr>
      </w:pPr>
    </w:p>
    <w:p w14:paraId="7E8F0D84">
      <w:pPr>
        <w:pStyle w:val="5"/>
        <w:rPr>
          <w:sz w:val="20"/>
        </w:rPr>
      </w:pPr>
    </w:p>
    <w:p w14:paraId="23416050">
      <w:pPr>
        <w:pStyle w:val="5"/>
        <w:rPr>
          <w:sz w:val="20"/>
        </w:rPr>
      </w:pPr>
    </w:p>
    <w:p w14:paraId="6FD477A1">
      <w:pPr>
        <w:pStyle w:val="5"/>
        <w:rPr>
          <w:sz w:val="20"/>
        </w:rPr>
      </w:pPr>
    </w:p>
    <w:p w14:paraId="2E8AECD5">
      <w:pPr>
        <w:pStyle w:val="5"/>
        <w:rPr>
          <w:sz w:val="20"/>
        </w:rPr>
      </w:pPr>
    </w:p>
    <w:p w14:paraId="0FC6DD10">
      <w:pPr>
        <w:pStyle w:val="5"/>
        <w:rPr>
          <w:sz w:val="20"/>
        </w:rPr>
      </w:pPr>
    </w:p>
    <w:p w14:paraId="6956BAC5">
      <w:pPr>
        <w:pStyle w:val="5"/>
        <w:rPr>
          <w:sz w:val="20"/>
        </w:rPr>
      </w:pPr>
    </w:p>
    <w:p w14:paraId="21EF0FDC">
      <w:pPr>
        <w:pStyle w:val="5"/>
        <w:rPr>
          <w:sz w:val="20"/>
        </w:rPr>
      </w:pPr>
    </w:p>
    <w:p w14:paraId="2D0C5669">
      <w:pPr>
        <w:pStyle w:val="2"/>
        <w:spacing w:before="103"/>
        <w:ind w:left="233" w:right="67"/>
      </w:pPr>
      <w:r>
        <w:rPr>
          <w:color w:val="FCEEBD"/>
        </w:rPr>
        <w:t>第三部分</w:t>
      </w:r>
    </w:p>
    <w:p w14:paraId="71F1C6EA">
      <w:pPr>
        <w:spacing w:before="131"/>
        <w:ind w:left="233" w:right="67" w:firstLine="0"/>
        <w:jc w:val="center"/>
        <w:rPr>
          <w:rFonts w:hint="eastAsia" w:ascii="黑体" w:eastAsia="黑体"/>
          <w:sz w:val="96"/>
        </w:rPr>
      </w:pPr>
      <w:r>
        <w:rPr>
          <w:rFonts w:hint="eastAsia" w:ascii="黑体" w:eastAsia="黑体"/>
          <w:color w:val="FCEEBD"/>
          <w:sz w:val="96"/>
        </w:rPr>
        <w:t>部门决算情况说明</w:t>
      </w:r>
    </w:p>
    <w:p w14:paraId="1EF7E763">
      <w:pPr>
        <w:spacing w:after="0"/>
        <w:jc w:val="center"/>
        <w:rPr>
          <w:rFonts w:hint="eastAsia" w:ascii="黑体" w:eastAsia="黑体"/>
          <w:sz w:val="96"/>
        </w:rPr>
        <w:sectPr>
          <w:headerReference r:id="rId12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43635C05">
      <w:pPr>
        <w:pStyle w:val="5"/>
        <w:rPr>
          <w:rFonts w:ascii="黑体"/>
          <w:sz w:val="20"/>
        </w:rPr>
      </w:pPr>
    </w:p>
    <w:p w14:paraId="64C09CF9">
      <w:pPr>
        <w:pStyle w:val="5"/>
        <w:rPr>
          <w:rFonts w:ascii="黑体"/>
          <w:sz w:val="20"/>
        </w:rPr>
      </w:pPr>
    </w:p>
    <w:p w14:paraId="64B4E6C6">
      <w:pPr>
        <w:pStyle w:val="5"/>
        <w:rPr>
          <w:rFonts w:ascii="黑体"/>
          <w:sz w:val="20"/>
        </w:rPr>
      </w:pPr>
    </w:p>
    <w:p w14:paraId="16ADC451">
      <w:pPr>
        <w:pStyle w:val="5"/>
        <w:rPr>
          <w:rFonts w:ascii="黑体"/>
          <w:sz w:val="20"/>
        </w:rPr>
      </w:pPr>
    </w:p>
    <w:p w14:paraId="03C250E8">
      <w:pPr>
        <w:pStyle w:val="5"/>
        <w:rPr>
          <w:rFonts w:ascii="黑体"/>
          <w:sz w:val="20"/>
        </w:rPr>
      </w:pPr>
    </w:p>
    <w:p w14:paraId="7D43BB33">
      <w:pPr>
        <w:pStyle w:val="5"/>
        <w:spacing w:before="4"/>
        <w:rPr>
          <w:rFonts w:ascii="黑体"/>
          <w:sz w:val="23"/>
        </w:rPr>
      </w:pPr>
    </w:p>
    <w:p w14:paraId="45B14CE1">
      <w:pPr>
        <w:pStyle w:val="5"/>
        <w:spacing w:before="54"/>
        <w:ind w:left="1967"/>
        <w:rPr>
          <w:rFonts w:hint="eastAsia" w:ascii="黑体" w:eastAsia="黑体"/>
        </w:rPr>
      </w:pPr>
      <w:bookmarkStart w:id="1" w:name="一、收入支出决算总体情况说明"/>
      <w:bookmarkEnd w:id="1"/>
      <w:r>
        <w:rPr>
          <w:rFonts w:hint="eastAsia" w:ascii="黑体" w:eastAsia="黑体"/>
        </w:rPr>
        <w:t>一、收入支出决算总体情况说明</w:t>
      </w:r>
    </w:p>
    <w:p w14:paraId="088D46A6">
      <w:pPr>
        <w:pStyle w:val="5"/>
        <w:spacing w:before="171" w:line="343" w:lineRule="auto"/>
        <w:ind w:left="1328" w:right="1093" w:firstLine="638"/>
      </w:pPr>
      <w:r>
        <w:rPr>
          <w:spacing w:val="-17"/>
        </w:rPr>
        <w:t xml:space="preserve">本部门 </w:t>
      </w:r>
      <w:r>
        <w:t>2018</w:t>
      </w:r>
      <w:r>
        <w:rPr>
          <w:spacing w:val="-7"/>
        </w:rPr>
        <w:t xml:space="preserve"> 年度收入总计</w:t>
      </w:r>
      <w:r>
        <w:rPr>
          <w:spacing w:val="7"/>
        </w:rPr>
        <w:t>（含结转和结余</w:t>
      </w:r>
      <w:r>
        <w:t>）2839.69</w:t>
      </w:r>
      <w:r>
        <w:rPr>
          <w:spacing w:val="-25"/>
        </w:rPr>
        <w:t xml:space="preserve"> 万元与</w:t>
      </w:r>
      <w:r>
        <w:rPr>
          <w:spacing w:val="-79"/>
        </w:rPr>
        <w:t xml:space="preserve"> </w:t>
      </w:r>
      <w:r>
        <w:t>2017</w:t>
      </w:r>
      <w:r>
        <w:rPr>
          <w:spacing w:val="-80"/>
        </w:rPr>
        <w:t xml:space="preserve"> </w:t>
      </w:r>
      <w:r>
        <w:rPr>
          <w:spacing w:val="7"/>
        </w:rPr>
        <w:t>年度决算相</w:t>
      </w:r>
      <w:r>
        <w:rPr>
          <w:spacing w:val="5"/>
        </w:rPr>
        <w:t>比</w:t>
      </w:r>
      <w:r>
        <w:rPr>
          <w:spacing w:val="7"/>
        </w:rPr>
        <w:t>，收</w:t>
      </w:r>
      <w:r>
        <w:rPr>
          <w:spacing w:val="9"/>
        </w:rPr>
        <w:t>入</w:t>
      </w:r>
      <w:r>
        <w:rPr>
          <w:spacing w:val="7"/>
        </w:rPr>
        <w:t>增</w:t>
      </w:r>
      <w:r>
        <w:t>加</w:t>
      </w:r>
      <w:r>
        <w:rPr>
          <w:spacing w:val="-79"/>
        </w:rPr>
        <w:t xml:space="preserve"> </w:t>
      </w:r>
      <w:r>
        <w:t>637.15</w:t>
      </w:r>
      <w:r>
        <w:rPr>
          <w:spacing w:val="-79"/>
        </w:rPr>
        <w:t xml:space="preserve"> </w:t>
      </w:r>
      <w:r>
        <w:rPr>
          <w:spacing w:val="7"/>
        </w:rPr>
        <w:t>万元，上</w:t>
      </w:r>
      <w:r>
        <w:t>升</w:t>
      </w:r>
      <w:r>
        <w:rPr>
          <w:spacing w:val="-79"/>
        </w:rPr>
        <w:t xml:space="preserve"> </w:t>
      </w:r>
      <w:r>
        <w:rPr>
          <w:spacing w:val="2"/>
        </w:rPr>
        <w:t>28.93</w:t>
      </w:r>
      <w:r>
        <w:rPr>
          <w:spacing w:val="11"/>
          <w:w w:val="99"/>
        </w:rPr>
        <w:drawing>
          <wp:inline distT="0" distB="0" distL="0" distR="0">
            <wp:extent cx="85090" cy="15494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</w:t>
      </w:r>
    </w:p>
    <w:p w14:paraId="3EF55613">
      <w:pPr>
        <w:pStyle w:val="5"/>
        <w:spacing w:line="397" w:lineRule="exact"/>
        <w:ind w:left="1328"/>
      </w:pPr>
      <w:r>
        <w:rPr>
          <w:spacing w:val="-15"/>
        </w:rPr>
        <w:t xml:space="preserve">主要原因是科技创新工作量增加。本部门 </w:t>
      </w:r>
      <w:r>
        <w:t>2018</w:t>
      </w:r>
      <w:r>
        <w:rPr>
          <w:spacing w:val="-34"/>
        </w:rPr>
        <w:t xml:space="preserve"> 年度支出总计</w:t>
      </w:r>
      <w:r>
        <w:t>（含</w:t>
      </w:r>
    </w:p>
    <w:p w14:paraId="4B09598D">
      <w:pPr>
        <w:pStyle w:val="5"/>
        <w:spacing w:before="171"/>
        <w:ind w:left="1328"/>
      </w:pPr>
      <w:r>
        <w:rPr>
          <w:spacing w:val="5"/>
        </w:rPr>
        <w:t>结转和结余</w:t>
      </w:r>
      <w:r>
        <w:t>）2839.69</w:t>
      </w:r>
      <w:r>
        <w:rPr>
          <w:spacing w:val="-25"/>
        </w:rPr>
        <w:t xml:space="preserve"> 万元。与 </w:t>
      </w:r>
      <w:r>
        <w:t>2017</w:t>
      </w:r>
      <w:r>
        <w:rPr>
          <w:spacing w:val="-4"/>
        </w:rPr>
        <w:t xml:space="preserve"> 年度决算相比，支出增加</w:t>
      </w:r>
    </w:p>
    <w:p w14:paraId="629BCBB0">
      <w:pPr>
        <w:pStyle w:val="5"/>
        <w:spacing w:before="166"/>
        <w:ind w:left="1328"/>
      </w:pPr>
      <w:r>
        <w:rPr>
          <w:position w:val="1"/>
        </w:rPr>
        <w:t>607.15</w:t>
      </w:r>
      <w:r>
        <w:rPr>
          <w:spacing w:val="-81"/>
          <w:position w:val="1"/>
        </w:rPr>
        <w:t xml:space="preserve"> </w:t>
      </w:r>
      <w:r>
        <w:rPr>
          <w:position w:val="1"/>
        </w:rPr>
        <w:t>万元，上升</w:t>
      </w:r>
      <w:r>
        <w:rPr>
          <w:spacing w:val="-79"/>
          <w:position w:val="1"/>
        </w:rPr>
        <w:t xml:space="preserve"> </w:t>
      </w:r>
      <w:r>
        <w:rPr>
          <w:position w:val="1"/>
        </w:rPr>
        <w:t>27.19</w:t>
      </w:r>
      <w:r>
        <w:rPr>
          <w:spacing w:val="8"/>
          <w:w w:val="99"/>
        </w:rPr>
        <w:drawing>
          <wp:inline distT="0" distB="0" distL="0" distR="0">
            <wp:extent cx="85090" cy="154940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，用于科技创新工作支出增加。</w:t>
      </w:r>
    </w:p>
    <w:p w14:paraId="5BF564C1">
      <w:pPr>
        <w:spacing w:before="213"/>
        <w:ind w:left="1888" w:right="0" w:firstLine="0"/>
        <w:jc w:val="left"/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二、收入决算情况说明</w:t>
      </w:r>
    </w:p>
    <w:p w14:paraId="1AA98239">
      <w:pPr>
        <w:pStyle w:val="5"/>
        <w:spacing w:before="182"/>
        <w:ind w:left="1967"/>
      </w:pPr>
      <w:r>
        <w:t>本部门 2018 年度本年收入合计 2839.69 万元，其中：财政</w:t>
      </w:r>
    </w:p>
    <w:p w14:paraId="5D012851">
      <w:pPr>
        <w:pStyle w:val="5"/>
        <w:spacing w:before="176"/>
        <w:ind w:left="1328"/>
      </w:pPr>
      <w:r>
        <w:t>拨款收入</w:t>
      </w:r>
      <w:r>
        <w:rPr>
          <w:spacing w:val="-84"/>
        </w:rPr>
        <w:t xml:space="preserve"> </w:t>
      </w:r>
      <w:r>
        <w:t>2839.69</w:t>
      </w:r>
      <w:r>
        <w:rPr>
          <w:spacing w:val="-83"/>
        </w:rPr>
        <w:t xml:space="preserve"> </w:t>
      </w:r>
      <w:r>
        <w:t>万元，占</w:t>
      </w:r>
      <w:r>
        <w:rPr>
          <w:spacing w:val="-81"/>
        </w:rPr>
        <w:t xml:space="preserve"> </w:t>
      </w:r>
      <w:r>
        <w:rPr>
          <w:spacing w:val="3"/>
        </w:rPr>
        <w:t>100</w:t>
      </w:r>
      <w:r>
        <w:rPr>
          <w:spacing w:val="8"/>
          <w:w w:val="99"/>
        </w:rPr>
        <w:drawing>
          <wp:inline distT="0" distB="0" distL="0" distR="0">
            <wp:extent cx="85090" cy="154940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。</w:t>
      </w:r>
    </w:p>
    <w:p w14:paraId="62850E0A">
      <w:pPr>
        <w:pStyle w:val="5"/>
        <w:spacing w:before="163"/>
        <w:ind w:left="1967"/>
        <w:rPr>
          <w:rFonts w:hint="eastAsia" w:ascii="黑体" w:eastAsia="黑体"/>
        </w:rPr>
      </w:pPr>
      <w:bookmarkStart w:id="2" w:name="三、支出决算情况说明"/>
      <w:bookmarkEnd w:id="2"/>
      <w:r>
        <w:rPr>
          <w:rFonts w:hint="eastAsia" w:ascii="黑体" w:eastAsia="黑体"/>
        </w:rPr>
        <w:t>三、支出决算情况说明</w:t>
      </w:r>
    </w:p>
    <w:p w14:paraId="41D10236">
      <w:pPr>
        <w:pStyle w:val="5"/>
        <w:spacing w:before="171"/>
        <w:ind w:left="1967"/>
      </w:pPr>
      <w:r>
        <w:t>本部门 2018 年度本年支出合计 2759.70 万元，其中：基本</w:t>
      </w:r>
    </w:p>
    <w:p w14:paraId="2211877A">
      <w:pPr>
        <w:pStyle w:val="5"/>
        <w:spacing w:before="176"/>
        <w:ind w:left="1328"/>
      </w:pPr>
      <w:r>
        <w:t>支出</w:t>
      </w:r>
      <w:r>
        <w:rPr>
          <w:spacing w:val="-82"/>
        </w:rPr>
        <w:t xml:space="preserve"> </w:t>
      </w:r>
      <w:r>
        <w:t>140.62</w:t>
      </w:r>
      <w:r>
        <w:rPr>
          <w:spacing w:val="-83"/>
        </w:rPr>
        <w:t xml:space="preserve"> </w:t>
      </w:r>
      <w:r>
        <w:t>万元</w:t>
      </w:r>
      <w:r>
        <w:rPr>
          <w:spacing w:val="-39"/>
        </w:rPr>
        <w:t>，</w:t>
      </w:r>
      <w:r>
        <w:t>占</w:t>
      </w:r>
      <w:r>
        <w:rPr>
          <w:spacing w:val="-84"/>
        </w:rPr>
        <w:t xml:space="preserve"> </w:t>
      </w:r>
      <w:r>
        <w:rPr>
          <w:spacing w:val="3"/>
        </w:rPr>
        <w:t>5.0</w:t>
      </w:r>
      <w:r>
        <w:rPr>
          <w:spacing w:val="8"/>
          <w:w w:val="99"/>
        </w:rPr>
        <w:drawing>
          <wp:inline distT="0" distB="0" distL="0" distR="0">
            <wp:extent cx="85090" cy="154940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9"/>
        </w:rPr>
        <w:t>，</w:t>
      </w:r>
      <w:r>
        <w:t>项目支出</w:t>
      </w:r>
      <w:r>
        <w:rPr>
          <w:spacing w:val="-82"/>
        </w:rPr>
        <w:t xml:space="preserve"> </w:t>
      </w:r>
      <w:r>
        <w:t>2619.08</w:t>
      </w:r>
      <w:r>
        <w:rPr>
          <w:spacing w:val="-83"/>
        </w:rPr>
        <w:t xml:space="preserve"> </w:t>
      </w:r>
      <w:r>
        <w:t>万元</w:t>
      </w:r>
      <w:r>
        <w:rPr>
          <w:spacing w:val="-36"/>
        </w:rPr>
        <w:t>，</w:t>
      </w:r>
      <w:r>
        <w:t>占</w:t>
      </w:r>
      <w:r>
        <w:rPr>
          <w:spacing w:val="-82"/>
        </w:rPr>
        <w:t xml:space="preserve"> </w:t>
      </w:r>
      <w:r>
        <w:rPr>
          <w:spacing w:val="2"/>
        </w:rPr>
        <w:t>95.0</w:t>
      </w:r>
      <w:r>
        <w:rPr>
          <w:spacing w:val="11"/>
          <w:w w:val="99"/>
        </w:rPr>
        <w:drawing>
          <wp:inline distT="0" distB="0" distL="0" distR="0">
            <wp:extent cx="85090" cy="154940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。</w:t>
      </w:r>
    </w:p>
    <w:p w14:paraId="216E3604">
      <w:pPr>
        <w:pStyle w:val="5"/>
        <w:spacing w:before="163"/>
        <w:ind w:left="319" w:leftChars="145" w:firstLine="1708" w:firstLineChars="534"/>
        <w:rPr>
          <w:rFonts w:hint="eastAsia" w:ascii="黑体" w:eastAsia="黑体"/>
        </w:rPr>
      </w:pPr>
      <w:bookmarkStart w:id="3" w:name="四、财政拨款收入支出决算情况说明"/>
      <w:bookmarkEnd w:id="3"/>
      <w:r>
        <w:rPr>
          <w:rFonts w:hint="eastAsia" w:ascii="黑体" w:eastAsia="黑体"/>
        </w:rPr>
        <w:t>四、财政拨款收入支出决算情况说明</w:t>
      </w:r>
    </w:p>
    <w:p w14:paraId="66A86C36">
      <w:pPr>
        <w:pStyle w:val="4"/>
        <w:spacing w:before="66"/>
      </w:pPr>
      <w:r>
        <w:t>（一）财政拨款收支与 2017 年度决算对比情况</w:t>
      </w:r>
    </w:p>
    <w:p w14:paraId="67ED3D3F">
      <w:pPr>
        <w:pStyle w:val="5"/>
        <w:spacing w:before="98"/>
        <w:ind w:right="1093"/>
        <w:jc w:val="right"/>
      </w:pPr>
      <w:r>
        <w:t>本部门 2018 年度形成的财政拨款收支均为一般公共预算财</w:t>
      </w:r>
    </w:p>
    <w:p w14:paraId="645FFACC">
      <w:pPr>
        <w:pStyle w:val="5"/>
        <w:spacing w:before="168"/>
        <w:ind w:right="1138"/>
        <w:jc w:val="right"/>
      </w:pPr>
      <w:r>
        <w:t>政拨款，其中一般公共预算财政拨款本年收入 2839.69 万元,比</w:t>
      </w:r>
    </w:p>
    <w:p w14:paraId="0AAD790A">
      <w:pPr>
        <w:pStyle w:val="5"/>
        <w:spacing w:before="166"/>
        <w:ind w:right="1093"/>
        <w:jc w:val="right"/>
      </w:pPr>
      <w:r>
        <w:rPr>
          <w:position w:val="1"/>
        </w:rPr>
        <w:t>2017</w:t>
      </w:r>
      <w:r>
        <w:rPr>
          <w:spacing w:val="-84"/>
          <w:position w:val="1"/>
        </w:rPr>
        <w:t xml:space="preserve"> </w:t>
      </w:r>
      <w:r>
        <w:rPr>
          <w:position w:val="1"/>
        </w:rPr>
        <w:t>年度增加</w:t>
      </w:r>
      <w:r>
        <w:rPr>
          <w:spacing w:val="-82"/>
          <w:position w:val="1"/>
        </w:rPr>
        <w:t xml:space="preserve"> </w:t>
      </w:r>
      <w:r>
        <w:rPr>
          <w:position w:val="1"/>
        </w:rPr>
        <w:t>637.15</w:t>
      </w:r>
      <w:r>
        <w:rPr>
          <w:spacing w:val="-83"/>
          <w:position w:val="1"/>
        </w:rPr>
        <w:t xml:space="preserve"> </w:t>
      </w:r>
      <w:r>
        <w:rPr>
          <w:position w:val="1"/>
        </w:rPr>
        <w:t>万元</w:t>
      </w:r>
      <w:r>
        <w:rPr>
          <w:spacing w:val="-58"/>
          <w:position w:val="1"/>
        </w:rPr>
        <w:t>，</w:t>
      </w:r>
      <w:r>
        <w:rPr>
          <w:position w:val="1"/>
        </w:rPr>
        <w:t>上升</w:t>
      </w:r>
      <w:r>
        <w:rPr>
          <w:spacing w:val="-82"/>
          <w:position w:val="1"/>
        </w:rPr>
        <w:t xml:space="preserve"> </w:t>
      </w:r>
      <w:r>
        <w:rPr>
          <w:spacing w:val="2"/>
          <w:position w:val="1"/>
        </w:rPr>
        <w:t>28.93</w:t>
      </w:r>
      <w:r>
        <w:rPr>
          <w:spacing w:val="11"/>
          <w:w w:val="99"/>
        </w:rPr>
        <w:drawing>
          <wp:inline distT="0" distB="0" distL="0" distR="0">
            <wp:extent cx="85090" cy="154940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5"/>
          <w:position w:val="1"/>
        </w:rPr>
        <w:t>，</w:t>
      </w:r>
      <w:r>
        <w:rPr>
          <w:position w:val="1"/>
        </w:rPr>
        <w:t>主要原因是科技创新</w:t>
      </w:r>
    </w:p>
    <w:p w14:paraId="38D883D8">
      <w:pPr>
        <w:pStyle w:val="5"/>
        <w:spacing w:before="176"/>
        <w:ind w:right="1138"/>
        <w:jc w:val="right"/>
      </w:pPr>
      <w:r>
        <w:t>工作量增加；本年支出 2759.70 万元，增加 607.15 万元，上升</w:t>
      </w:r>
    </w:p>
    <w:p w14:paraId="63D85BFF">
      <w:pPr>
        <w:pStyle w:val="5"/>
        <w:spacing w:before="173"/>
        <w:ind w:left="888" w:leftChars="0" w:firstLine="435" w:firstLineChars="136"/>
      </w:pPr>
      <w:r>
        <w:t>27.19</w:t>
      </w:r>
      <w:r>
        <w:rPr>
          <w:spacing w:val="-154"/>
        </w:rPr>
        <w:t xml:space="preserve"> </w:t>
      </w:r>
      <w:r>
        <w:rPr>
          <w:spacing w:val="8"/>
          <w:w w:val="99"/>
        </w:rPr>
        <w:drawing>
          <wp:inline distT="0" distB="0" distL="0" distR="0">
            <wp:extent cx="85090" cy="154940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，用于科技创新工作支出增加。</w:t>
      </w:r>
    </w:p>
    <w:p w14:paraId="2EBD8BCA">
      <w:pPr>
        <w:pStyle w:val="4"/>
        <w:spacing w:before="60"/>
        <w:ind w:left="0" w:leftChars="0" w:firstLine="1921" w:firstLineChars="600"/>
      </w:pPr>
      <w:r>
        <w:t>（二）财政拨款收支与年初预算数对比情况</w:t>
      </w:r>
    </w:p>
    <w:p w14:paraId="5C565BB8">
      <w:pPr>
        <w:pStyle w:val="5"/>
        <w:spacing w:before="98"/>
        <w:ind w:left="1967"/>
      </w:pPr>
      <w:r>
        <w:t>本部门2018 年度一般公共预算财政拨款收入2839.69 万元，</w:t>
      </w:r>
    </w:p>
    <w:p w14:paraId="55CB64F2">
      <w:pPr>
        <w:spacing w:after="0"/>
        <w:sectPr>
          <w:headerReference r:id="rId13" w:type="default"/>
          <w:pgSz w:w="11910" w:h="16840"/>
          <w:pgMar w:top="600" w:right="380" w:bottom="280" w:left="260" w:header="407" w:footer="0" w:gutter="0"/>
          <w:cols w:space="720" w:num="1"/>
        </w:sectPr>
      </w:pPr>
    </w:p>
    <w:p w14:paraId="6D354B11">
      <w:pPr>
        <w:pStyle w:val="5"/>
        <w:rPr>
          <w:sz w:val="20"/>
        </w:rPr>
      </w:pPr>
    </w:p>
    <w:p w14:paraId="3CE64D77">
      <w:pPr>
        <w:pStyle w:val="5"/>
        <w:rPr>
          <w:sz w:val="20"/>
        </w:rPr>
      </w:pPr>
    </w:p>
    <w:p w14:paraId="4C02A5F4">
      <w:pPr>
        <w:pStyle w:val="5"/>
        <w:rPr>
          <w:sz w:val="20"/>
        </w:rPr>
      </w:pPr>
    </w:p>
    <w:p w14:paraId="5A26BA46">
      <w:pPr>
        <w:pStyle w:val="5"/>
        <w:rPr>
          <w:sz w:val="20"/>
        </w:rPr>
      </w:pPr>
    </w:p>
    <w:p w14:paraId="02F1661A">
      <w:pPr>
        <w:pStyle w:val="5"/>
        <w:rPr>
          <w:sz w:val="20"/>
        </w:rPr>
      </w:pPr>
    </w:p>
    <w:p w14:paraId="257FF182">
      <w:pPr>
        <w:pStyle w:val="5"/>
        <w:spacing w:before="4"/>
        <w:rPr>
          <w:sz w:val="23"/>
        </w:rPr>
      </w:pPr>
    </w:p>
    <w:p w14:paraId="5741C17F">
      <w:pPr>
        <w:pStyle w:val="5"/>
        <w:spacing w:before="59"/>
        <w:ind w:left="1328"/>
      </w:pPr>
      <w:r>
        <w:t>完成年初预算的</w:t>
      </w:r>
      <w:r>
        <w:rPr>
          <w:spacing w:val="-77"/>
        </w:rPr>
        <w:t xml:space="preserve"> </w:t>
      </w:r>
      <w:r>
        <w:t>122.73</w:t>
      </w:r>
      <w:r>
        <w:rPr>
          <w:spacing w:val="8"/>
          <w:w w:val="99"/>
        </w:rPr>
        <w:drawing>
          <wp:inline distT="0" distB="0" distL="0" distR="0">
            <wp:extent cx="85090" cy="154940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</w:rPr>
        <w:t>；</w:t>
      </w:r>
      <w:r>
        <w:t>本年支出</w:t>
      </w:r>
      <w:r>
        <w:rPr>
          <w:spacing w:val="-82"/>
        </w:rPr>
        <w:t xml:space="preserve"> </w:t>
      </w:r>
      <w:r>
        <w:t>2759.70</w:t>
      </w:r>
      <w:r>
        <w:rPr>
          <w:spacing w:val="-81"/>
        </w:rPr>
        <w:t xml:space="preserve"> </w:t>
      </w:r>
      <w:r>
        <w:t>万元</w:t>
      </w:r>
      <w:r>
        <w:rPr>
          <w:spacing w:val="-17"/>
        </w:rPr>
        <w:t>，</w:t>
      </w:r>
      <w:r>
        <w:t>完成年初预</w:t>
      </w:r>
    </w:p>
    <w:p w14:paraId="4989CF30">
      <w:pPr>
        <w:pStyle w:val="5"/>
        <w:spacing w:before="161" w:line="343" w:lineRule="auto"/>
        <w:ind w:left="1328" w:right="1093"/>
      </w:pPr>
      <w:r>
        <w:rPr>
          <w:position w:val="1"/>
        </w:rPr>
        <w:t>算的</w:t>
      </w:r>
      <w:r>
        <w:rPr>
          <w:spacing w:val="-74"/>
          <w:position w:val="1"/>
        </w:rPr>
        <w:t xml:space="preserve"> </w:t>
      </w:r>
      <w:r>
        <w:rPr>
          <w:position w:val="1"/>
        </w:rPr>
        <w:t>119.27</w:t>
      </w:r>
      <w:r>
        <w:rPr>
          <w:spacing w:val="11"/>
          <w:w w:val="99"/>
        </w:rPr>
        <w:drawing>
          <wp:inline distT="0" distB="0" distL="0" distR="0">
            <wp:extent cx="85090" cy="154940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,比年初预算增加</w:t>
      </w:r>
      <w:r>
        <w:rPr>
          <w:spacing w:val="-85"/>
          <w:position w:val="1"/>
        </w:rPr>
        <w:t xml:space="preserve"> </w:t>
      </w:r>
      <w:r>
        <w:rPr>
          <w:position w:val="1"/>
        </w:rPr>
        <w:t>445.91</w:t>
      </w:r>
      <w:r>
        <w:rPr>
          <w:spacing w:val="-86"/>
          <w:position w:val="1"/>
        </w:rPr>
        <w:t xml:space="preserve"> </w:t>
      </w:r>
      <w:r>
        <w:rPr>
          <w:position w:val="1"/>
        </w:rPr>
        <w:t>万元</w:t>
      </w:r>
      <w:r>
        <w:rPr>
          <w:spacing w:val="-36"/>
          <w:position w:val="1"/>
        </w:rPr>
        <w:t>，</w:t>
      </w:r>
      <w:r>
        <w:rPr>
          <w:position w:val="1"/>
        </w:rPr>
        <w:t>决算数大于预算数</w:t>
      </w:r>
      <w:r>
        <w:t>主要原因是科学技术研究与开发支出增加。</w:t>
      </w:r>
    </w:p>
    <w:p w14:paraId="51597F7D">
      <w:pPr>
        <w:pStyle w:val="4"/>
        <w:spacing w:before="0" w:line="474" w:lineRule="exact"/>
      </w:pPr>
      <w:r>
        <w:t>（三）财政拨款支出决算结构情况。</w:t>
      </w:r>
    </w:p>
    <w:p w14:paraId="1F5316B4">
      <w:pPr>
        <w:pStyle w:val="5"/>
        <w:spacing w:before="59"/>
        <w:ind w:left="1328"/>
      </w:pPr>
      <w:r>
        <w:rPr>
          <w:rFonts w:hint="eastAsia"/>
          <w:lang w:val="en-US" w:eastAsia="zh-CN"/>
        </w:rPr>
        <w:t xml:space="preserve">          </w:t>
      </w:r>
      <w:r>
        <w:t>2018 年度财政拨款支出 2759.69 万元，主要用于以下方面：</w:t>
      </w:r>
    </w:p>
    <w:p w14:paraId="0A87DFA8">
      <w:pPr>
        <w:pStyle w:val="5"/>
        <w:spacing w:before="59"/>
        <w:ind w:left="1328"/>
      </w:pPr>
      <w:r>
        <w:rPr>
          <w:rFonts w:hint="eastAsia"/>
          <w:lang w:val="en-US" w:eastAsia="zh-CN"/>
        </w:rPr>
        <w:t xml:space="preserve">       </w:t>
      </w:r>
      <w:r>
        <w:t>科学技术支出 2744.01 万元，社会保障肯就业支出 15.68 万元。</w:t>
      </w:r>
    </w:p>
    <w:p w14:paraId="5F3A84CC">
      <w:pPr>
        <w:pStyle w:val="4"/>
        <w:ind w:left="92" w:right="471"/>
        <w:jc w:val="center"/>
      </w:pPr>
      <w:r>
        <w:t>（四）一般公共预算财政拨款基本支出决算情况说明</w:t>
      </w:r>
    </w:p>
    <w:p w14:paraId="60C2ED8C">
      <w:pPr>
        <w:pStyle w:val="5"/>
        <w:spacing w:before="161" w:line="343" w:lineRule="auto"/>
        <w:ind w:left="1328" w:right="1093" w:firstLine="640" w:firstLineChars="200"/>
        <w:rPr>
          <w:position w:val="1"/>
        </w:rPr>
      </w:pPr>
      <w:r>
        <w:rPr>
          <w:position w:val="1"/>
        </w:rPr>
        <w:t>2018 年度一般公共预算财政拨款基本支出 140.62 万元，其中：人员经费 129.84 万元，主要包括基本工资 84.83 万元，津贴补贴 11.61 万元，奖金 15.20 万元，绩效工资 0.89 万元，其他工资福利支出 1.50 万元，对个人和家庭的补助 15.81 万元。公用经费 10.78 万元，主要包括办公费 1.52 万元，邮电费 0.2万元，差旅费 1.37 万元，其他交通费用支出 7.69 万元。</w:t>
      </w:r>
    </w:p>
    <w:p w14:paraId="561A50DD">
      <w:pPr>
        <w:pStyle w:val="5"/>
        <w:spacing w:before="171"/>
        <w:ind w:firstLine="640" w:firstLineChars="200"/>
        <w:rPr>
          <w:rFonts w:hint="eastAsia" w:ascii="黑体" w:eastAsia="黑体"/>
        </w:rPr>
      </w:pPr>
      <w:bookmarkStart w:id="4" w:name="五、一般公共预算财政拨款“三公” 经费支出决算情况说明"/>
      <w:bookmarkEnd w:id="4"/>
      <w:r>
        <w:rPr>
          <w:rFonts w:hint="eastAsia" w:ascii="黑体" w:hAnsi="黑体" w:eastAsia="黑体"/>
        </w:rPr>
        <w:t>五、一般公共预算财政拨款“三公” 经费支出决算情况说</w:t>
      </w:r>
      <w:r>
        <w:rPr>
          <w:rFonts w:hint="eastAsia" w:ascii="黑体" w:eastAsia="黑体"/>
          <w:w w:val="99"/>
        </w:rPr>
        <w:t>明</w:t>
      </w:r>
    </w:p>
    <w:p w14:paraId="6B4DEA9B"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610" w:lineRule="exact"/>
        <w:ind w:left="520" w:right="0" w:firstLine="580"/>
        <w:jc w:val="left"/>
      </w:pPr>
      <w:r>
        <w:rPr>
          <w:color w:val="000000"/>
          <w:spacing w:val="0"/>
          <w:w w:val="100"/>
          <w:position w:val="0"/>
        </w:rPr>
        <w:t>本部门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2018</w:t>
      </w:r>
      <w:r>
        <w:rPr>
          <w:color w:val="000000"/>
          <w:spacing w:val="0"/>
          <w:w w:val="100"/>
          <w:position w:val="0"/>
        </w:rPr>
        <w:t>年度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“三</w:t>
      </w:r>
      <w:r>
        <w:rPr>
          <w:color w:val="000000"/>
          <w:spacing w:val="0"/>
          <w:w w:val="100"/>
          <w:position w:val="0"/>
        </w:rPr>
        <w:t>公”经费支出共计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万元，较年初预算持平 主要是未发生此项支出具体情况如下：</w:t>
      </w:r>
    </w:p>
    <w:p w14:paraId="3FDABA59">
      <w:pPr>
        <w:pStyle w:val="11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180" w:line="594" w:lineRule="exact"/>
        <w:ind w:left="520" w:right="0" w:firstLine="580"/>
        <w:jc w:val="left"/>
        <w:rPr>
          <w:color w:val="000000"/>
          <w:spacing w:val="0"/>
          <w:w w:val="100"/>
          <w:position w:val="0"/>
        </w:rPr>
      </w:pP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因公出国（境）费支出</w:t>
      </w:r>
      <w:r>
        <w:rPr>
          <w:rFonts w:hint="eastAsia" w:ascii="Times New Roman" w:hAnsi="Times New Roman" w:cs="Times New Roman"/>
          <w:b/>
          <w:bCs/>
          <w:color w:val="000000"/>
          <w:spacing w:val="0"/>
          <w:w w:val="100"/>
          <w:position w:val="0"/>
          <w:lang w:val="en-US" w:eastAsia="zh-CN" w:bidi="en-US"/>
        </w:rPr>
        <w:t>0</w:t>
      </w: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万元。</w:t>
      </w:r>
      <w:r>
        <w:rPr>
          <w:color w:val="000000"/>
          <w:spacing w:val="0"/>
          <w:w w:val="100"/>
          <w:position w:val="0"/>
        </w:rPr>
        <w:t>本部门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2018</w:t>
      </w:r>
      <w:r>
        <w:rPr>
          <w:color w:val="000000"/>
          <w:spacing w:val="0"/>
          <w:w w:val="100"/>
          <w:position w:val="0"/>
        </w:rPr>
        <w:t>年度因公出国 （境）团组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个、共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人/参加其他单位组织的因公出国（境）团组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 xml:space="preserve">0 </w:t>
      </w:r>
      <w:r>
        <w:rPr>
          <w:color w:val="000000"/>
          <w:spacing w:val="0"/>
          <w:w w:val="100"/>
          <w:position w:val="0"/>
        </w:rPr>
        <w:t>个、共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人/无本单位组织的出国（境）团组。因公出国（境）费支出 较年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 xml:space="preserve"> </w:t>
      </w:r>
      <w:r>
        <w:rPr>
          <w:color w:val="000000"/>
          <w:spacing w:val="0"/>
          <w:w w:val="100"/>
          <w:position w:val="0"/>
        </w:rPr>
        <w:t>初预算持平，主要是未发生此项支出</w:t>
      </w:r>
    </w:p>
    <w:p w14:paraId="5BE8A0A5">
      <w:pPr>
        <w:pStyle w:val="11"/>
        <w:keepNext w:val="0"/>
        <w:keepLines w:val="0"/>
        <w:widowControl w:val="0"/>
        <w:numPr>
          <w:ilvl w:val="0"/>
          <w:numId w:val="0"/>
        </w:numPr>
        <w:shd w:val="clear" w:color="auto" w:fill="auto"/>
        <w:autoSpaceDE w:val="0"/>
        <w:autoSpaceDN w:val="0"/>
        <w:bidi w:val="0"/>
        <w:spacing w:before="0" w:after="180" w:line="594" w:lineRule="exact"/>
        <w:ind w:right="0" w:rightChars="0"/>
        <w:jc w:val="left"/>
        <w:rPr>
          <w:color w:val="000000"/>
          <w:spacing w:val="0"/>
          <w:w w:val="100"/>
          <w:position w:val="0"/>
        </w:rPr>
      </w:pPr>
    </w:p>
    <w:p w14:paraId="238405AF">
      <w:pPr>
        <w:pStyle w:val="11"/>
        <w:keepNext w:val="0"/>
        <w:keepLines w:val="0"/>
        <w:widowControl w:val="0"/>
        <w:shd w:val="clear" w:color="auto" w:fill="auto"/>
        <w:tabs>
          <w:tab w:val="left" w:pos="2150"/>
        </w:tabs>
        <w:bidi w:val="0"/>
        <w:spacing w:before="0" w:after="0" w:line="598" w:lineRule="exact"/>
        <w:ind w:right="0" w:firstLine="1205" w:firstLineChars="400"/>
        <w:jc w:val="both"/>
      </w:pP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（二）</w:t>
      </w: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公务用车购置及运行维护费支出</w:t>
      </w:r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</w:rPr>
        <w:t>0</w:t>
      </w: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万元。</w:t>
      </w:r>
      <w:r>
        <w:rPr>
          <w:color w:val="000000"/>
          <w:spacing w:val="0"/>
          <w:w w:val="100"/>
          <w:position w:val="0"/>
        </w:rPr>
        <w:t>本部门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2018</w:t>
      </w:r>
      <w:r>
        <w:rPr>
          <w:color w:val="000000"/>
          <w:spacing w:val="0"/>
          <w:w w:val="100"/>
          <w:position w:val="0"/>
        </w:rPr>
        <w:t>年度公 务用车购置及运行维护费较年初预算减少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万元主要是未发生此项支 出。</w:t>
      </w:r>
      <w:r>
        <w:rPr>
          <w:b/>
          <w:bCs/>
          <w:color w:val="000000"/>
          <w:spacing w:val="0"/>
          <w:w w:val="100"/>
          <w:position w:val="0"/>
        </w:rPr>
        <w:t>其中：</w:t>
      </w:r>
    </w:p>
    <w:p w14:paraId="0129CCF9">
      <w:pPr>
        <w:pStyle w:val="11"/>
        <w:keepNext w:val="0"/>
        <w:keepLines w:val="0"/>
        <w:widowControl w:val="0"/>
        <w:shd w:val="clear" w:color="auto" w:fill="auto"/>
        <w:bidi w:val="0"/>
        <w:spacing w:before="0" w:after="540" w:line="590" w:lineRule="exact"/>
        <w:ind w:left="520" w:right="0" w:firstLine="640"/>
        <w:jc w:val="both"/>
      </w:pPr>
      <w:r>
        <w:rPr>
          <w:b/>
          <w:bCs/>
          <w:color w:val="000000"/>
          <w:spacing w:val="0"/>
          <w:w w:val="100"/>
          <w:position w:val="0"/>
        </w:rPr>
        <w:t>公务用车购置费：</w:t>
      </w:r>
      <w:r>
        <w:rPr>
          <w:color w:val="000000"/>
          <w:spacing w:val="0"/>
          <w:w w:val="100"/>
          <w:position w:val="0"/>
        </w:rPr>
        <w:t>本部门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2018</w:t>
      </w:r>
      <w:r>
        <w:rPr>
          <w:color w:val="000000"/>
          <w:spacing w:val="0"/>
          <w:w w:val="100"/>
          <w:position w:val="0"/>
        </w:rPr>
        <w:t>年度公务用车购置量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辆，发生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“公 </w:t>
      </w:r>
      <w:r>
        <w:rPr>
          <w:color w:val="000000"/>
          <w:spacing w:val="0"/>
          <w:w w:val="100"/>
          <w:position w:val="0"/>
        </w:rPr>
        <w:t>务用车购置”经费支出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万元。公务用车购置费支出较年初预算持平， 主要是未发生’公务用车购置’经费支出。</w:t>
      </w:r>
    </w:p>
    <w:p w14:paraId="384C34AA"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95" w:lineRule="exact"/>
        <w:ind w:left="520" w:right="0" w:firstLine="640"/>
        <w:jc w:val="both"/>
      </w:pPr>
      <w:r>
        <w:rPr>
          <w:b/>
          <w:bCs/>
          <w:color w:val="000000"/>
          <w:spacing w:val="0"/>
          <w:w w:val="100"/>
          <w:position w:val="0"/>
        </w:rPr>
        <w:t>公务用车运行维护费：</w:t>
      </w:r>
      <w:r>
        <w:rPr>
          <w:color w:val="000000"/>
          <w:spacing w:val="0"/>
          <w:w w:val="100"/>
          <w:position w:val="0"/>
        </w:rPr>
        <w:t>本部门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2018</w:t>
      </w:r>
      <w:r>
        <w:rPr>
          <w:color w:val="000000"/>
          <w:spacing w:val="0"/>
          <w:w w:val="100"/>
          <w:position w:val="0"/>
        </w:rPr>
        <w:t>年度单位公务用车保有量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辆。 公车运行维护费支出较年初预算持平，主要是未发生此项支出。</w:t>
      </w:r>
    </w:p>
    <w:p w14:paraId="10CF3C47">
      <w:pPr>
        <w:pStyle w:val="11"/>
        <w:keepNext w:val="0"/>
        <w:keepLines w:val="0"/>
        <w:pageBreakBefore w:val="0"/>
        <w:widowControl w:val="0"/>
        <w:shd w:val="clear" w:color="auto" w:fill="auto"/>
        <w:tabs>
          <w:tab w:val="left" w:pos="21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2" w:lineRule="exact"/>
        <w:ind w:left="598" w:leftChars="272" w:right="0" w:firstLine="602" w:firstLineChars="200"/>
        <w:jc w:val="both"/>
        <w:textAlignment w:val="auto"/>
      </w:pP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（三）公务接待费支出</w:t>
      </w:r>
      <w:r>
        <w:rPr>
          <w:rFonts w:hint="eastAsia" w:ascii="Times New Roman" w:hAnsi="Times New Roman" w:cs="Times New Roman"/>
          <w:b/>
          <w:bCs/>
          <w:color w:val="000000"/>
          <w:spacing w:val="0"/>
          <w:w w:val="100"/>
          <w:position w:val="0"/>
          <w:lang w:val="en-US" w:eastAsia="zh-CN" w:bidi="en-US"/>
        </w:rPr>
        <w:t>0</w:t>
      </w:r>
      <w:r>
        <w:rPr>
          <w:b/>
          <w:bCs/>
          <w:color w:val="000000"/>
          <w:spacing w:val="0"/>
          <w:w w:val="100"/>
          <w:position w:val="0"/>
          <w:sz w:val="30"/>
          <w:szCs w:val="30"/>
        </w:rPr>
        <w:t>万元。</w:t>
      </w:r>
      <w:r>
        <w:rPr>
          <w:color w:val="000000"/>
          <w:spacing w:val="0"/>
          <w:w w:val="100"/>
          <w:position w:val="0"/>
        </w:rPr>
        <w:t>本部门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2018</w:t>
      </w:r>
      <w:r>
        <w:rPr>
          <w:color w:val="000000"/>
          <w:spacing w:val="0"/>
          <w:w w:val="100"/>
          <w:position w:val="0"/>
        </w:rPr>
        <w:t>年度公务接待共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批 次、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人次。公务接待费支出较年初预算持平,主要是未发生此项支出。</w:t>
      </w:r>
    </w:p>
    <w:p w14:paraId="14BB8D03">
      <w:pPr>
        <w:pStyle w:val="11"/>
        <w:keepNext w:val="0"/>
        <w:keepLines w:val="0"/>
        <w:widowControl w:val="0"/>
        <w:numPr>
          <w:ilvl w:val="0"/>
          <w:numId w:val="0"/>
        </w:numPr>
        <w:shd w:val="clear" w:color="auto" w:fill="auto"/>
        <w:autoSpaceDE w:val="0"/>
        <w:autoSpaceDN w:val="0"/>
        <w:bidi w:val="0"/>
        <w:spacing w:before="0" w:after="180" w:line="594" w:lineRule="exact"/>
        <w:ind w:right="0" w:rightChars="0"/>
        <w:jc w:val="left"/>
        <w:rPr>
          <w:color w:val="000000"/>
          <w:spacing w:val="0"/>
          <w:w w:val="100"/>
          <w:position w:val="0"/>
        </w:rPr>
        <w:sectPr>
          <w:headerReference r:id="rId14" w:type="default"/>
          <w:footerReference r:id="rId15" w:type="default"/>
          <w:footnotePr>
            <w:numFmt w:val="decimal"/>
          </w:footnotePr>
          <w:pgSz w:w="11910" w:h="18101"/>
          <w:pgMar w:top="2835" w:right="1023" w:bottom="925" w:left="500" w:header="0" w:footer="497" w:gutter="0"/>
          <w:cols w:space="720" w:num="1"/>
          <w:rtlGutter w:val="0"/>
          <w:docGrid w:linePitch="360" w:charSpace="0"/>
        </w:sectPr>
      </w:pPr>
    </w:p>
    <w:p w14:paraId="4A6F9307">
      <w:pPr>
        <w:pStyle w:val="5"/>
        <w:spacing w:before="171"/>
        <w:ind w:left="1967"/>
        <w:rPr>
          <w:rFonts w:hint="eastAsia" w:ascii="黑体" w:eastAsia="黑体"/>
        </w:rPr>
      </w:pPr>
      <w:r>
        <w:rPr>
          <w:rFonts w:hint="eastAsia" w:ascii="黑体" w:eastAsia="黑体"/>
        </w:rPr>
        <w:t>六、预算绩效情况说明</w:t>
      </w:r>
    </w:p>
    <w:p w14:paraId="332A2FC2">
      <w:pPr>
        <w:pStyle w:val="5"/>
        <w:spacing w:before="168"/>
      </w:pPr>
      <w:r>
        <w:t>2018</w:t>
      </w:r>
      <w:r>
        <w:rPr>
          <w:spacing w:val="-5"/>
        </w:rPr>
        <w:t xml:space="preserve"> 年，根据财政部《财政支出绩效评价管理暂行办法》</w:t>
      </w:r>
    </w:p>
    <w:p w14:paraId="4354AF6E">
      <w:pPr>
        <w:pStyle w:val="5"/>
        <w:spacing w:before="171" w:line="340" w:lineRule="auto"/>
        <w:ind w:right="1093"/>
      </w:pPr>
      <w:r>
        <w:rPr>
          <w:spacing w:val="-7"/>
          <w:w w:val="95"/>
        </w:rPr>
        <w:t xml:space="preserve">《河北省财政支出绩效评价管理办法》的规定，对纳入年度绩效 </w:t>
      </w:r>
      <w:r>
        <w:rPr>
          <w:spacing w:val="-12"/>
          <w:w w:val="95"/>
        </w:rPr>
        <w:t>评价范围的项目，围绕“预算编制有目标、预算执行有监控、预</w:t>
      </w:r>
    </w:p>
    <w:p w14:paraId="439A8EFE">
      <w:pPr>
        <w:pStyle w:val="5"/>
        <w:spacing w:before="54" w:line="340" w:lineRule="auto"/>
        <w:ind w:right="1093"/>
      </w:pPr>
      <w:r>
        <w:rPr>
          <w:spacing w:val="-10"/>
          <w:w w:val="95"/>
        </w:rPr>
        <w:t xml:space="preserve">算完成有评价、评价结果有反馈，反馈结果有应用”的绩效目标 </w:t>
      </w:r>
      <w:r>
        <w:rPr>
          <w:spacing w:val="-10"/>
        </w:rPr>
        <w:t>要求，认真开展绩效评价，促进提高项目资金使用绩效。</w:t>
      </w:r>
    </w:p>
    <w:p w14:paraId="15B9AC0D">
      <w:pPr>
        <w:pStyle w:val="5"/>
        <w:spacing w:line="338" w:lineRule="auto"/>
        <w:ind w:right="934" w:firstLine="600" w:firstLineChars="200"/>
        <w:jc w:val="both"/>
        <w:rPr>
          <w:rFonts w:hint="eastAsia"/>
          <w:spacing w:val="-20"/>
          <w:w w:val="95"/>
          <w:lang w:eastAsia="zh-CN"/>
        </w:rPr>
      </w:pPr>
      <w:r>
        <w:rPr>
          <w:spacing w:val="-10"/>
        </w:rPr>
        <w:t>按照绩效评价的有关程序，组织具体项目单位对项目绩效开</w:t>
      </w:r>
      <w:r>
        <w:rPr>
          <w:spacing w:val="-14"/>
        </w:rPr>
        <w:t>展了自我评价，在各单位自评的基础上，进行了综合评价，从项</w:t>
      </w:r>
      <w:r>
        <w:rPr>
          <w:spacing w:val="-20"/>
          <w:w w:val="95"/>
        </w:rPr>
        <w:t>目年度目标，效率目标、项目管理和项目结果等方面进行了评价。</w:t>
      </w:r>
      <w:r>
        <w:rPr>
          <w:rFonts w:hint="eastAsia"/>
          <w:spacing w:val="-20"/>
          <w:w w:val="95"/>
          <w:lang w:eastAsia="zh-CN"/>
        </w:rPr>
        <w:t>具体情况如下：</w:t>
      </w:r>
    </w:p>
    <w:p w14:paraId="52847E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457" w:leftChars="0" w:right="0" w:rightChars="0" w:firstLine="643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预算绩效管理工作开展情况。</w:t>
      </w:r>
    </w:p>
    <w:p w14:paraId="67588E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660" w:leftChars="300" w:right="488" w:rightChars="222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根据预算绩效管理要求，本部门组织对2018年度一般公共预算项目支出全面开展绩效自评，共有项目55个，共涉及资金2619.08万元，占一般公共预算项目支出总额的100%。组织对2018年度55个一般预算项目和0个政府性基金预算项目支出开展绩效自评，共涉及资金2619.08万元，一般公共预算项目中，科学技术支出资金2619.08万元，占项目支出的100%。从评价情况来看，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。充分调动企业的积极性，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科技兴国，通过建立科技企业库，培育省级高新科技技术企业，引导企业加大研发投入，让科技成果投入生产运行中，带动全县经济发展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，财政拨付资金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2619.08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万元，截止201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年12月31日，实际已使用资金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2619.08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万元，资金使用率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100%，已达到年度预期目标</w:t>
      </w:r>
    </w:p>
    <w:p w14:paraId="6FBD1B68">
      <w:pPr>
        <w:spacing w:line="640" w:lineRule="exact"/>
        <w:ind w:left="660" w:leftChars="300"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基本情况</w:t>
      </w:r>
    </w:p>
    <w:p w14:paraId="0C92C3DD">
      <w:pPr>
        <w:autoSpaceDE w:val="0"/>
        <w:autoSpaceDN w:val="0"/>
        <w:adjustRightInd w:val="0"/>
        <w:spacing w:line="700" w:lineRule="exact"/>
        <w:ind w:left="660" w:leftChars="300" w:right="488" w:rightChars="222" w:firstLine="645" w:firstLineChars="0"/>
        <w:jc w:val="left"/>
        <w:rPr>
          <w:rFonts w:hint="eastAsia"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科技兴国，通过建立科技企业库，培育省级高新科技技术企业，引导企业加大研发投入，让科技成果投入生产运行中，带动经济发展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，重点支持河北铠特农机、大华化工、荣特化工、瑞邦化工、福德化工、昊诺化工、科正化工、三林轴承、峻宇农机、河北洁雅卫生用品等有限公司、河北华清光电材料有限公司等企业,重点实施科教兴国战略，服务大众，万众创新，推动科学技术改造,传统产业向高新技术产业发展。财政拨付资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2619.08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万元，其中：财政拨款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2619.08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万元.截止2019年12月31日，实际已使用资金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2619.082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万元，项目已完成。</w:t>
      </w:r>
    </w:p>
    <w:p w14:paraId="15357345">
      <w:pPr>
        <w:spacing w:line="640" w:lineRule="exact"/>
        <w:ind w:firstLine="1280" w:firstLineChars="4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项目组织、管理及流程</w:t>
      </w:r>
    </w:p>
    <w:p w14:paraId="420BBA7A">
      <w:pPr>
        <w:spacing w:line="64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根据上级文件精神及县委县政府安排，按照相关工作的流程进行办理。</w:t>
      </w:r>
    </w:p>
    <w:p w14:paraId="19C459B7">
      <w:pPr>
        <w:spacing w:line="64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根据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《中华人民共和国科学技术进步法》</w:t>
      </w:r>
      <w:r>
        <w:rPr>
          <w:rFonts w:hint="eastAsia" w:ascii="仿宋" w:hAnsi="仿宋" w:eastAsia="仿宋" w:cs="仿宋_GB2312"/>
          <w:sz w:val="32"/>
          <w:szCs w:val="32"/>
        </w:rPr>
        <w:t>等文件相关要求，按照相关工作流程进行办理。</w:t>
      </w:r>
    </w:p>
    <w:p w14:paraId="5C1F7DA2">
      <w:pPr>
        <w:numPr>
          <w:ilvl w:val="0"/>
          <w:numId w:val="0"/>
        </w:numPr>
        <w:spacing w:line="640" w:lineRule="exact"/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项目绩效目标</w:t>
      </w:r>
    </w:p>
    <w:p w14:paraId="6F05AD15">
      <w:pPr>
        <w:spacing w:line="640" w:lineRule="exact"/>
        <w:ind w:left="638" w:leftChars="290" w:right="708" w:rightChars="322" w:firstLine="12" w:firstLineChars="4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科技兴国，通过建立科技企业库，培育省级高新科技技术企业，引导企业加大研发投入，让科技成果投入生产运行中，带动经济发展。</w:t>
      </w:r>
    </w:p>
    <w:p w14:paraId="2567F28A">
      <w:pPr>
        <w:spacing w:line="640" w:lineRule="exact"/>
        <w:ind w:firstLine="1280" w:firstLineChars="4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绩效运行监控设计与实施</w:t>
      </w:r>
    </w:p>
    <w:p w14:paraId="58601052">
      <w:pPr>
        <w:spacing w:line="640" w:lineRule="exact"/>
        <w:ind w:left="638" w:leftChars="290" w:right="268" w:rightChars="122" w:firstLine="320" w:firstLineChars="100"/>
        <w:rPr>
          <w:rFonts w:hint="eastAsia"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根据上级文件精神和县委县政府的安排，资金拨付到位后，及时全额拨付给支持的企业。实施科教兴国战略，服务大众，万众创新，推动科学技术改造,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传统产业向高新技术产业发展。</w:t>
      </w:r>
    </w:p>
    <w:p w14:paraId="5C4F9D58">
      <w:pPr>
        <w:spacing w:line="640" w:lineRule="exact"/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总结</w:t>
      </w:r>
    </w:p>
    <w:p w14:paraId="6D7A2FBD">
      <w:pPr>
        <w:widowControl/>
        <w:tabs>
          <w:tab w:val="left" w:pos="298"/>
        </w:tabs>
        <w:spacing w:line="640" w:lineRule="exact"/>
        <w:ind w:left="957" w:leftChars="435" w:right="488" w:rightChars="222" w:firstLine="0" w:firstLineChars="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_GB2312"/>
          <w:bCs/>
          <w:sz w:val="32"/>
          <w:szCs w:val="32"/>
        </w:rPr>
        <w:t>通过开展绩效监控评价，清晰的了解单位项目资金使用进度、产生的效益以及合规情况等，在今后的项目实施中提高使用效率，积极发挥项目资金作用。</w:t>
      </w:r>
    </w:p>
    <w:p w14:paraId="35D018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1285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 部门决算中项目绩效自评结果。</w:t>
      </w:r>
    </w:p>
    <w:p w14:paraId="5B318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638" w:leftChars="290" w:right="268" w:rightChars="122" w:firstLine="0" w:firstLineChars="0"/>
        <w:jc w:val="both"/>
        <w:textAlignment w:val="auto"/>
        <w:outlineLvl w:val="9"/>
        <w:sectPr>
          <w:pgSz w:w="11910" w:h="16840"/>
          <w:pgMar w:top="601" w:right="850" w:bottom="278" w:left="850" w:header="407" w:footer="0" w:gutter="0"/>
          <w:cols w:space="0" w:num="1"/>
          <w:rtlGutter w:val="0"/>
          <w:docGrid w:linePitch="0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本部门在今年部门决算公开中反映55项目个项目绩效自评结果为优秀，达到了年度预期目标。</w:t>
      </w:r>
    </w:p>
    <w:p w14:paraId="4049B7C9">
      <w:pPr>
        <w:pStyle w:val="5"/>
        <w:spacing w:line="338" w:lineRule="auto"/>
        <w:ind w:right="934"/>
        <w:jc w:val="both"/>
        <w:rPr>
          <w:rFonts w:hint="eastAsia"/>
          <w:spacing w:val="-20"/>
          <w:w w:val="95"/>
          <w:lang w:eastAsia="zh-CN"/>
        </w:rPr>
      </w:pPr>
    </w:p>
    <w:p w14:paraId="20A5361F">
      <w:pPr>
        <w:pStyle w:val="5"/>
        <w:spacing w:before="3"/>
        <w:ind w:firstLine="1520" w:firstLineChars="500"/>
        <w:rPr>
          <w:rFonts w:hint="eastAsia" w:ascii="黑体" w:eastAsia="黑体"/>
        </w:rPr>
      </w:pPr>
      <w:bookmarkStart w:id="5" w:name="七、其他重要事项的说明"/>
      <w:bookmarkEnd w:id="5"/>
      <w:r>
        <w:rPr>
          <w:rFonts w:hint="eastAsia" w:ascii="黑体" w:eastAsia="黑体"/>
          <w:w w:val="95"/>
        </w:rPr>
        <w:t>七、其他重要事项的说明</w:t>
      </w:r>
    </w:p>
    <w:p w14:paraId="76F13E90">
      <w:pPr>
        <w:pStyle w:val="4"/>
      </w:pPr>
      <w:bookmarkStart w:id="6" w:name="（一）机关运行经费情况"/>
      <w:bookmarkEnd w:id="6"/>
      <w:r>
        <w:t>（一）机关运行经费情况</w:t>
      </w:r>
    </w:p>
    <w:p w14:paraId="08A015D4">
      <w:pPr>
        <w:pStyle w:val="5"/>
        <w:spacing w:before="98"/>
        <w:ind w:left="638" w:leftChars="290" w:firstLine="640" w:firstLineChars="200"/>
        <w:rPr>
          <w:rFonts w:hint="eastAsia" w:eastAsia="宋体"/>
          <w:lang w:eastAsia="zh-CN"/>
        </w:rPr>
      </w:pPr>
      <w:r>
        <w:t>本部门 2018 年度机关运行经费支出</w:t>
      </w:r>
      <w:r>
        <w:rPr>
          <w:rFonts w:hint="eastAsia"/>
          <w:lang w:val="en-US" w:eastAsia="zh-CN"/>
        </w:rPr>
        <w:t>21.56</w:t>
      </w:r>
      <w:r>
        <w:t>万元，</w:t>
      </w:r>
      <w:r>
        <w:rPr>
          <w:rFonts w:hint="eastAsia"/>
          <w:lang w:eastAsia="zh-CN"/>
        </w:rPr>
        <w:t>主要用于商品费</w:t>
      </w:r>
      <w:r>
        <w:rPr>
          <w:rFonts w:hint="eastAsia"/>
          <w:lang w:val="en-US" w:eastAsia="zh-CN"/>
        </w:rPr>
        <w:t>10.78万元，办公费1.5万元，邮电费0.2万元，差旅费1.37万元，其他交通费用7.71万元。</w:t>
      </w:r>
      <w:r>
        <w:t>比年初预算</w:t>
      </w:r>
      <w:r>
        <w:rPr>
          <w:rFonts w:hint="eastAsia"/>
          <w:lang w:eastAsia="zh-CN"/>
        </w:rPr>
        <w:t>持平。</w:t>
      </w:r>
    </w:p>
    <w:p w14:paraId="0C212CD7">
      <w:pPr>
        <w:pStyle w:val="4"/>
        <w:spacing w:before="57"/>
      </w:pPr>
      <w:bookmarkStart w:id="7" w:name="（二）政府采购情况"/>
      <w:bookmarkEnd w:id="7"/>
      <w:r>
        <w:t>（二）政府采购情况</w:t>
      </w:r>
    </w:p>
    <w:p w14:paraId="2CFD7C5E">
      <w:pPr>
        <w:widowControl/>
        <w:spacing w:after="0" w:line="580" w:lineRule="exact"/>
        <w:ind w:left="638" w:leftChars="290"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bookmarkStart w:id="8" w:name="（三）国有资产占用情况"/>
      <w:bookmarkEnd w:id="8"/>
      <w:r>
        <w:rPr>
          <w:rFonts w:hint="eastAsia" w:ascii="仿宋_GB2312" w:eastAsia="仿宋_GB2312" w:cs="DengXian-Regular"/>
          <w:sz w:val="32"/>
          <w:szCs w:val="32"/>
        </w:rPr>
        <w:t>本部门2018年度政府采购支出总额</w:t>
      </w:r>
      <w:r>
        <w:rPr>
          <w:rFonts w:hint="eastAsia" w:ascii="仿宋_GB2312" w:eastAsia="仿宋_GB2312" w:cs="DengXian-Regular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DengXian-Regular"/>
          <w:sz w:val="32"/>
          <w:szCs w:val="32"/>
        </w:rPr>
        <w:t>万元，从采购类型来看，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政府采购货物支出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万元、政府采购工程支出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万元、政府采购服务支出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万元。授予中小企业合同金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万元，占政府采购支出总额的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%，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其中授予小微企业合同金额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万元，占政府采购支出总额的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%。</w:t>
      </w:r>
    </w:p>
    <w:p w14:paraId="0BA7DFCA">
      <w:pPr>
        <w:pStyle w:val="4"/>
        <w:spacing w:before="66"/>
      </w:pPr>
      <w:r>
        <w:t>（三）国有资产占用情况</w:t>
      </w:r>
    </w:p>
    <w:p w14:paraId="14F7C89C">
      <w:pPr>
        <w:pStyle w:val="5"/>
        <w:spacing w:before="95"/>
        <w:ind w:left="638" w:leftChars="290" w:firstLine="798" w:firstLineChars="300"/>
      </w:pPr>
      <w:r>
        <w:rPr>
          <w:spacing w:val="-27"/>
        </w:rPr>
        <w:t xml:space="preserve">截至 </w:t>
      </w:r>
      <w:r>
        <w:t>2018</w:t>
      </w:r>
      <w:r>
        <w:rPr>
          <w:spacing w:val="-53"/>
        </w:rPr>
        <w:t xml:space="preserve"> 年 </w:t>
      </w:r>
      <w:r>
        <w:t>12</w:t>
      </w:r>
      <w:r>
        <w:rPr>
          <w:spacing w:val="-55"/>
        </w:rPr>
        <w:t xml:space="preserve"> 月 </w:t>
      </w:r>
      <w:r>
        <w:t>31</w:t>
      </w:r>
      <w:r>
        <w:rPr>
          <w:spacing w:val="-17"/>
        </w:rPr>
        <w:t xml:space="preserve"> 日，本部门共有车辆 </w:t>
      </w:r>
      <w:r>
        <w:t>0</w:t>
      </w:r>
      <w:r>
        <w:rPr>
          <w:spacing w:val="-27"/>
        </w:rPr>
        <w:t xml:space="preserve"> 辆。</w:t>
      </w:r>
      <w:r>
        <w:rPr>
          <w:rFonts w:hint="eastAsia" w:ascii="仿宋_GB2312" w:eastAsia="仿宋_GB2312" w:cs="DengXian-Regular"/>
          <w:sz w:val="32"/>
          <w:szCs w:val="32"/>
        </w:rPr>
        <w:t>单位价值</w:t>
      </w:r>
      <w:r>
        <w:rPr>
          <w:rFonts w:hint="eastAsia" w:ascii="仿宋_GB2312" w:hAnsi="TimesNewRomanPSMT" w:eastAsia="仿宋_GB2312" w:cs="TimesNewRomanPSMT"/>
          <w:sz w:val="32"/>
          <w:szCs w:val="32"/>
        </w:rPr>
        <w:t>50</w:t>
      </w:r>
      <w:r>
        <w:rPr>
          <w:rFonts w:hint="eastAsia" w:ascii="仿宋_GB2312" w:eastAsia="仿宋_GB2312" w:cs="DengXian-Regular"/>
          <w:sz w:val="32"/>
          <w:szCs w:val="32"/>
        </w:rPr>
        <w:t>万元以上通用设备0台（套），比</w:t>
      </w:r>
      <w:r>
        <w:rPr>
          <w:rFonts w:hint="eastAsia" w:ascii="仿宋_GB2312" w:eastAsia="仿宋_GB2312" w:cs="DengXian-Regular"/>
          <w:sz w:val="32"/>
          <w:szCs w:val="32"/>
          <w:lang w:eastAsia="zh-CN"/>
        </w:rPr>
        <w:t>上年持平</w:t>
      </w:r>
      <w:r>
        <w:rPr>
          <w:rFonts w:hint="eastAsia" w:ascii="仿宋_GB2312" w:eastAsia="仿宋_GB2312" w:cs="DengXian-Regular"/>
          <w:sz w:val="32"/>
          <w:szCs w:val="32"/>
        </w:rPr>
        <w:t>，</w:t>
      </w:r>
      <w:r>
        <w:rPr>
          <w:rFonts w:hint="eastAsia" w:ascii="仿宋_GB2312" w:eastAsia="仿宋_GB2312" w:cs="DengXian-Regular"/>
          <w:sz w:val="32"/>
          <w:szCs w:val="32"/>
          <w:lang w:eastAsia="zh-CN"/>
        </w:rPr>
        <w:t>主要是无此项设备；</w:t>
      </w:r>
      <w:r>
        <w:rPr>
          <w:rFonts w:hint="eastAsia" w:ascii="仿宋_GB2312" w:eastAsia="仿宋_GB2312" w:cs="DengXian-Regular"/>
          <w:sz w:val="32"/>
          <w:szCs w:val="32"/>
        </w:rPr>
        <w:t>单位价值</w:t>
      </w:r>
      <w:r>
        <w:rPr>
          <w:rFonts w:hint="eastAsia" w:ascii="仿宋_GB2312" w:hAnsi="TimesNewRomanPSMT" w:eastAsia="仿宋_GB2312" w:cs="TimesNewRomanPSMT"/>
          <w:sz w:val="32"/>
          <w:szCs w:val="32"/>
        </w:rPr>
        <w:t>100</w:t>
      </w:r>
      <w:r>
        <w:rPr>
          <w:rFonts w:hint="eastAsia" w:ascii="仿宋_GB2312" w:eastAsia="仿宋_GB2312" w:cs="DengXian-Regular"/>
          <w:sz w:val="32"/>
          <w:szCs w:val="32"/>
        </w:rPr>
        <w:t>万元以上专用设备0台（套）比上年</w:t>
      </w:r>
      <w:r>
        <w:rPr>
          <w:rFonts w:hint="eastAsia" w:ascii="仿宋_GB2312" w:eastAsia="仿宋_GB2312" w:cs="DengXian-Regular"/>
          <w:sz w:val="32"/>
          <w:szCs w:val="32"/>
          <w:lang w:eastAsia="zh-CN"/>
        </w:rPr>
        <w:t>持平，主要是无此项设备</w:t>
      </w:r>
      <w:r>
        <w:rPr>
          <w:rFonts w:hint="eastAsia" w:ascii="仿宋_GB2312" w:eastAsia="仿宋_GB2312" w:cs="DengXian-Regular"/>
          <w:sz w:val="32"/>
          <w:szCs w:val="32"/>
        </w:rPr>
        <w:t>。</w:t>
      </w:r>
    </w:p>
    <w:p w14:paraId="49754F55">
      <w:pPr>
        <w:spacing w:after="0"/>
        <w:sectPr>
          <w:headerReference r:id="rId16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15680C17">
      <w:pPr>
        <w:pStyle w:val="5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0150" cy="10674350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896" cy="1067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F0622">
      <w:pPr>
        <w:pStyle w:val="5"/>
        <w:rPr>
          <w:sz w:val="20"/>
        </w:rPr>
      </w:pPr>
    </w:p>
    <w:p w14:paraId="34D10B38">
      <w:pPr>
        <w:pStyle w:val="5"/>
        <w:rPr>
          <w:sz w:val="20"/>
        </w:rPr>
      </w:pPr>
    </w:p>
    <w:p w14:paraId="79990FB3">
      <w:pPr>
        <w:pStyle w:val="5"/>
        <w:rPr>
          <w:sz w:val="20"/>
        </w:rPr>
      </w:pPr>
    </w:p>
    <w:p w14:paraId="1732A4F2">
      <w:pPr>
        <w:pStyle w:val="5"/>
        <w:rPr>
          <w:sz w:val="20"/>
        </w:rPr>
      </w:pPr>
    </w:p>
    <w:p w14:paraId="0E517CCA">
      <w:pPr>
        <w:pStyle w:val="5"/>
        <w:rPr>
          <w:sz w:val="20"/>
        </w:rPr>
      </w:pPr>
    </w:p>
    <w:p w14:paraId="79E8CBC2">
      <w:pPr>
        <w:pStyle w:val="5"/>
        <w:rPr>
          <w:sz w:val="20"/>
        </w:rPr>
      </w:pPr>
    </w:p>
    <w:p w14:paraId="51F37919">
      <w:pPr>
        <w:pStyle w:val="5"/>
        <w:rPr>
          <w:sz w:val="20"/>
        </w:rPr>
      </w:pPr>
    </w:p>
    <w:p w14:paraId="271E09A3">
      <w:pPr>
        <w:pStyle w:val="5"/>
        <w:rPr>
          <w:sz w:val="20"/>
        </w:rPr>
      </w:pPr>
    </w:p>
    <w:p w14:paraId="37B9BD00">
      <w:pPr>
        <w:pStyle w:val="5"/>
        <w:rPr>
          <w:sz w:val="20"/>
        </w:rPr>
      </w:pPr>
    </w:p>
    <w:p w14:paraId="2BE3874C">
      <w:pPr>
        <w:pStyle w:val="5"/>
        <w:rPr>
          <w:sz w:val="20"/>
        </w:rPr>
      </w:pPr>
    </w:p>
    <w:p w14:paraId="26032EBA">
      <w:pPr>
        <w:pStyle w:val="5"/>
        <w:rPr>
          <w:sz w:val="20"/>
        </w:rPr>
      </w:pPr>
    </w:p>
    <w:p w14:paraId="2D7087A0">
      <w:pPr>
        <w:pStyle w:val="5"/>
        <w:rPr>
          <w:sz w:val="20"/>
        </w:rPr>
      </w:pPr>
    </w:p>
    <w:p w14:paraId="686E73A6">
      <w:pPr>
        <w:pStyle w:val="5"/>
        <w:rPr>
          <w:sz w:val="20"/>
        </w:rPr>
      </w:pPr>
    </w:p>
    <w:p w14:paraId="6C1770F0">
      <w:pPr>
        <w:pStyle w:val="5"/>
        <w:rPr>
          <w:sz w:val="20"/>
        </w:rPr>
      </w:pPr>
    </w:p>
    <w:p w14:paraId="0E467D86">
      <w:pPr>
        <w:pStyle w:val="5"/>
        <w:rPr>
          <w:sz w:val="20"/>
        </w:rPr>
      </w:pPr>
    </w:p>
    <w:p w14:paraId="7D7CC171">
      <w:pPr>
        <w:pStyle w:val="5"/>
        <w:rPr>
          <w:sz w:val="20"/>
        </w:rPr>
      </w:pPr>
    </w:p>
    <w:p w14:paraId="5B932432">
      <w:pPr>
        <w:pStyle w:val="5"/>
        <w:rPr>
          <w:sz w:val="20"/>
        </w:rPr>
      </w:pPr>
    </w:p>
    <w:p w14:paraId="581CD858">
      <w:pPr>
        <w:pStyle w:val="5"/>
        <w:rPr>
          <w:sz w:val="20"/>
        </w:rPr>
      </w:pPr>
    </w:p>
    <w:p w14:paraId="37094236">
      <w:pPr>
        <w:pStyle w:val="5"/>
        <w:rPr>
          <w:sz w:val="20"/>
        </w:rPr>
      </w:pPr>
    </w:p>
    <w:p w14:paraId="6AFFF4C7">
      <w:pPr>
        <w:pStyle w:val="2"/>
        <w:spacing w:before="103" w:line="266" w:lineRule="auto"/>
        <w:ind w:left="3796" w:right="3629"/>
        <w:jc w:val="left"/>
      </w:pPr>
      <w:r>
        <w:rPr>
          <w:color w:val="FCEEBD"/>
        </w:rPr>
        <w:t>第四部分名词解释</w:t>
      </w:r>
    </w:p>
    <w:p w14:paraId="6808A8F2">
      <w:pPr>
        <w:spacing w:after="0" w:line="266" w:lineRule="auto"/>
        <w:jc w:val="left"/>
        <w:sectPr>
          <w:headerReference r:id="rId17" w:type="default"/>
          <w:pgSz w:w="11910" w:h="16840"/>
          <w:pgMar w:top="1580" w:right="380" w:bottom="280" w:left="260" w:header="0" w:footer="0" w:gutter="0"/>
          <w:cols w:space="720" w:num="1"/>
        </w:sectPr>
      </w:pPr>
    </w:p>
    <w:p w14:paraId="21266FEC">
      <w:pPr>
        <w:pStyle w:val="5"/>
        <w:rPr>
          <w:rFonts w:ascii="黑体"/>
          <w:sz w:val="20"/>
        </w:rPr>
      </w:pPr>
    </w:p>
    <w:p w14:paraId="13CE7BF6">
      <w:pPr>
        <w:pStyle w:val="5"/>
        <w:rPr>
          <w:rFonts w:ascii="黑体"/>
          <w:sz w:val="20"/>
        </w:rPr>
      </w:pPr>
    </w:p>
    <w:p w14:paraId="5D7443C0">
      <w:pPr>
        <w:pStyle w:val="5"/>
        <w:rPr>
          <w:rFonts w:ascii="黑体"/>
          <w:sz w:val="20"/>
        </w:rPr>
      </w:pPr>
    </w:p>
    <w:p w14:paraId="1068A46E">
      <w:pPr>
        <w:pStyle w:val="5"/>
        <w:rPr>
          <w:rFonts w:ascii="黑体"/>
          <w:sz w:val="20"/>
        </w:rPr>
      </w:pPr>
    </w:p>
    <w:p w14:paraId="1580EEEB">
      <w:pPr>
        <w:pStyle w:val="5"/>
        <w:rPr>
          <w:rFonts w:ascii="黑体"/>
          <w:sz w:val="26"/>
        </w:rPr>
      </w:pPr>
    </w:p>
    <w:p w14:paraId="675AAE35">
      <w:pPr>
        <w:spacing w:before="0" w:line="543" w:lineRule="exact"/>
        <w:ind w:left="1967" w:right="0" w:firstLine="0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（一</w:t>
      </w:r>
      <w:r>
        <w:rPr>
          <w:rFonts w:hint="eastAsia" w:ascii="微软雅黑" w:eastAsia="微软雅黑"/>
          <w:b/>
          <w:spacing w:val="-63"/>
          <w:sz w:val="32"/>
        </w:rPr>
        <w:t>）</w:t>
      </w:r>
      <w:r>
        <w:rPr>
          <w:rFonts w:hint="eastAsia" w:ascii="微软雅黑" w:eastAsia="微软雅黑"/>
          <w:b/>
          <w:spacing w:val="-9"/>
          <w:sz w:val="32"/>
        </w:rPr>
        <w:t>财政拨款收入：</w:t>
      </w:r>
      <w:r>
        <w:rPr>
          <w:sz w:val="32"/>
        </w:rPr>
        <w:t>本年度从本级财政部门取得的财政拨</w:t>
      </w:r>
    </w:p>
    <w:p w14:paraId="33499F65">
      <w:pPr>
        <w:pStyle w:val="5"/>
        <w:spacing w:before="71"/>
        <w:ind w:left="1328"/>
      </w:pPr>
      <w:r>
        <w:t>款，包括一般公共预算财政拨款和政府性基金预算财政拨款。</w:t>
      </w:r>
    </w:p>
    <w:p w14:paraId="15DAE503">
      <w:pPr>
        <w:spacing w:before="47" w:line="271" w:lineRule="auto"/>
        <w:ind w:left="1328" w:right="1091" w:firstLine="638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（二</w:t>
      </w:r>
      <w:r>
        <w:rPr>
          <w:rFonts w:hint="eastAsia" w:ascii="微软雅黑" w:eastAsia="微软雅黑"/>
          <w:b/>
          <w:spacing w:val="-63"/>
          <w:sz w:val="32"/>
        </w:rPr>
        <w:t>）</w:t>
      </w:r>
      <w:r>
        <w:rPr>
          <w:rFonts w:hint="eastAsia" w:ascii="微软雅黑" w:eastAsia="微软雅黑"/>
          <w:b/>
          <w:spacing w:val="-12"/>
          <w:sz w:val="32"/>
        </w:rPr>
        <w:t>事业收入：</w:t>
      </w:r>
      <w:r>
        <w:rPr>
          <w:sz w:val="32"/>
        </w:rPr>
        <w:t>指事业单位开展专业业务活动及辅助活动所取得的收入。</w:t>
      </w:r>
    </w:p>
    <w:p w14:paraId="39855472">
      <w:pPr>
        <w:pStyle w:val="5"/>
        <w:spacing w:line="268" w:lineRule="auto"/>
        <w:ind w:left="1328" w:right="964" w:firstLine="638"/>
      </w:pPr>
      <w:r>
        <w:rPr>
          <w:rFonts w:hint="eastAsia" w:ascii="微软雅黑" w:hAnsi="微软雅黑" w:eastAsia="微软雅黑"/>
          <w:b/>
        </w:rPr>
        <w:t>（三）其他收入：</w:t>
      </w:r>
      <w:r>
        <w:t>指除上述“财政拨款收入”“事业收入” “经营收入”等以外的收入。</w:t>
      </w:r>
    </w:p>
    <w:p w14:paraId="1073021B">
      <w:pPr>
        <w:spacing w:before="0" w:line="268" w:lineRule="auto"/>
        <w:ind w:left="1328" w:right="1086" w:firstLine="638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（四</w:t>
      </w:r>
      <w:r>
        <w:rPr>
          <w:rFonts w:hint="eastAsia" w:ascii="微软雅黑" w:eastAsia="微软雅黑"/>
          <w:b/>
          <w:spacing w:val="-41"/>
          <w:sz w:val="32"/>
        </w:rPr>
        <w:t>）</w:t>
      </w:r>
      <w:r>
        <w:rPr>
          <w:rFonts w:hint="eastAsia" w:ascii="微软雅黑" w:eastAsia="微软雅黑"/>
          <w:b/>
          <w:spacing w:val="-6"/>
          <w:sz w:val="32"/>
        </w:rPr>
        <w:t>年初结转和结余：</w:t>
      </w:r>
      <w:r>
        <w:rPr>
          <w:spacing w:val="-5"/>
          <w:sz w:val="32"/>
        </w:rPr>
        <w:t>指以前年度尚未完成、结转到本年</w:t>
      </w:r>
      <w:r>
        <w:rPr>
          <w:spacing w:val="-13"/>
          <w:sz w:val="32"/>
        </w:rPr>
        <w:t>仍按原规定用途继续使用的资金，或项目已完成等产生的结余资</w:t>
      </w:r>
    </w:p>
    <w:p w14:paraId="14EB6DB3">
      <w:pPr>
        <w:pStyle w:val="5"/>
        <w:spacing w:before="93"/>
        <w:ind w:left="1328"/>
      </w:pPr>
      <w:r>
        <w:t>金。</w:t>
      </w:r>
    </w:p>
    <w:p w14:paraId="1280D133">
      <w:pPr>
        <w:spacing w:before="49" w:line="268" w:lineRule="auto"/>
        <w:ind w:left="1328" w:right="1091" w:firstLine="638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（五</w:t>
      </w:r>
      <w:r>
        <w:rPr>
          <w:rFonts w:hint="eastAsia" w:ascii="微软雅黑" w:eastAsia="微软雅黑"/>
          <w:b/>
          <w:spacing w:val="-63"/>
          <w:sz w:val="32"/>
        </w:rPr>
        <w:t>）</w:t>
      </w:r>
      <w:r>
        <w:rPr>
          <w:rFonts w:hint="eastAsia" w:ascii="微软雅黑" w:eastAsia="微软雅黑"/>
          <w:b/>
          <w:sz w:val="32"/>
        </w:rPr>
        <w:t>年</w:t>
      </w:r>
      <w:r>
        <w:rPr>
          <w:b/>
          <w:sz w:val="32"/>
        </w:rPr>
        <w:t>末</w:t>
      </w:r>
      <w:r>
        <w:rPr>
          <w:rFonts w:hint="eastAsia" w:ascii="微软雅黑" w:eastAsia="微软雅黑"/>
          <w:b/>
          <w:spacing w:val="-11"/>
          <w:sz w:val="32"/>
        </w:rPr>
        <w:t>结转和结余：</w:t>
      </w:r>
      <w:r>
        <w:rPr>
          <w:sz w:val="32"/>
        </w:rPr>
        <w:t>指单位按有关规定结转到下年或以后年度继续使用的资金，或项目已完成等产生的结余资金。</w:t>
      </w:r>
    </w:p>
    <w:p w14:paraId="66F8E95E">
      <w:pPr>
        <w:spacing w:before="0" w:line="271" w:lineRule="auto"/>
        <w:ind w:left="1328" w:right="1091" w:firstLine="638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（六</w:t>
      </w:r>
      <w:r>
        <w:rPr>
          <w:rFonts w:hint="eastAsia" w:ascii="微软雅黑" w:eastAsia="微软雅黑"/>
          <w:b/>
          <w:spacing w:val="-41"/>
          <w:sz w:val="32"/>
        </w:rPr>
        <w:t>）</w:t>
      </w:r>
      <w:r>
        <w:rPr>
          <w:rFonts w:hint="eastAsia" w:ascii="微软雅黑" w:eastAsia="微软雅黑"/>
          <w:b/>
          <w:spacing w:val="-9"/>
          <w:sz w:val="32"/>
        </w:rPr>
        <w:t>基本支出：</w:t>
      </w:r>
      <w:r>
        <w:rPr>
          <w:spacing w:val="-3"/>
          <w:sz w:val="32"/>
        </w:rPr>
        <w:t>填列单位为保障机构正常运转、完成日常工作任务而发生的各项支出。</w:t>
      </w:r>
    </w:p>
    <w:p w14:paraId="6E6346B3">
      <w:pPr>
        <w:pStyle w:val="5"/>
        <w:spacing w:line="268" w:lineRule="auto"/>
        <w:ind w:left="1328" w:right="1091" w:firstLine="638"/>
      </w:pPr>
      <w:r>
        <w:rPr>
          <w:rFonts w:hint="eastAsia" w:ascii="微软雅黑" w:eastAsia="微软雅黑"/>
          <w:b/>
        </w:rPr>
        <w:t>（七</w:t>
      </w:r>
      <w:r>
        <w:rPr>
          <w:rFonts w:hint="eastAsia" w:ascii="微软雅黑" w:eastAsia="微软雅黑"/>
          <w:b/>
          <w:spacing w:val="-63"/>
        </w:rPr>
        <w:t>）</w:t>
      </w:r>
      <w:r>
        <w:rPr>
          <w:rFonts w:hint="eastAsia" w:ascii="微软雅黑" w:eastAsia="微软雅黑"/>
          <w:b/>
          <w:spacing w:val="-12"/>
        </w:rPr>
        <w:t>项目支出：</w:t>
      </w:r>
      <w:r>
        <w:t>填列单位为完成特定的行政工作任务或事业发展目标，在基本支出之外发生的各项支出</w:t>
      </w:r>
    </w:p>
    <w:p w14:paraId="4E149B38">
      <w:pPr>
        <w:pStyle w:val="5"/>
        <w:spacing w:line="268" w:lineRule="auto"/>
        <w:ind w:left="1328" w:right="930" w:firstLine="638"/>
      </w:pPr>
      <w:r>
        <w:rPr>
          <w:rFonts w:hint="eastAsia" w:ascii="微软雅黑" w:hAnsi="微软雅黑" w:eastAsia="微软雅黑"/>
          <w:b/>
          <w:spacing w:val="2"/>
          <w:w w:val="99"/>
        </w:rPr>
        <w:t>（八</w:t>
      </w:r>
      <w:r>
        <w:rPr>
          <w:rFonts w:hint="eastAsia" w:ascii="微软雅黑" w:hAnsi="微软雅黑" w:eastAsia="微软雅黑"/>
          <w:b/>
          <w:spacing w:val="-245"/>
          <w:w w:val="99"/>
        </w:rPr>
        <w:t>）</w:t>
      </w:r>
      <w:r>
        <w:rPr>
          <w:rFonts w:hint="eastAsia" w:ascii="微软雅黑" w:hAnsi="微软雅黑" w:eastAsia="微软雅黑"/>
          <w:b/>
          <w:spacing w:val="-35"/>
          <w:w w:val="99"/>
        </w:rPr>
        <w:t>“三公”经费：</w:t>
      </w:r>
      <w:r>
        <w:rPr>
          <w:spacing w:val="-8"/>
          <w:w w:val="99"/>
        </w:rPr>
        <w:t>指部门用财政拨款安排的因公出国</w:t>
      </w:r>
      <w:r>
        <w:rPr>
          <w:w w:val="99"/>
        </w:rPr>
        <w:t>（境）</w:t>
      </w:r>
      <w:r>
        <w:rPr>
          <w:spacing w:val="-19"/>
          <w:w w:val="95"/>
        </w:rPr>
        <w:t>费、公务用车购置及运行费和公务接待费。其中，因公出国</w:t>
      </w:r>
      <w:r>
        <w:rPr>
          <w:w w:val="95"/>
        </w:rPr>
        <w:t>（境）</w:t>
      </w:r>
    </w:p>
    <w:p w14:paraId="1493D97A">
      <w:pPr>
        <w:pStyle w:val="5"/>
        <w:spacing w:before="92" w:line="328" w:lineRule="auto"/>
        <w:ind w:left="1328" w:right="934"/>
      </w:pPr>
      <w:r>
        <w:rPr>
          <w:spacing w:val="-4"/>
        </w:rPr>
        <w:t>费反映单位公务出国</w:t>
      </w:r>
      <w:r>
        <w:t>（境</w:t>
      </w:r>
      <w:r>
        <w:rPr>
          <w:spacing w:val="-29"/>
        </w:rPr>
        <w:t>）</w:t>
      </w:r>
      <w:r>
        <w:rPr>
          <w:spacing w:val="-7"/>
        </w:rPr>
        <w:t>的国际旅费、国外城市间交通费、住</w:t>
      </w:r>
      <w:r>
        <w:rPr>
          <w:spacing w:val="-12"/>
        </w:rPr>
        <w:t>宿费、伙食费、培训费、公杂费等支出；公务用车购置及运行费</w:t>
      </w:r>
      <w:r>
        <w:rPr>
          <w:spacing w:val="-19"/>
        </w:rPr>
        <w:t>反映单位公务用车购置支出</w:t>
      </w:r>
      <w:r>
        <w:t>（含车辆购置税</w:t>
      </w:r>
      <w:r>
        <w:rPr>
          <w:spacing w:val="-91"/>
        </w:rPr>
        <w:t>）</w:t>
      </w:r>
      <w:r>
        <w:rPr>
          <w:spacing w:val="-13"/>
        </w:rPr>
        <w:t>及租用费、燃料费、</w:t>
      </w:r>
      <w:r>
        <w:rPr>
          <w:spacing w:val="-12"/>
        </w:rPr>
        <w:t>维修费、过路过桥费、保险费、安全奖励费用等支出；公务接待费反映单位按规定开支的各类公务接待（含外宾接待）支出。</w:t>
      </w:r>
    </w:p>
    <w:p w14:paraId="7EF91BC6">
      <w:pPr>
        <w:spacing w:after="0" w:line="328" w:lineRule="auto"/>
        <w:sectPr>
          <w:headerReference r:id="rId18" w:type="default"/>
          <w:pgSz w:w="11910" w:h="16840"/>
          <w:pgMar w:top="800" w:right="380" w:bottom="280" w:left="260" w:header="614" w:footer="0" w:gutter="0"/>
          <w:cols w:space="720" w:num="1"/>
        </w:sectPr>
      </w:pPr>
    </w:p>
    <w:p w14:paraId="3469A0D1">
      <w:pPr>
        <w:pStyle w:val="5"/>
        <w:rPr>
          <w:sz w:val="20"/>
        </w:rPr>
      </w:pPr>
    </w:p>
    <w:p w14:paraId="0B1A2CC7">
      <w:pPr>
        <w:pStyle w:val="5"/>
        <w:rPr>
          <w:sz w:val="20"/>
        </w:rPr>
      </w:pPr>
    </w:p>
    <w:p w14:paraId="7D5A86BD">
      <w:pPr>
        <w:pStyle w:val="5"/>
        <w:rPr>
          <w:sz w:val="20"/>
        </w:rPr>
      </w:pPr>
    </w:p>
    <w:p w14:paraId="2CBB85C1">
      <w:pPr>
        <w:pStyle w:val="5"/>
        <w:rPr>
          <w:sz w:val="20"/>
        </w:rPr>
      </w:pPr>
    </w:p>
    <w:p w14:paraId="2BF67708">
      <w:pPr>
        <w:pStyle w:val="5"/>
        <w:rPr>
          <w:sz w:val="26"/>
        </w:rPr>
      </w:pPr>
    </w:p>
    <w:p w14:paraId="630BA15B">
      <w:pPr>
        <w:spacing w:before="0" w:line="543" w:lineRule="exact"/>
        <w:ind w:left="1967" w:right="0" w:firstLine="0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（九</w:t>
      </w:r>
      <w:r>
        <w:rPr>
          <w:rFonts w:hint="eastAsia" w:ascii="微软雅黑" w:eastAsia="微软雅黑"/>
          <w:b/>
          <w:spacing w:val="-63"/>
          <w:sz w:val="32"/>
        </w:rPr>
        <w:t>）</w:t>
      </w:r>
      <w:r>
        <w:rPr>
          <w:rFonts w:hint="eastAsia" w:ascii="微软雅黑" w:eastAsia="微软雅黑"/>
          <w:b/>
          <w:spacing w:val="-9"/>
          <w:sz w:val="32"/>
        </w:rPr>
        <w:t>其他交通费用：</w:t>
      </w:r>
      <w:r>
        <w:rPr>
          <w:sz w:val="32"/>
        </w:rPr>
        <w:t>填列单位除公务用车运行维护费以外</w:t>
      </w:r>
    </w:p>
    <w:p w14:paraId="74245802">
      <w:pPr>
        <w:pStyle w:val="5"/>
        <w:spacing w:before="71" w:line="326" w:lineRule="auto"/>
        <w:ind w:left="1328" w:right="1093"/>
      </w:pPr>
      <w:r>
        <w:rPr>
          <w:spacing w:val="-9"/>
          <w:w w:val="95"/>
        </w:rPr>
        <w:t xml:space="preserve">的其他交通费用。如公务交通补贴、租车费用、出租车费用、飞 </w:t>
      </w:r>
      <w:r>
        <w:rPr>
          <w:spacing w:val="-9"/>
        </w:rPr>
        <w:t>机、船舶等的燃料费、维修费、保险费等。</w:t>
      </w:r>
    </w:p>
    <w:p w14:paraId="71D56BF0">
      <w:pPr>
        <w:spacing w:before="0" w:line="493" w:lineRule="exact"/>
        <w:ind w:left="1967" w:right="0" w:firstLine="0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（十）机关运行经费：</w:t>
      </w:r>
      <w:r>
        <w:rPr>
          <w:sz w:val="32"/>
        </w:rPr>
        <w:t>指为保障行政单位（包括参照公务员</w:t>
      </w:r>
    </w:p>
    <w:p w14:paraId="2F91A5A1">
      <w:pPr>
        <w:pStyle w:val="5"/>
        <w:spacing w:before="72" w:line="328" w:lineRule="auto"/>
        <w:ind w:left="1328" w:right="928"/>
      </w:pPr>
      <w:r>
        <w:t>法管理的事业单位</w:t>
      </w:r>
      <w:r>
        <w:rPr>
          <w:spacing w:val="-58"/>
        </w:rPr>
        <w:t>）</w:t>
      </w:r>
      <w:r>
        <w:rPr>
          <w:spacing w:val="-4"/>
        </w:rPr>
        <w:t>运行用于购买货物和服务的各项资金，包括</w:t>
      </w:r>
      <w:r>
        <w:rPr>
          <w:spacing w:val="-19"/>
          <w:w w:val="95"/>
        </w:rPr>
        <w:t xml:space="preserve">办公及印刷费、邮电费、差旅费、会议费、福利费、日常维修费、 </w:t>
      </w:r>
      <w:r>
        <w:rPr>
          <w:spacing w:val="-20"/>
        </w:rPr>
        <w:t>专用材料以及一般设备购置费、办公用房水电费、办公用房取暖费、办公用房物业管理费、公务用车运行维护费以及其他费用。</w:t>
      </w:r>
    </w:p>
    <w:p w14:paraId="4BBD400B">
      <w:pPr>
        <w:spacing w:before="0" w:line="480" w:lineRule="exact"/>
        <w:ind w:left="1967" w:right="0" w:firstLine="0"/>
        <w:jc w:val="left"/>
        <w:rPr>
          <w:sz w:val="32"/>
        </w:rPr>
      </w:pPr>
      <w:r>
        <w:rPr>
          <w:rFonts w:hint="eastAsia" w:ascii="微软雅黑" w:eastAsia="微软雅黑"/>
          <w:b/>
          <w:sz w:val="32"/>
        </w:rPr>
        <w:t>（十一）经费形</w:t>
      </w:r>
      <w:r>
        <w:rPr>
          <w:b/>
          <w:sz w:val="32"/>
        </w:rPr>
        <w:t>式：</w:t>
      </w:r>
      <w:r>
        <w:rPr>
          <w:sz w:val="32"/>
        </w:rPr>
        <w:t>按照经费来源，可分为财政拨款、财政</w:t>
      </w:r>
    </w:p>
    <w:p w14:paraId="0E834432">
      <w:pPr>
        <w:pStyle w:val="5"/>
        <w:spacing w:before="74" w:line="326" w:lineRule="auto"/>
        <w:ind w:left="1328" w:right="1093"/>
      </w:pPr>
      <w:r>
        <w:rPr>
          <w:spacing w:val="-11"/>
          <w:w w:val="95"/>
        </w:rPr>
        <w:t xml:space="preserve">性资金基本保证、财政性资金定额或定项补助、财政性资金零补 </w:t>
      </w:r>
      <w:r>
        <w:rPr>
          <w:spacing w:val="-11"/>
        </w:rPr>
        <w:t>助四类。</w:t>
      </w:r>
    </w:p>
    <w:p w14:paraId="4EFAC456">
      <w:pPr>
        <w:spacing w:after="0" w:line="326" w:lineRule="auto"/>
        <w:sectPr>
          <w:pgSz w:w="11910" w:h="16840"/>
          <w:pgMar w:top="800" w:right="380" w:bottom="280" w:left="260" w:header="614" w:footer="0" w:gutter="0"/>
          <w:cols w:space="720" w:num="1"/>
        </w:sectPr>
      </w:pPr>
    </w:p>
    <w:p w14:paraId="1A8BE198">
      <w:pPr>
        <w:pStyle w:val="5"/>
        <w:spacing w:before="7"/>
        <w:rPr>
          <w:sz w:val="15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17780</wp:posOffset>
            </wp:positionH>
            <wp:positionV relativeFrom="page">
              <wp:posOffset>0</wp:posOffset>
            </wp:positionV>
            <wp:extent cx="7541895" cy="10692130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5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021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19" w:type="default"/>
      <w:pgSz w:w="11910" w:h="16840"/>
      <w:pgMar w:top="1580" w:right="380" w:bottom="280" w:left="2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ngXian-Regular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TimesNewRomanPS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DBB74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BB66D">
    <w:pPr>
      <w:pStyle w:val="5"/>
      <w:spacing w:line="14" w:lineRule="auto"/>
      <w:rPr>
        <w:sz w:val="20"/>
      </w:rPr>
    </w:pPr>
    <w:r>
      <w:pict>
        <v:group id="_x0000_s2049" o:spid="_x0000_s2049" o:spt="203" style="position:absolute;left:0pt;margin-left:0pt;margin-top:38.95pt;height:2.05pt;width:248.65pt;mso-position-horizontal-relative:page;mso-position-vertical-relative:page;z-index:-251657216;mso-width-relative:page;mso-height-relative:page;" coordorigin="0,779" coordsize="4973,41">
          <o:lock v:ext="edit"/>
          <v:shape id="_x0000_s2050" o:spid="_x0000_s2050" style="position:absolute;left:0;top:799;height:2;width:4973;" fillcolor="#D9D9D9" filled="t" stroked="f" coordorigin="0,799" coordsize="4973,1" path="m4973,800l0,799,4973,799,4973,800xe">
            <v:path arrowok="t"/>
            <v:fill on="t" focussize="0,0"/>
            <v:stroke on="f"/>
            <v:imagedata o:title=""/>
            <o:lock v:ext="edit"/>
          </v:shape>
          <v:shape id="_x0000_s2051" o:spid="_x0000_s2051" style="position:absolute;left:0;top:799;height:2;width:4859;" fillcolor="#AC002C" filled="t" stroked="f" coordorigin="0,799" coordsize="4859,1" path="m4858,800l0,799,4858,799,4858,800xe">
            <v:path arrowok="t"/>
            <v:fill on="t" focussize="0,0"/>
            <v:stroke on="f"/>
            <v:imagedata o:title=""/>
            <o:lock v:ext="edit"/>
          </v:shape>
          <v:shape id="_x0000_s2052" o:spid="_x0000_s2052" style="position:absolute;left:0;top:779;height:41;width:4879;" fillcolor="#AF761F" filled="t" stroked="f" coordorigin="0,779" coordsize="4879,41" path="m7,800l0,793,0,779,4858,779,4862,780,4864,780,4858,780,4839,799,7,799,7,800xm4864,819l4858,819,4839,800,4858,780,4864,780,4866,781,4869,783,4872,785,4875,788,4877,792,4878,795,4878,799,4878,800,4878,804,4877,808,4875,811,4872,814,4869,817,4866,819,4864,819xm0,806l0,793,7,800,0,806xm7,800l7,800,7,799,7,800xm4838,800l7,800,7,799,4838,799,4838,800xm4838,800l4838,799,4839,800,4838,800xm4839,800l4838,799,4839,799,4839,800xm4858,820l0,820,0,806,7,800,7,800,4839,800,4858,819,4864,819,4862,820,4858,820xm4839,800l4838,800,4839,800,4839,800xe">
            <v:path arrowok="t"/>
            <v:fill on="t" focussize="0,0"/>
            <v:stroke on="f"/>
            <v:imagedata o:title=""/>
            <o:lock v:ext="edit"/>
          </v:shape>
        </v:group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F6460">
    <w:pPr>
      <w:widowControl w:val="0"/>
      <w:spacing w:line="1" w:lineRule="exac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9B87E">
    <w:pPr>
      <w:pStyle w:val="5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8FB1C">
    <w:pPr>
      <w:pStyle w:val="5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74448">
    <w:pPr>
      <w:pStyle w:val="5"/>
      <w:spacing w:line="14" w:lineRule="auto"/>
      <w:rPr>
        <w:sz w:val="20"/>
      </w:rPr>
    </w:pPr>
    <w:r>
      <w:pict>
        <v:group id="_x0000_s2076" o:spid="_x0000_s2076" o:spt="203" style="position:absolute;left:0pt;margin-left:0pt;margin-top:38.65pt;height:2.05pt;width:263.2pt;mso-position-horizontal-relative:page;mso-position-vertical-relative:page;z-index:-251654144;mso-width-relative:page;mso-height-relative:page;" coordorigin="0,773" coordsize="5264,41">
          <o:lock v:ext="edit"/>
          <v:shape id="_x0000_s2077" o:spid="_x0000_s2077" style="position:absolute;left:0;top:792;height:3;width:5264;" fillcolor="#D9D9D9" filled="t" stroked="f" coordorigin="0,792" coordsize="5264,3" path="m0,794l0,792,5263,792,5264,794,0,794xe">
            <v:path arrowok="t"/>
            <v:fill on="t" focussize="0,0"/>
            <v:stroke on="f"/>
            <v:imagedata o:title=""/>
            <o:lock v:ext="edit"/>
          </v:shape>
          <v:shape id="_x0000_s2078" o:spid="_x0000_s2078" style="position:absolute;left:0;top:792;height:3;width:5144;" fillcolor="#AC002C" filled="t" stroked="f" coordorigin="0,792" coordsize="5144,3" path="m0,794l0,792,5143,792,5142,794,0,794xe">
            <v:path arrowok="t"/>
            <v:fill on="t" focussize="0,0"/>
            <v:stroke on="f"/>
            <v:imagedata o:title=""/>
            <o:lock v:ext="edit"/>
          </v:shape>
          <v:shape id="_x0000_s2079" o:spid="_x0000_s2079" style="position:absolute;left:0;top:773;height:41;width:5163;" fillcolor="#AF761F" filled="t" stroked="f" coordorigin="0,773" coordsize="5163,41" path="m3,794l0,791,0,773,5142,773,5146,774,5148,774,5142,774,5123,793,3,793,3,794xm5148,813l5142,813,5123,794,5142,774,5148,774,5150,775,5153,777,5156,779,5159,782,5161,786,5162,789,5162,793,5162,794,5162,798,5161,802,5159,805,5156,808,5153,811,5150,813,5148,813xm0,796l0,791,3,794,0,796xm3,794l3,794,3,793,3,794xm5122,794l3,794,3,793,5122,793,5122,794xm5122,794l5122,793,5123,794,5122,794xm5123,794l5122,793,5123,793,5123,794xm5142,814l0,814,0,796,3,794,3,794,5123,794,5142,813,5148,813,5146,814,5142,814xm5123,794l5122,794,5123,794,5123,794xe">
            <v:path arrowok="t"/>
            <v:fill on="t" focussize="0,0"/>
            <v:stroke on="f"/>
            <v:imagedata o:title=""/>
            <o:lock v:ext="edit"/>
          </v:shape>
          <v:shape id="_x0000_s2080" o:spid="_x0000_s2080" style="position:absolute;left:0;top:792;height:3;width:5264;" fillcolor="#D9D9D9" filled="t" stroked="f" coordorigin="0,792" coordsize="5264,3" path="m0,794l0,792,5263,792,5264,794,0,794xe">
            <v:path arrowok="t"/>
            <v:fill on="t" focussize="0,0"/>
            <v:stroke on="f"/>
            <v:imagedata o:title=""/>
            <o:lock v:ext="edit"/>
          </v:shape>
          <v:shape id="_x0000_s2081" o:spid="_x0000_s2081" style="position:absolute;left:0;top:792;height:3;width:5144;" fillcolor="#AC002C" filled="t" stroked="f" coordorigin="0,792" coordsize="5144,3" path="m0,794l0,792,5143,792,5142,794,0,794xe">
            <v:path arrowok="t"/>
            <v:fill on="t" focussize="0,0"/>
            <v:stroke on="f"/>
            <v:imagedata o:title=""/>
            <o:lock v:ext="edit"/>
          </v:shape>
          <v:shape id="_x0000_s2082" o:spid="_x0000_s2082" style="position:absolute;left:0;top:773;height:41;width:5163;" fillcolor="#AF761F" filled="t" stroked="f" coordorigin="0,773" coordsize="5163,41" path="m3,794l0,791,0,773,5142,773,5146,774,5148,774,5142,774,5123,793,3,793,3,794xm5148,813l5142,813,5123,794,5142,774,5148,774,5150,775,5153,777,5156,779,5159,782,5161,786,5162,789,5162,793,5162,794,5162,798,5161,802,5159,805,5156,808,5153,811,5150,813,5148,813xm0,796l0,791,3,794,0,796xm3,794l3,794,3,793,3,794xm5122,794l3,794,3,793,5122,793,5122,794xm5122,794l5122,793,5123,794,5122,794xm5123,794l5122,793,5123,793,5123,794xm5142,814l0,814,0,796,3,794,3,794,5123,794,5142,813,5148,813,5146,814,5142,814xm5123,794l5122,794,5123,794,5123,794xe">
            <v:path arrowok="t"/>
            <v:fill on="t" focussize="0,0"/>
            <v:stroke on="f"/>
            <v:imagedata o:title=""/>
            <o:lock v:ext="edit"/>
          </v:shape>
        </v:group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BCDB2">
    <w:pPr>
      <w:pStyle w:val="5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40F5B">
    <w:pPr>
      <w:pStyle w:val="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7E5BC">
    <w:pPr>
      <w:pStyle w:val="5"/>
      <w:spacing w:line="14" w:lineRule="auto"/>
      <w:rPr>
        <w:sz w:val="20"/>
      </w:rPr>
    </w:pPr>
    <w:r>
      <w:pict>
        <v:group id="_x0000_s2053" o:spid="_x0000_s2053" o:spt="203" style="position:absolute;left:0pt;margin-left:0pt;margin-top:38.5pt;height:2.05pt;width:243.85pt;mso-position-horizontal-relative:page;mso-position-vertical-relative:page;z-index:-251657216;mso-width-relative:page;mso-height-relative:page;" coordorigin="0,770" coordsize="4877,41">
          <o:lock v:ext="edit"/>
          <v:shape id="_x0000_s2054" o:spid="_x0000_s2054" style="position:absolute;left:0;top:789;height:3;width:4877;" fillcolor="#D9D9D9" filled="t" stroked="f" coordorigin="0,790" coordsize="4877,3" path="m0,792l0,790,4877,790,4877,791,0,792xe">
            <v:path arrowok="t"/>
            <v:fill on="t" focussize="0,0"/>
            <v:stroke on="f"/>
            <v:imagedata o:title=""/>
            <o:lock v:ext="edit"/>
          </v:shape>
          <v:shape id="_x0000_s2055" o:spid="_x0000_s2055" style="position:absolute;left:0;top:789;height:3;width:4764;" fillcolor="#AC002C" filled="t" stroked="f" coordorigin="0,790" coordsize="4764,3" path="m0,792l0,790,4764,790,4764,791,0,792xe">
            <v:path arrowok="t"/>
            <v:fill on="t" focussize="0,0"/>
            <v:stroke on="f"/>
            <v:imagedata o:title=""/>
            <o:lock v:ext="edit"/>
          </v:shape>
          <v:shape id="_x0000_s2056" o:spid="_x0000_s2056" style="position:absolute;left:0;top:770;height:41;width:4784;" fillcolor="#AF761F" filled="t" stroked="f" coordorigin="0,770" coordsize="4784,41" path="m6,791l0,784,0,770,4764,770,4768,771,4770,771,4764,771,4745,790,7,790,6,791xm4770,810l4764,810,4744,791,4764,771,4770,771,4772,772,4775,774,4778,776,4781,779,4782,783,4784,786,4784,790,4784,791,4784,795,4782,799,4781,802,4778,805,4775,808,4772,810,4770,810xm0,797l0,784,6,791,0,797xm7,791l6,791,7,790,7,791xm4744,791l7,791,7,790,4744,790,4744,791xm4744,791l4744,790,4744,791,4744,791xm4744,791l4744,790,4745,790,4744,791xm4764,811l0,811,0,797,6,791,7,791,4745,791,4764,810,4770,810,4768,811,4764,811xm4745,791l4744,791,4744,791,4745,791xe">
            <v:path arrowok="t"/>
            <v:fill on="t" focussize="0,0"/>
            <v:stroke on="f"/>
            <v:imagedata o:title=""/>
            <o:lock v:ext="edit"/>
          </v:shape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18605">
    <w:pPr>
      <w:pStyle w:val="5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DB98A">
    <w:pPr>
      <w:pStyle w:val="5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5C2EA">
    <w:pPr>
      <w:pStyle w:val="5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CF368">
    <w:pPr>
      <w:pStyle w:val="5"/>
      <w:spacing w:line="14" w:lineRule="auto"/>
      <w:rPr>
        <w:sz w:val="20"/>
      </w:rPr>
    </w:pPr>
    <w:r>
      <w:pict>
        <v:group id="_x0000_s2065" o:spid="_x0000_s2065" o:spt="203" style="position:absolute;left:0pt;margin-left:0pt;margin-top:23.55pt;height:2.05pt;width:241.7pt;mso-position-horizontal-relative:page;mso-position-vertical-relative:page;z-index:-251655168;mso-width-relative:page;mso-height-relative:page;" coordorigin="0,471" coordsize="4834,41">
          <o:lock v:ext="edit"/>
          <v:shape id="_x0000_s2066" o:spid="_x0000_s2066" style="position:absolute;left:0;top:492;height:2;width:4834;" fillcolor="#D9D9D9" filled="t" stroked="f" coordorigin="0,492" coordsize="4834,0" path="m4834,492l0,492,4834,492xe">
            <v:path arrowok="t"/>
            <v:fill on="t" focussize="0,0"/>
            <v:stroke on="f"/>
            <v:imagedata o:title=""/>
            <o:lock v:ext="edit"/>
          </v:shape>
          <v:shape id="_x0000_s2067" o:spid="_x0000_s2067" style="position:absolute;left:0;top:492;height:2;width:4722;" fillcolor="#AC002C" filled="t" stroked="f" coordorigin="0,492" coordsize="4722,1" path="m4722,492l0,492,4722,492xe">
            <v:path arrowok="t"/>
            <v:fill on="t" focussize="0,0"/>
            <v:stroke on="f"/>
            <v:imagedata o:title=""/>
            <o:lock v:ext="edit"/>
          </v:shape>
          <v:shape id="_x0000_s2068" o:spid="_x0000_s2068" style="position:absolute;left:0;top:471;height:41;width:4742;" fillcolor="#AF761F" filled="t" stroked="f" coordorigin="0,471" coordsize="4742,41" path="m4,492l0,487,0,471,4722,471,4726,472,4728,472,4722,472,4703,491,5,491,4,492xm4728,511l4722,511,4702,492,4722,472,4728,472,4729,473,4733,475,4736,477,4738,480,4740,484,4741,487,4742,491,4742,492,4741,496,4740,500,4738,503,4736,506,4733,509,4729,511,4728,511xm0,496l0,487,4,492,0,496xm5,492l4,492,5,491,5,492xm4702,492l5,492,5,491,4702,491,4702,492xm4702,492l4702,491,4702,492,4702,492xm4702,492l4702,491,4703,491,4702,492xm4722,512l0,512,0,496,4,492,5,492,4703,492,4722,511,4728,511,4726,512,4722,512xm4703,492l4702,492,4702,492,4703,492xe">
            <v:path arrowok="t"/>
            <v:fill on="t" focussize="0,0"/>
            <v:stroke on="f"/>
            <v:imagedata o:title=""/>
            <o:lock v:ext="edit"/>
          </v:shape>
        </v:group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7976F">
    <w:pPr>
      <w:pStyle w:val="5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4122A">
    <w:pPr>
      <w:pStyle w:val="5"/>
      <w:spacing w:line="14" w:lineRule="auto"/>
      <w:rPr>
        <w:sz w:val="20"/>
      </w:rPr>
    </w:pPr>
    <w:r>
      <w:pict>
        <v:group id="_x0000_s2069" o:spid="_x0000_s2069" o:spt="203" style="position:absolute;left:0pt;margin-left:0pt;margin-top:28.3pt;height:2.05pt;width:301.35pt;mso-position-horizontal-relative:page;mso-position-vertical-relative:page;z-index:-251655168;mso-width-relative:page;mso-height-relative:page;" coordorigin="0,566" coordsize="6027,41">
          <o:lock v:ext="edit"/>
          <v:shape id="_x0000_s2070" o:spid="_x0000_s2070" style="position:absolute;left:0;top:585;height:3;width:6027;" fillcolor="#D9D9D9" filled="t" stroked="f" coordorigin="0,586" coordsize="6027,3" path="m0,588l0,586,6026,586,6026,587,0,588xe">
            <v:path arrowok="t"/>
            <v:fill on="t" focussize="0,0"/>
            <v:stroke on="f"/>
            <v:imagedata o:title=""/>
            <o:lock v:ext="edit"/>
          </v:shape>
          <v:shape id="_x0000_s2071" o:spid="_x0000_s2071" style="position:absolute;left:7;top:585;height:3;width:5881;" fillcolor="#AC002C" filled="t" stroked="f" coordorigin="7,586" coordsize="5881,3" path="m7,588l7,586,5887,586,5887,587,7,588xe">
            <v:path arrowok="t"/>
            <v:fill on="t" focussize="0,0"/>
            <v:stroke on="f"/>
            <v:imagedata o:title=""/>
            <o:lock v:ext="edit"/>
          </v:shape>
          <v:shape id="_x0000_s2072" o:spid="_x0000_s2072" style="position:absolute;left:0;top:566;height:41;width:5908;" fillcolor="#AF761F" filled="t" stroked="f" coordorigin="0,566" coordsize="5908,41" path="m5887,607l7,607,3,607,0,606,0,568,3,567,7,566,5887,566,5891,567,5893,567,7,567,27,587,7,606,5893,606,5891,607,5887,607xm27,587l7,567,5887,567,5868,586,27,586,27,587xm5893,606l5887,606,5868,587,5887,567,5893,567,5895,568,5898,570,5902,572,5904,575,5906,579,5907,582,5907,586,5907,587,5907,591,5906,595,5904,598,5902,601,5898,604,5895,606,5893,606xm27,587l27,587,27,586,27,587xm5867,587l27,587,27,586,5867,586,5867,587xm5867,587l5867,586,5868,587,5867,587xm5868,587l5867,586,5868,586,5868,587xm5887,606l7,606,27,587,27,587,5868,587,5887,606xm5868,587l5867,587,5868,587,5868,587xe">
            <v:path arrowok="t"/>
            <v:fill on="t" focussize="0,0"/>
            <v:stroke on="f"/>
            <v:imagedata o:title=""/>
            <o:lock v:ext="edit"/>
          </v:shape>
          <v:shape id="_x0000_s2073" o:spid="_x0000_s2073" style="position:absolute;left:0;top:585;height:3;width:6027;" fillcolor="#D9D9D9" filled="t" stroked="f" coordorigin="0,586" coordsize="6027,3" path="m0,588l0,586,6026,586,6026,587,0,588xe">
            <v:path arrowok="t"/>
            <v:fill on="t" focussize="0,0"/>
            <v:stroke on="f"/>
            <v:imagedata o:title=""/>
            <o:lock v:ext="edit"/>
          </v:shape>
          <v:shape id="_x0000_s2074" o:spid="_x0000_s2074" style="position:absolute;left:7;top:585;height:3;width:5881;" fillcolor="#AC002C" filled="t" stroked="f" coordorigin="7,586" coordsize="5881,3" path="m7,588l7,586,5887,586,5887,587,7,588xe">
            <v:path arrowok="t"/>
            <v:fill on="t" focussize="0,0"/>
            <v:stroke on="f"/>
            <v:imagedata o:title=""/>
            <o:lock v:ext="edit"/>
          </v:shape>
          <v:shape id="_x0000_s2075" o:spid="_x0000_s2075" style="position:absolute;left:0;top:566;height:41;width:5908;" fillcolor="#AF761F" filled="t" stroked="f" coordorigin="0,566" coordsize="5908,41" path="m5887,607l7,607,3,607,0,606,0,568,3,567,7,566,5887,566,5891,567,5893,567,7,567,27,587,7,606,5893,606,5891,607,5887,607xm27,587l7,567,5887,567,5868,586,27,586,27,587xm5893,606l5887,606,5868,587,5887,567,5893,567,5895,568,5898,570,5902,572,5904,575,5906,579,5907,582,5907,586,5907,587,5907,591,5906,595,5904,598,5902,601,5898,604,5895,606,5893,606xm27,587l27,587,27,586,27,587xm5867,587l27,587,27,586,5867,586,5867,587xm5867,587l5867,586,5868,587,5867,587xm5868,587l5867,586,5868,586,5868,587xm5887,606l7,606,27,587,27,587,5868,587,5887,606xm5868,587l5867,587,5868,587,5868,587xe">
            <v:path arrowok="t"/>
            <v:fill on="t" focussize="0,0"/>
            <v:stroke on="f"/>
            <v:imagedata o:title=""/>
            <o:lock v:ext="edi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36347D"/>
    <w:multiLevelType w:val="singleLevel"/>
    <w:tmpl w:val="C936347D"/>
    <w:lvl w:ilvl="0" w:tentative="0">
      <w:start w:val="1"/>
      <w:numFmt w:val="chineseCounting"/>
      <w:suff w:val="space"/>
      <w:lvlText w:val="（%1）"/>
      <w:lvlJc w:val="left"/>
      <w:pPr>
        <w:ind w:left="457"/>
      </w:pPr>
      <w:rPr>
        <w:rFonts w:hint="eastAsia"/>
      </w:rPr>
    </w:lvl>
  </w:abstractNum>
  <w:abstractNum w:abstractNumId="1">
    <w:nsid w:val="78D7DD5A"/>
    <w:multiLevelType w:val="singleLevel"/>
    <w:tmpl w:val="78D7DD5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0C26A8D"/>
    <w:rsid w:val="0B625629"/>
    <w:rsid w:val="13630E0B"/>
    <w:rsid w:val="1A986D09"/>
    <w:rsid w:val="22AF533A"/>
    <w:rsid w:val="3440371A"/>
    <w:rsid w:val="345640B8"/>
    <w:rsid w:val="3C821FBF"/>
    <w:rsid w:val="5C0701C4"/>
    <w:rsid w:val="695B62B1"/>
    <w:rsid w:val="6A764E76"/>
    <w:rsid w:val="7E852C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92" w:right="101"/>
      <w:jc w:val="center"/>
      <w:outlineLvl w:val="1"/>
    </w:pPr>
    <w:rPr>
      <w:rFonts w:ascii="黑体" w:hAnsi="黑体" w:eastAsia="黑体" w:cs="黑体"/>
      <w:sz w:val="96"/>
      <w:szCs w:val="96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spacing w:before="45"/>
      <w:ind w:left="334" w:right="101"/>
      <w:jc w:val="center"/>
      <w:outlineLvl w:val="2"/>
    </w:pPr>
    <w:rPr>
      <w:rFonts w:ascii="黑体" w:hAnsi="黑体" w:eastAsia="黑体" w:cs="黑体"/>
      <w:sz w:val="40"/>
      <w:szCs w:val="40"/>
      <w:lang w:val="en-US" w:eastAsia="zh-CN" w:bidi="ar-SA"/>
    </w:rPr>
  </w:style>
  <w:style w:type="paragraph" w:styleId="4">
    <w:name w:val="heading 3"/>
    <w:basedOn w:val="1"/>
    <w:next w:val="1"/>
    <w:qFormat/>
    <w:uiPriority w:val="1"/>
    <w:pPr>
      <w:spacing w:before="63"/>
      <w:ind w:left="1967"/>
      <w:outlineLvl w:val="3"/>
    </w:pPr>
    <w:rPr>
      <w:rFonts w:ascii="Microsoft JhengHei" w:hAnsi="Microsoft JhengHei" w:eastAsia="Microsoft JhengHei" w:cs="Microsoft JhengHei"/>
      <w:b/>
      <w:bCs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after="36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5.png"/><Relationship Id="rId24" Type="http://schemas.openxmlformats.org/officeDocument/2006/relationships/image" Target="media/image4.png"/><Relationship Id="rId23" Type="http://schemas.openxmlformats.org/officeDocument/2006/relationships/image" Target="media/image3.png"/><Relationship Id="rId22" Type="http://schemas.openxmlformats.org/officeDocument/2006/relationships/image" Target="media/image2.png"/><Relationship Id="rId21" Type="http://schemas.openxmlformats.org/officeDocument/2006/relationships/image" Target="media/image1.pn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header" Target="header14.xml"/><Relationship Id="rId18" Type="http://schemas.openxmlformats.org/officeDocument/2006/relationships/header" Target="header13.xml"/><Relationship Id="rId17" Type="http://schemas.openxmlformats.org/officeDocument/2006/relationships/header" Target="header12.xml"/><Relationship Id="rId16" Type="http://schemas.openxmlformats.org/officeDocument/2006/relationships/header" Target="header11.xml"/><Relationship Id="rId15" Type="http://schemas.openxmlformats.org/officeDocument/2006/relationships/footer" Target="footer1.xml"/><Relationship Id="rId14" Type="http://schemas.openxmlformats.org/officeDocument/2006/relationships/header" Target="header10.xml"/><Relationship Id="rId13" Type="http://schemas.openxmlformats.org/officeDocument/2006/relationships/header" Target="header9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52"/>
    <customShpInfo spid="_x0000_s2049"/>
    <customShpInfo spid="_x0000_s2054"/>
    <customShpInfo spid="_x0000_s2055"/>
    <customShpInfo spid="_x0000_s2056"/>
    <customShpInfo spid="_x0000_s2053"/>
    <customShpInfo spid="_x0000_s2066"/>
    <customShpInfo spid="_x0000_s2067"/>
    <customShpInfo spid="_x0000_s2068"/>
    <customShpInfo spid="_x0000_s2065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69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7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4544</Words>
  <Characters>4915</Characters>
  <TotalTime>2</TotalTime>
  <ScaleCrop>false</ScaleCrop>
  <LinksUpToDate>false</LinksUpToDate>
  <CharactersWithSpaces>5086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2021-05-21T10:16:00Z</dcterms:created>
  <dc:creator>User</dc:creator>
  <cp:lastModifiedBy>郝艳辉</cp:lastModifiedBy>
  <dcterms:modified xsi:type="dcterms:W3CDTF">2026-07-13T09:01:45Z</dcterms:modified>
  <dc:subject>石家庄市xxx部门</dc:subject>
  <dc:title>2017年度部门决算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2021-05-21T00:00:00Z</vt:filetime>
  </property>
  <property fmtid="{D5CDD505-2E9C-101B-9397-08002B2CF9AE}" pid="5" name="KSOProductBuildVer">
    <vt:lpwstr>2052-12.1.0.26885</vt:lpwstr>
  </property>
  <property fmtid="{D5CDD505-2E9C-101B-9397-08002B2CF9AE}" pid="6" name="ICV">
    <vt:lpwstr>15E12A1DB60345F6B5704CD3E3855AB8</vt:lpwstr>
  </property>
  <property fmtid="{D5CDD505-2E9C-101B-9397-08002B2CF9AE}" pid="7" name="KSOTemplateDocerSaveRecord">
    <vt:lpwstr>eyJoZGlkIjoiNDQ4MDViZTE5Y2YyZWU4MzgyNGVkNGNiNzdmNTI4YTAiLCJ1c2VySWQiOiIxNjc0NDYyOTM3In0=</vt:lpwstr>
  </property>
</Properties>
</file>