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2520" w:after="160" w:line="240" w:lineRule="auto"/>
        <w:ind w:left="0" w:right="0" w:firstLine="0"/>
        <w:jc w:val="center"/>
        <w:rPr>
          <w:color w:val="auto"/>
        </w:rPr>
      </w:pPr>
      <w:bookmarkStart w:id="0" w:name="bookmark2"/>
      <w:bookmarkStart w:id="1" w:name="bookmark0"/>
      <w:bookmarkStart w:id="2" w:name="bookmark1"/>
      <w:bookmarkStart w:id="76" w:name="_GoBack"/>
      <w:r>
        <w:rPr>
          <w:color w:val="auto"/>
          <w:spacing w:val="0"/>
          <w:w w:val="100"/>
          <w:position w:val="0"/>
        </w:rPr>
        <w:t>馆陶县工业和信息化局</w:t>
      </w:r>
      <w:bookmarkEnd w:id="0"/>
      <w:bookmarkEnd w:id="76"/>
    </w:p>
    <w:p>
      <w:pPr>
        <w:pStyle w:val="7"/>
        <w:keepNext/>
        <w:keepLines/>
        <w:widowControl w:val="0"/>
        <w:shd w:val="clear" w:color="auto" w:fill="auto"/>
        <w:bidi w:val="0"/>
        <w:spacing w:before="0" w:after="6600" w:line="240" w:lineRule="auto"/>
        <w:ind w:left="0" w:right="0" w:firstLine="0"/>
        <w:jc w:val="center"/>
        <w:rPr>
          <w:color w:val="auto"/>
        </w:rPr>
      </w:pPr>
      <w:bookmarkStart w:id="3" w:name="bookmark3"/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90"/>
          <w:szCs w:val="90"/>
        </w:rPr>
        <w:t>2018</w:t>
      </w:r>
      <w:r>
        <w:rPr>
          <w:color w:val="auto"/>
          <w:spacing w:val="0"/>
          <w:w w:val="100"/>
          <w:position w:val="0"/>
        </w:rPr>
        <w:t>年度部门决算</w:t>
      </w:r>
      <w:bookmarkEnd w:id="1"/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—九年十二月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4" w:name="bookmark4"/>
      <w:bookmarkStart w:id="5" w:name="bookmark5"/>
      <w:bookmarkStart w:id="6" w:name="bookmark6"/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目 录</w:t>
      </w:r>
      <w:bookmarkEnd w:id="4"/>
      <w:bookmarkEnd w:id="5"/>
      <w:bookmarkEnd w:id="6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第一部分部门概况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一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部门职责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二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机构设置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879"/>
        </w:tabs>
        <w:bidi w:val="0"/>
        <w:spacing w:before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第二部分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b/>
          <w:bCs/>
          <w:color w:val="000000"/>
          <w:spacing w:val="0"/>
          <w:w w:val="100"/>
          <w:position w:val="0"/>
        </w:rPr>
        <w:t>年度部门决算报表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收入支出决算总表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支出决算表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四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财政拨款收入支出决算总表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五</w:t>
      </w:r>
      <w:bookmarkEnd w:id="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一般公共预算财政拨款支出决算表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</w:rPr>
        <w:t>六</w:t>
      </w:r>
      <w:bookmarkEnd w:id="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一般公共预算财政拨款基本支出决算表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七</w:t>
      </w:r>
      <w:bookmarkEnd w:id="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一般公共预算财政拨款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三公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经</w:t>
      </w:r>
      <w:r>
        <w:rPr>
          <w:color w:val="000000"/>
          <w:spacing w:val="0"/>
          <w:w w:val="100"/>
          <w:position w:val="0"/>
        </w:rPr>
        <w:t>费支出决算表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八</w:t>
      </w:r>
      <w:bookmarkEnd w:id="1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政府性基金预算财政拨款收入支出决算表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8"/>
        </w:tabs>
        <w:bidi w:val="0"/>
        <w:spacing w:before="0" w:line="240" w:lineRule="auto"/>
        <w:ind w:left="180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九</w:t>
      </w:r>
      <w:bookmarkEnd w:id="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国有资本经营预算财政拨款支出决算表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</w:rPr>
        <w:t>十、政府采购情况表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numFmt w:val="decimal"/>
          </w:footnotePr>
          <w:pgSz w:w="11910" w:h="18101"/>
          <w:pgMar w:top="1556" w:right="1167" w:bottom="1283" w:left="1047" w:header="1128" w:footer="855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第三部分 馆陶县工业和信息化局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b/>
          <w:bCs/>
          <w:color w:val="000000"/>
          <w:spacing w:val="0"/>
          <w:w w:val="100"/>
          <w:position w:val="0"/>
        </w:rPr>
        <w:t>年部门决算情况说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600" w:lineRule="exact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</w:rPr>
        <w:t>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800" w:right="0" w:firstLine="0"/>
        <w:jc w:val="left"/>
      </w:pPr>
      <w:bookmarkStart w:id="18" w:name="bookmark21"/>
      <w:r>
        <w:rPr>
          <w:color w:val="000000"/>
          <w:spacing w:val="0"/>
          <w:w w:val="100"/>
          <w:position w:val="0"/>
        </w:rPr>
        <w:t>一</w:t>
      </w:r>
      <w:bookmarkEnd w:id="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收入支出决算总体情况说明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800" w:right="0" w:firstLine="0"/>
        <w:jc w:val="left"/>
      </w:pPr>
      <w:bookmarkStart w:id="19" w:name="bookmark22"/>
      <w:r>
        <w:rPr>
          <w:color w:val="000000"/>
          <w:spacing w:val="0"/>
          <w:w w:val="100"/>
          <w:position w:val="0"/>
        </w:rPr>
        <w:t>二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收入决算情况说明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800" w:right="0" w:firstLine="0"/>
        <w:jc w:val="left"/>
      </w:pPr>
      <w:bookmarkStart w:id="20" w:name="bookmark23"/>
      <w:r>
        <w:rPr>
          <w:color w:val="000000"/>
          <w:spacing w:val="0"/>
          <w:w w:val="100"/>
          <w:position w:val="0"/>
        </w:rPr>
        <w:t>三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支出决算情况说明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800" w:right="0" w:firstLine="0"/>
        <w:jc w:val="left"/>
      </w:pPr>
      <w:bookmarkStart w:id="21" w:name="bookmark24"/>
      <w:r>
        <w:rPr>
          <w:color w:val="000000"/>
          <w:spacing w:val="0"/>
          <w:w w:val="100"/>
          <w:position w:val="0"/>
        </w:rPr>
        <w:t>四</w:t>
      </w:r>
      <w:bookmarkEnd w:id="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财政拨款收入支出决算情况说明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180" w:right="0" w:firstLine="620"/>
        <w:jc w:val="left"/>
      </w:pPr>
      <w:bookmarkStart w:id="22" w:name="bookmark25"/>
      <w:r>
        <w:rPr>
          <w:color w:val="000000"/>
          <w:spacing w:val="0"/>
          <w:w w:val="100"/>
          <w:position w:val="0"/>
        </w:rPr>
        <w:t>五</w:t>
      </w:r>
      <w:bookmarkEnd w:id="2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一般公共预算财政拨款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三公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经</w:t>
      </w:r>
      <w:r>
        <w:rPr>
          <w:color w:val="000000"/>
          <w:spacing w:val="0"/>
          <w:w w:val="100"/>
          <w:position w:val="0"/>
        </w:rPr>
        <w:t>费支出决算情况说 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33"/>
        </w:tabs>
        <w:bidi w:val="0"/>
        <w:spacing w:before="0" w:after="140" w:line="600" w:lineRule="exact"/>
        <w:ind w:left="1800" w:right="0" w:firstLine="0"/>
        <w:jc w:val="left"/>
      </w:pPr>
      <w:bookmarkStart w:id="23" w:name="bookmark26"/>
      <w:r>
        <w:rPr>
          <w:color w:val="000000"/>
          <w:spacing w:val="0"/>
          <w:w w:val="100"/>
          <w:position w:val="0"/>
        </w:rPr>
        <w:t>六</w:t>
      </w:r>
      <w:bookmarkEnd w:id="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预算绩效情况说明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600" w:lineRule="exact"/>
        <w:ind w:left="2140" w:right="0" w:firstLine="0"/>
        <w:jc w:val="left"/>
      </w:pPr>
      <w:bookmarkStart w:id="24" w:name="bookmark27"/>
      <w:r>
        <w:rPr>
          <w:color w:val="000000"/>
          <w:spacing w:val="0"/>
          <w:w w:val="100"/>
          <w:position w:val="0"/>
        </w:rPr>
        <w:t>七</w:t>
      </w:r>
      <w:bookmarkEnd w:id="24"/>
      <w:r>
        <w:rPr>
          <w:color w:val="000000"/>
          <w:spacing w:val="0"/>
          <w:w w:val="100"/>
          <w:position w:val="0"/>
        </w:rPr>
        <w:t>、其他重要事项的说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600" w:lineRule="exact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600" w:lineRule="exact"/>
        <w:ind w:left="1180" w:right="0" w:firstLine="0"/>
        <w:jc w:val="left"/>
        <w:sectPr>
          <w:footnotePr>
            <w:numFmt w:val="decimal"/>
          </w:footnotePr>
          <w:pgSz w:w="11910" w:h="18101"/>
          <w:pgMar w:top="2863" w:right="1167" w:bottom="2863" w:left="1047" w:header="2435" w:footer="2435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第四部分名词解释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960" w:line="240" w:lineRule="auto"/>
        <w:ind w:left="0" w:right="0" w:firstLine="0"/>
        <w:jc w:val="center"/>
        <w:rPr>
          <w:spacing w:val="0"/>
          <w:w w:val="100"/>
          <w:position w:val="0"/>
        </w:rPr>
      </w:pPr>
      <w:bookmarkStart w:id="25" w:name="bookmark29"/>
      <w:bookmarkStart w:id="26" w:name="bookmark28"/>
      <w:bookmarkStart w:id="27" w:name="bookmark3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5960" w:line="240" w:lineRule="auto"/>
        <w:ind w:left="0" w:right="0" w:firstLine="0"/>
        <w:jc w:val="both"/>
        <w:rPr>
          <w:color w:val="auto"/>
        </w:rPr>
      </w:pPr>
      <w:r>
        <w:rPr>
          <w:color w:val="auto"/>
          <w:spacing w:val="0"/>
          <w:w w:val="100"/>
          <w:position w:val="0"/>
        </w:rPr>
        <w:t>第一部分部门概况</w:t>
      </w:r>
      <w:bookmarkEnd w:id="25"/>
      <w:bookmarkEnd w:id="26"/>
      <w:bookmarkEnd w:id="27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right="0"/>
        <w:jc w:val="left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right="0"/>
        <w:jc w:val="left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</w:rPr>
        <w:t>一、部门职责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46"/>
        </w:tabs>
        <w:bidi w:val="0"/>
        <w:spacing w:before="0" w:after="0" w:line="568" w:lineRule="exact"/>
        <w:ind w:left="540" w:right="0" w:firstLine="64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贯彻落实国家、省和市关于发展中小企业的法律、法 规和方针政策，研究提出鼓励、扶持和引导中小企业发展的政策 措施，负责对县中小企业的综合协调、指导和服务，为政府提供 决策依据，为企业提供经济信息。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37"/>
        </w:tabs>
        <w:bidi w:val="0"/>
        <w:spacing w:before="0" w:after="0" w:line="568" w:lineRule="exact"/>
        <w:ind w:left="540" w:right="0" w:firstLine="640"/>
        <w:jc w:val="both"/>
      </w:pPr>
      <w:bookmarkStart w:id="29" w:name="bookmark32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指导和推进中小企业体制创新、科技创新、管理创新工 作。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51"/>
        </w:tabs>
        <w:bidi w:val="0"/>
        <w:spacing w:before="0" w:after="0" w:line="568" w:lineRule="exact"/>
        <w:ind w:left="540" w:right="0" w:firstLine="640"/>
        <w:jc w:val="both"/>
      </w:pPr>
      <w:bookmarkStart w:id="30" w:name="bookmark33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研究拟订全县发展民营经济政策措施，并负责组织实 施。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51"/>
        </w:tabs>
        <w:bidi w:val="0"/>
        <w:spacing w:before="0" w:after="0" w:line="568" w:lineRule="exact"/>
        <w:ind w:left="540" w:right="0" w:firstLine="640"/>
        <w:jc w:val="both"/>
      </w:pPr>
      <w:bookmarkStart w:id="31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监测分析全县行业经济运行态势，组织解决工交行业 经济运行的有关重大问题。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42"/>
        </w:tabs>
        <w:bidi w:val="0"/>
        <w:spacing w:before="0" w:after="0" w:line="568" w:lineRule="exact"/>
        <w:ind w:left="540" w:right="0" w:firstLine="64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研究制定和规划行业投资布局，定期公布产业政策和 投资引导目录。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22"/>
        </w:tabs>
        <w:bidi w:val="0"/>
        <w:spacing w:before="0" w:after="0" w:line="568" w:lineRule="exact"/>
        <w:ind w:left="540" w:right="0" w:firstLine="640"/>
        <w:jc w:val="both"/>
      </w:pPr>
      <w:bookmarkStart w:id="33" w:name="bookmark36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搞好全县工业经济效益分析、产销平衡调度，做好产 品结构调整和扶优限劣工作。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13"/>
        </w:tabs>
        <w:bidi w:val="0"/>
        <w:spacing w:before="0" w:after="0" w:line="568" w:lineRule="exact"/>
        <w:ind w:left="540" w:right="0" w:firstLine="640"/>
        <w:jc w:val="both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指导推进全县信息化工作，协调信息化建设中的重大 问题，协助推进重大信息化工程。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51"/>
        </w:tabs>
        <w:bidi w:val="0"/>
        <w:spacing w:before="0" w:after="0" w:line="542" w:lineRule="exact"/>
        <w:ind w:left="540" w:right="0" w:firstLine="640"/>
        <w:jc w:val="both"/>
      </w:pPr>
      <w:bookmarkStart w:id="35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负责组织重大信息化工程的技术论证和评估验收工 作。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37"/>
        </w:tabs>
        <w:bidi w:val="0"/>
        <w:spacing w:before="0" w:after="0" w:line="542" w:lineRule="exact"/>
        <w:ind w:left="540" w:right="0" w:firstLine="640"/>
        <w:jc w:val="both"/>
      </w:pPr>
      <w:bookmarkStart w:id="36" w:name="bookmark39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负责全县信息化和工业化融合工作，提升和改造传统 产业。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20" w:line="568" w:lineRule="exact"/>
        <w:ind w:left="1180" w:right="0" w:firstLine="0"/>
        <w:jc w:val="left"/>
        <w:rPr>
          <w:rStyle w:val="12"/>
          <w:b w:val="0"/>
          <w:bCs w:val="0"/>
          <w:i w:val="0"/>
          <w:iCs w:val="0"/>
          <w:smallCaps w:val="0"/>
          <w:strike w:val="0"/>
        </w:rPr>
      </w:pPr>
      <w:r>
        <w:rPr>
          <w:color w:val="000000"/>
          <w:spacing w:val="0"/>
          <w:w w:val="100"/>
          <w:position w:val="0"/>
        </w:rPr>
        <w:t>（十）负责推进全县工业信息化、农村信息化和电子商务等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78"/>
          <w:szCs w:val="78"/>
          <w:lang w:val="en-US" w:eastAsia="en-US" w:bidi="en-US"/>
        </w:rPr>
        <w:t xml:space="preserve"> </w:t>
      </w:r>
      <w:r>
        <w:rPr>
          <w:rStyle w:val="12"/>
          <w:b w:val="0"/>
          <w:bCs w:val="0"/>
          <w:i w:val="0"/>
          <w:iCs w:val="0"/>
          <w:smallCaps w:val="0"/>
          <w:strike w:val="0"/>
        </w:rPr>
        <w:t>经济领域信息化工作，负责全县信息化领导小组办公室的日常工 作。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20" w:line="568" w:lineRule="exact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（十一）负责国防信息动员工作。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二、机构设置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从决算编报单位构成看，纳入2018年度本部门决算汇编范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960" w:line="56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围的独立核算单位（以下简称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“单</w:t>
      </w:r>
      <w:r>
        <w:rPr>
          <w:color w:val="000000"/>
          <w:spacing w:val="0"/>
          <w:w w:val="100"/>
          <w:position w:val="0"/>
        </w:rPr>
        <w:t>位”）共1个，具体情况如下：</w:t>
      </w:r>
    </w:p>
    <w:tbl>
      <w:tblPr>
        <w:tblStyle w:val="4"/>
        <w:tblW w:w="959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3485"/>
        <w:gridCol w:w="2443"/>
        <w:gridCol w:w="26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单位名称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单位基本性质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经费形式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工业和信息化局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财政拨款</w:t>
            </w:r>
          </w:p>
        </w:tc>
      </w:tr>
    </w:tbl>
    <w:p>
      <w:pPr>
        <w:widowControl w:val="0"/>
        <w:spacing w:after="6739" w:line="1" w:lineRule="exact"/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4340" w:after="18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4340" w:after="180" w:line="240" w:lineRule="auto"/>
        <w:ind w:left="0" w:right="0" w:firstLine="0"/>
        <w:jc w:val="center"/>
        <w:rPr>
          <w:color w:val="auto"/>
        </w:rPr>
      </w:pPr>
      <w:r>
        <w:rPr>
          <w:color w:val="auto"/>
          <w:spacing w:val="0"/>
          <w:w w:val="100"/>
          <w:position w:val="0"/>
        </w:rPr>
        <w:t>第二部分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5340" w:line="240" w:lineRule="auto"/>
        <w:ind w:left="0" w:right="0" w:firstLine="420"/>
        <w:jc w:val="left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90"/>
          <w:szCs w:val="90"/>
          <w:u w:val="none"/>
        </w:rPr>
        <w:t>2018</w:t>
      </w:r>
      <w:r>
        <w:rPr>
          <w:color w:val="auto"/>
          <w:spacing w:val="0"/>
          <w:w w:val="100"/>
          <w:position w:val="0"/>
          <w:u w:val="none"/>
        </w:rPr>
        <w:t>年度部门决</w:t>
      </w:r>
      <w:r>
        <w:rPr>
          <w:color w:val="auto"/>
          <w:spacing w:val="0"/>
          <w:w w:val="100"/>
          <w:position w:val="0"/>
        </w:rPr>
        <w:t>算报表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color w:val="000000"/>
          <w:spacing w:val="0"/>
          <w:w w:val="100"/>
          <w:position w:val="0"/>
          <w:sz w:val="40"/>
          <w:szCs w:val="40"/>
          <w:lang w:eastAsia="zh-CN"/>
        </w:rPr>
        <w:t>决算报表见附件</w:t>
      </w:r>
      <w:r>
        <w:br w:type="page"/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color w:val="auto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color w:val="auto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color w:val="auto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color w:val="auto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color w:val="auto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200"/>
        <w:jc w:val="center"/>
        <w:rPr>
          <w:rFonts w:hint="eastAsia" w:eastAsia="宋体"/>
          <w:color w:val="auto"/>
          <w:lang w:eastAsia="zh-CN"/>
        </w:rPr>
        <w:sectPr>
          <w:headerReference r:id="rId5" w:type="default"/>
          <w:footerReference r:id="rId6" w:type="default"/>
          <w:footnotePr>
            <w:numFmt w:val="decimal"/>
          </w:footnotePr>
          <w:type w:val="continuous"/>
          <w:pgSz w:w="11910" w:h="18101"/>
          <w:pgMar w:top="1197" w:right="1200" w:bottom="3190" w:left="324" w:header="769" w:footer="2762" w:gutter="0"/>
          <w:cols w:space="720" w:num="1"/>
          <w:rtlGutter w:val="0"/>
          <w:docGrid w:linePitch="360" w:charSpace="0"/>
        </w:sectPr>
      </w:pPr>
      <w:r>
        <w:rPr>
          <w:color w:val="auto"/>
          <w:spacing w:val="0"/>
          <w:w w:val="100"/>
          <w:position w:val="0"/>
        </w:rPr>
        <w:t>第三部分</w:t>
      </w:r>
      <w:r>
        <w:rPr>
          <w:color w:val="auto"/>
          <w:spacing w:val="0"/>
          <w:w w:val="100"/>
          <w:position w:val="0"/>
        </w:rPr>
        <w:br w:type="textWrapping"/>
      </w:r>
      <w:r>
        <w:rPr>
          <w:color w:val="auto"/>
          <w:spacing w:val="0"/>
          <w:w w:val="100"/>
          <w:position w:val="0"/>
        </w:rPr>
        <w:t>部门决算情况说明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54"/>
        </w:tabs>
        <w:bidi w:val="0"/>
        <w:spacing w:before="0" w:after="0" w:line="590" w:lineRule="exact"/>
        <w:ind w:left="1720" w:right="0" w:firstLine="0"/>
        <w:jc w:val="left"/>
      </w:pPr>
      <w:bookmarkStart w:id="37" w:name="bookmark78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3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收入支出决算总体情况说明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本部门2018年度收入总计（含结转和结余）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820. </w:t>
      </w:r>
      <w:r>
        <w:rPr>
          <w:color w:val="000000"/>
          <w:spacing w:val="0"/>
          <w:w w:val="100"/>
          <w:position w:val="0"/>
        </w:rPr>
        <w:t>13万元。 与2017年度决算相比，收入减少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2422. </w:t>
      </w:r>
      <w:r>
        <w:rPr>
          <w:color w:val="000000"/>
          <w:spacing w:val="0"/>
          <w:w w:val="100"/>
          <w:position w:val="0"/>
        </w:rPr>
        <w:t>43万元，下降74.71%, 主要原因是支持企业发展资金财政拨款减少。本部门2018年度支出总计（含结转和结余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）818.97</w:t>
      </w:r>
      <w:r>
        <w:rPr>
          <w:color w:val="000000"/>
          <w:spacing w:val="0"/>
          <w:w w:val="100"/>
          <w:position w:val="0"/>
        </w:rPr>
        <w:t>万元。与2017年度决算相比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,</w:t>
      </w:r>
      <w:r>
        <w:rPr>
          <w:color w:val="000000"/>
          <w:spacing w:val="0"/>
          <w:w w:val="100"/>
          <w:position w:val="0"/>
        </w:rPr>
        <w:t>支出减少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2423. </w:t>
      </w:r>
      <w:r>
        <w:rPr>
          <w:color w:val="000000"/>
          <w:spacing w:val="0"/>
          <w:w w:val="100"/>
          <w:position w:val="0"/>
        </w:rPr>
        <w:t>59万元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,</w:t>
      </w:r>
      <w:r>
        <w:rPr>
          <w:color w:val="000000"/>
          <w:spacing w:val="0"/>
          <w:w w:val="100"/>
          <w:position w:val="0"/>
        </w:rPr>
        <w:t>下降74.74%，主要原因是支持企业发 展资金财政拨款减少。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54"/>
        </w:tabs>
        <w:bidi w:val="0"/>
        <w:spacing w:before="0" w:after="0" w:line="590" w:lineRule="exact"/>
        <w:ind w:left="1720" w:right="0" w:firstLine="0"/>
        <w:jc w:val="left"/>
      </w:pPr>
      <w:bookmarkStart w:id="38" w:name="bookmark79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8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收入决算情况说明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本部门2018年度本年收入合计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820. </w:t>
      </w:r>
      <w:r>
        <w:rPr>
          <w:color w:val="000000"/>
          <w:spacing w:val="0"/>
          <w:w w:val="100"/>
          <w:position w:val="0"/>
        </w:rPr>
        <w:t>13万元，其中：财政拨 款收入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820. </w:t>
      </w:r>
      <w:r>
        <w:rPr>
          <w:color w:val="000000"/>
          <w:spacing w:val="0"/>
          <w:w w:val="100"/>
          <w:position w:val="0"/>
        </w:rPr>
        <w:t>13万元，占100%。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54"/>
        </w:tabs>
        <w:bidi w:val="0"/>
        <w:spacing w:before="0" w:after="0" w:line="590" w:lineRule="exact"/>
        <w:ind w:left="1720" w:right="0" w:firstLine="0"/>
        <w:jc w:val="left"/>
      </w:pPr>
      <w:bookmarkStart w:id="39" w:name="bookmark80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39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支出决算情况说明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本部门2018年度本年支出合计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818. </w:t>
      </w:r>
      <w:r>
        <w:rPr>
          <w:color w:val="000000"/>
          <w:spacing w:val="0"/>
          <w:w w:val="100"/>
          <w:position w:val="0"/>
        </w:rPr>
        <w:t>97万元，其中：基本支 出7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0.97</w:t>
      </w:r>
      <w:r>
        <w:rPr>
          <w:color w:val="000000"/>
          <w:spacing w:val="0"/>
          <w:w w:val="100"/>
          <w:position w:val="0"/>
        </w:rPr>
        <w:t>万元，占8.67%；项目支出748万元，占91.33%。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54"/>
        </w:tabs>
        <w:bidi w:val="0"/>
        <w:spacing w:before="0" w:after="140" w:line="590" w:lineRule="exact"/>
        <w:ind w:left="1720" w:right="0" w:firstLine="0"/>
        <w:jc w:val="left"/>
      </w:pPr>
      <w:bookmarkStart w:id="40" w:name="bookmark81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4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财政拨款收入支出决算情况说明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  <w:rPr>
          <w:sz w:val="32"/>
          <w:szCs w:val="32"/>
        </w:rPr>
      </w:pPr>
      <w:bookmarkStart w:id="41" w:name="bookmark83"/>
      <w:bookmarkStart w:id="42" w:name="bookmark84"/>
      <w:bookmarkStart w:id="43" w:name="bookmark8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（-）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财政拨款收支与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2017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年度决算对比情况</w:t>
      </w:r>
      <w:bookmarkEnd w:id="41"/>
      <w:bookmarkEnd w:id="42"/>
      <w:bookmarkEnd w:id="43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080" w:right="0" w:firstLine="760"/>
        <w:jc w:val="both"/>
        <w:sectPr>
          <w:headerReference r:id="rId7" w:type="default"/>
          <w:footerReference r:id="rId8" w:type="default"/>
          <w:footnotePr>
            <w:numFmt w:val="decimal"/>
          </w:footnotePr>
          <w:pgSz w:w="11910" w:h="18101"/>
          <w:pgMar w:top="2628" w:right="1023" w:bottom="2628" w:left="500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本部门2018年度形成的财政拨款收支均为一般公共预算财 政拨款，其中一般公共预算财政拨款本年收入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820. </w:t>
      </w:r>
      <w:r>
        <w:rPr>
          <w:color w:val="000000"/>
          <w:spacing w:val="0"/>
          <w:w w:val="100"/>
          <w:position w:val="0"/>
        </w:rPr>
        <w:t>13万元，比 2017年度减少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2422. </w:t>
      </w:r>
      <w:r>
        <w:rPr>
          <w:color w:val="000000"/>
          <w:spacing w:val="0"/>
          <w:w w:val="100"/>
          <w:position w:val="0"/>
        </w:rPr>
        <w:t>43万元，降低74.71%,主要是支持企业发 展资金财政拨款减少；本年支出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818. </w:t>
      </w:r>
      <w:r>
        <w:rPr>
          <w:color w:val="000000"/>
          <w:spacing w:val="0"/>
          <w:w w:val="100"/>
          <w:position w:val="0"/>
        </w:rPr>
        <w:t>97万元，减少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2423. </w:t>
      </w:r>
      <w:r>
        <w:rPr>
          <w:color w:val="000000"/>
          <w:spacing w:val="0"/>
          <w:w w:val="100"/>
          <w:position w:val="0"/>
        </w:rPr>
        <w:t>59万 元，降低74.74%，主要是支持企业发展资金财政拨款减少。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2621"/>
        </w:tabs>
        <w:bidi w:val="0"/>
        <w:spacing w:before="0" w:after="0" w:line="240" w:lineRule="auto"/>
        <w:ind w:left="1720" w:right="0" w:firstLine="0"/>
        <w:jc w:val="left"/>
        <w:rPr>
          <w:sz w:val="32"/>
          <w:szCs w:val="32"/>
        </w:rPr>
      </w:pPr>
      <w:bookmarkStart w:id="44" w:name="bookmark87"/>
      <w:bookmarkStart w:id="45" w:name="bookmark86"/>
      <w:bookmarkStart w:id="46" w:name="bookmark88"/>
      <w:bookmarkStart w:id="47" w:name="bookmark85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4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财政拨款收支与年初预算数对比情况</w:t>
      </w:r>
      <w:bookmarkEnd w:id="45"/>
      <w:bookmarkEnd w:id="46"/>
      <w:bookmarkEnd w:id="47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592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本部门2018年度一般公共预算财政拨款收入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820. </w:t>
      </w:r>
      <w:r>
        <w:rPr>
          <w:color w:val="000000"/>
          <w:spacing w:val="0"/>
          <w:w w:val="100"/>
          <w:position w:val="0"/>
        </w:rPr>
        <w:t>13万元, 完成年初预算的100%；本年支出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818. </w:t>
      </w:r>
      <w:r>
        <w:rPr>
          <w:color w:val="000000"/>
          <w:spacing w:val="0"/>
          <w:w w:val="100"/>
          <w:position w:val="0"/>
        </w:rPr>
        <w:t xml:space="preserve">97万元，完成年初预算的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99. </w:t>
      </w:r>
      <w:r>
        <w:rPr>
          <w:color w:val="000000"/>
          <w:spacing w:val="0"/>
          <w:w w:val="100"/>
          <w:position w:val="0"/>
        </w:rPr>
        <w:t>86%,比年初预算减少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</w:rPr>
        <w:t>16万元，决算数小于预算数主要原因是未及时支付。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2621"/>
        </w:tabs>
        <w:bidi w:val="0"/>
        <w:spacing w:before="0" w:after="0" w:line="240" w:lineRule="auto"/>
        <w:ind w:left="1720" w:right="0" w:firstLine="0"/>
        <w:jc w:val="left"/>
        <w:rPr>
          <w:sz w:val="32"/>
          <w:szCs w:val="32"/>
        </w:rPr>
      </w:pPr>
      <w:bookmarkStart w:id="48" w:name="bookmark91"/>
      <w:bookmarkStart w:id="49" w:name="bookmark92"/>
      <w:bookmarkStart w:id="50" w:name="bookmark89"/>
      <w:bookmarkStart w:id="51" w:name="bookmark90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48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财政拨款支出决算结构情况。</w:t>
      </w:r>
      <w:bookmarkEnd w:id="49"/>
      <w:bookmarkEnd w:id="50"/>
      <w:bookmarkEnd w:id="51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80" w:line="590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2018年度财政拨款支出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818. </w:t>
      </w:r>
      <w:r>
        <w:rPr>
          <w:color w:val="000000"/>
          <w:spacing w:val="0"/>
          <w:w w:val="100"/>
          <w:position w:val="0"/>
        </w:rPr>
        <w:t>97万元，主要用于以下方面： 资源勘探信息类支出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818. </w:t>
      </w:r>
      <w:r>
        <w:rPr>
          <w:color w:val="000000"/>
          <w:spacing w:val="0"/>
          <w:w w:val="100"/>
          <w:position w:val="0"/>
        </w:rPr>
        <w:t>97万元，占100%。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bookmarkStart w:id="52" w:name="bookmark94"/>
      <w:bookmarkStart w:id="53" w:name="bookmark95"/>
      <w:bookmarkStart w:id="54" w:name="bookmark93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（四）一般公共预算财政拨款基本支出决算情况说明</w:t>
      </w:r>
      <w:bookmarkEnd w:id="52"/>
      <w:bookmarkEnd w:id="53"/>
      <w:bookmarkEnd w:id="54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2018年度一般公共预算财政拨款基本支出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70. </w:t>
      </w:r>
      <w:r>
        <w:rPr>
          <w:color w:val="000000"/>
          <w:spacing w:val="0"/>
          <w:w w:val="100"/>
          <w:position w:val="0"/>
        </w:rPr>
        <w:t>97万元，其 中：人员经费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58. </w:t>
      </w:r>
      <w:r>
        <w:rPr>
          <w:color w:val="000000"/>
          <w:spacing w:val="0"/>
          <w:w w:val="100"/>
          <w:position w:val="0"/>
        </w:rPr>
        <w:t>34万元，主要包括基本工资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36. </w:t>
      </w:r>
      <w:r>
        <w:rPr>
          <w:color w:val="000000"/>
          <w:spacing w:val="0"/>
          <w:w w:val="100"/>
          <w:position w:val="0"/>
        </w:rPr>
        <w:t>17万元，津贴 补贴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</w:rPr>
        <w:t>77万元，奖金</w:t>
      </w:r>
      <w:r>
        <w:rPr>
          <w:color w:val="000000"/>
          <w:spacing w:val="0"/>
          <w:w w:val="100"/>
          <w:position w:val="0"/>
          <w:lang w:val="en-US" w:eastAsia="en-US" w:bidi="en-US"/>
        </w:rPr>
        <w:t>11.64</w:t>
      </w:r>
      <w:r>
        <w:rPr>
          <w:color w:val="000000"/>
          <w:spacing w:val="0"/>
          <w:w w:val="100"/>
          <w:position w:val="0"/>
        </w:rPr>
        <w:t>万元，绩效工资</w:t>
      </w:r>
      <w:r>
        <w:rPr>
          <w:color w:val="000000"/>
          <w:spacing w:val="0"/>
          <w:w w:val="100"/>
          <w:position w:val="0"/>
          <w:lang w:val="en-US" w:eastAsia="en-US" w:bidi="en-US"/>
        </w:rPr>
        <w:t>3.61</w:t>
      </w:r>
      <w:r>
        <w:rPr>
          <w:color w:val="000000"/>
          <w:spacing w:val="0"/>
          <w:w w:val="100"/>
          <w:position w:val="0"/>
        </w:rPr>
        <w:t>万元，其他社 会保障缴费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1.59</w:t>
      </w:r>
      <w:r>
        <w:rPr>
          <w:color w:val="000000"/>
          <w:spacing w:val="0"/>
          <w:w w:val="100"/>
          <w:position w:val="0"/>
        </w:rPr>
        <w:t>万元，生活补助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1.56</w:t>
      </w:r>
      <w:r>
        <w:rPr>
          <w:color w:val="000000"/>
          <w:spacing w:val="0"/>
          <w:w w:val="100"/>
          <w:position w:val="0"/>
        </w:rPr>
        <w:t>万元。公用经费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12.64 </w:t>
      </w:r>
      <w:r>
        <w:rPr>
          <w:color w:val="000000"/>
          <w:spacing w:val="0"/>
          <w:w w:val="100"/>
          <w:position w:val="0"/>
        </w:rPr>
        <w:t>万元，主要包括办公费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</w:rPr>
        <w:t>27万元，印刷费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1.86</w:t>
      </w:r>
      <w:r>
        <w:rPr>
          <w:color w:val="000000"/>
          <w:spacing w:val="0"/>
          <w:w w:val="100"/>
          <w:position w:val="0"/>
        </w:rPr>
        <w:t xml:space="preserve">万元，邮电费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>31万元，手续费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>03万元，差旅费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>2.63</w:t>
      </w:r>
      <w:r>
        <w:rPr>
          <w:color w:val="000000"/>
          <w:spacing w:val="0"/>
          <w:w w:val="100"/>
          <w:position w:val="0"/>
        </w:rPr>
        <w:t>万元，会议费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>27 万元，培训费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>15万元，工会经费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 xml:space="preserve">07万元，其他交通费用 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1.26</w:t>
      </w:r>
      <w:r>
        <w:rPr>
          <w:color w:val="000000"/>
          <w:spacing w:val="0"/>
          <w:w w:val="100"/>
          <w:position w:val="0"/>
        </w:rPr>
        <w:t>万元，其他商品和服务支出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1.78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1080" w:right="0" w:firstLine="640"/>
        <w:jc w:val="both"/>
      </w:pPr>
      <w:bookmarkStart w:id="55" w:name="bookmark96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55"/>
      <w:r>
        <w:rPr>
          <w:b/>
          <w:bCs/>
          <w:color w:val="000000"/>
          <w:spacing w:val="0"/>
          <w:w w:val="100"/>
          <w:position w:val="0"/>
        </w:rPr>
        <w:t>、一般公共预算财政拨款“三公”经费支出决算情况说 明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520" w:right="0" w:firstLine="580"/>
        <w:jc w:val="left"/>
      </w:pP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公”经费支出共计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万元，较年初预算持平 主要是未发生此项支出具体情况如下：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80" w:line="594" w:lineRule="exact"/>
        <w:ind w:left="520" w:right="0" w:firstLine="580"/>
        <w:jc w:val="left"/>
        <w:sectPr>
          <w:headerReference r:id="rId9" w:type="default"/>
          <w:footerReference r:id="rId10" w:type="default"/>
          <w:footnotePr>
            <w:numFmt w:val="decimal"/>
          </w:footnotePr>
          <w:pgSz w:w="11910" w:h="18101"/>
          <w:pgMar w:top="2835" w:right="1023" w:bottom="925" w:left="500" w:header="0" w:footer="497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（一）因公出国（境）费支出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 w:bidi="en-US"/>
        </w:rPr>
        <w:t>0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万元。</w:t>
      </w: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年度因公出国 （境）团组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个、共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人/参加其他单位组织的因公出国（境）团组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0 </w:t>
      </w:r>
      <w:r>
        <w:rPr>
          <w:color w:val="000000"/>
          <w:spacing w:val="0"/>
          <w:w w:val="100"/>
          <w:position w:val="0"/>
        </w:rPr>
        <w:t>个、共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人/无本单位组织的出国（境）团组。因公出国（境）费支出 较年初预算持平，主要是未发生此项支出。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50"/>
        </w:tabs>
        <w:bidi w:val="0"/>
        <w:spacing w:before="0" w:after="0" w:line="598" w:lineRule="exact"/>
        <w:ind w:left="520" w:right="0" w:firstLine="640"/>
        <w:jc w:val="both"/>
      </w:pPr>
      <w:bookmarkStart w:id="56" w:name="bookmark97"/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（</w:t>
      </w:r>
      <w:bookmarkEnd w:id="56"/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公务用车购置及运行维护费支出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0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万元。</w:t>
      </w: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年度公 务用车购置及运行维护费较年初预算减少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万元主要是未发生此项支 出。</w:t>
      </w:r>
      <w:r>
        <w:rPr>
          <w:b/>
          <w:bCs/>
          <w:color w:val="000000"/>
          <w:spacing w:val="0"/>
          <w:w w:val="100"/>
          <w:position w:val="0"/>
        </w:rPr>
        <w:t>其中：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90" w:lineRule="exact"/>
        <w:ind w:left="52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公务用车购置费：</w:t>
      </w: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年度公务用车购置量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辆，发生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“公 </w:t>
      </w:r>
      <w:r>
        <w:rPr>
          <w:color w:val="000000"/>
          <w:spacing w:val="0"/>
          <w:w w:val="100"/>
          <w:position w:val="0"/>
        </w:rPr>
        <w:t>务用车购置”经费支出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万元。公务用车购置费支出较年初预算持平， 主要是未发生’公务用车购置’经费支出。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52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公务用车运行维护费：</w:t>
      </w: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年度单位公务用车保有量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辆。 公车运行维护费支出较年初预算持平，主要是未发生此项支出。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2" w:lineRule="exact"/>
        <w:ind w:left="480" w:leftChars="200" w:right="0" w:firstLine="401" w:firstLineChars="0"/>
        <w:jc w:val="both"/>
        <w:textAlignment w:val="auto"/>
      </w:pPr>
      <w:bookmarkStart w:id="57" w:name="bookmark98"/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（</w:t>
      </w:r>
      <w:bookmarkEnd w:id="57"/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公务接待费支出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 w:bidi="en-US"/>
        </w:rPr>
        <w:t>0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万元。</w:t>
      </w:r>
      <w:r>
        <w:rPr>
          <w:color w:val="000000"/>
          <w:spacing w:val="0"/>
          <w:w w:val="100"/>
          <w:position w:val="0"/>
        </w:rPr>
        <w:t>本部门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年度公务接待共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批 次、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人次。公务接待费支出较年初预算持平,主要是未发生此项支出。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  <w:rPr>
          <w:b/>
          <w:bCs/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六、预算绩效情况说明 </w:t>
      </w:r>
      <w:r>
        <w:rPr>
          <w:color w:val="000000"/>
          <w:spacing w:val="0"/>
          <w:w w:val="100"/>
          <w:position w:val="0"/>
        </w:rPr>
        <w:t>2018年，根据财政部《财政支出绩效评价管理暂行办法》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480" w:leftChars="0" w:right="0" w:firstLine="598" w:firstLineChars="187"/>
        <w:jc w:val="left"/>
      </w:pPr>
      <w:r>
        <w:rPr>
          <w:color w:val="000000"/>
          <w:spacing w:val="0"/>
          <w:w w:val="100"/>
          <w:position w:val="0"/>
        </w:rPr>
        <w:t>《河北省财政支出绩效评价管理办法》的规定，对纳入年度绩效评 价范围的项目，围绕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“预算</w:t>
      </w:r>
      <w:r>
        <w:rPr>
          <w:color w:val="000000"/>
          <w:spacing w:val="0"/>
          <w:w w:val="100"/>
          <w:position w:val="0"/>
        </w:rPr>
        <w:t>编制有目标、预算执行有监控、预算完 成有评价、评价结果有反馈，反馈结果有应用”的绩效目标要求，认 真开展绩效评价，促进提高项目资金使用绩效。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480" w:leftChars="0" w:right="0" w:firstLine="0" w:firstLineChars="0"/>
        <w:jc w:val="left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按照绩效评价的有关程序，组织具体项目单位对项目绩效开展 了自我评价，在各单位自评的基础上，进行了综合评价，从项目年 度目标，效率目标、项目管理和项目结果等方面进行了评价。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具体情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eastAsia="zh-CN"/>
        </w:rPr>
        <w:t>况如下：</w:t>
      </w:r>
    </w:p>
    <w:p>
      <w:pPr>
        <w:ind w:left="960" w:leftChars="200" w:hanging="480" w:hangingChars="200"/>
        <w:jc w:val="both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       </w:t>
      </w: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一）预算绩效管理工作开展情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480" w:leftChars="200" w:firstLine="160" w:firstLineChars="5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根据预算绩效管理要求，县工信局组织对2018年度一般公共预算项目支出全面开展绩效自评。本部门共有一级项目1个，二级项目2个，共涉及金额748万元，占一般公共预算项目支出总额的100%。组织对2018年度全县支持中小企业发展项目、中小企业项目评审项目等项2个项目开展了部门评价，涉及一般公共预支出748万元，政府性基金预算支出0万元。748万元中，728万元用于支持中小企业发展资金，20万元用于中小企业项目评审项目资金。2018年12月31日前，748万元项目资金全部拨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（二） 项目绩效自评结果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478" w:leftChars="66" w:hanging="320" w:hangingChars="1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县工信局在今年部门决算公开中反映的支持中小企业发展资金项目、 中小企业项目评审项目等2个项目绩效自评结果为优，具体如下：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720" w:leftChars="300" w:firstLine="0" w:firstLineChars="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支持中小企业发展项目。全年预算数为728万元，执行数为728万元，完成预算的100%，圆满完成了年初的项目绩效目标，自评得分为100分。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720" w:leftChars="30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中小企业项目评审项目。全年预算数为20万元，执行数为20万元，完成预算的100%，圆满完成了年初的项目绩效目标，自评得分为100分。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72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重点项目绩效评价结果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4" w:lineRule="auto"/>
        <w:ind w:left="319" w:leftChars="133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无重点项目绩效。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00" w:line="586" w:lineRule="exact"/>
        <w:ind w:left="17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七、其他重要事项的说明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  <w:rPr>
          <w:sz w:val="32"/>
          <w:szCs w:val="32"/>
        </w:rPr>
      </w:pPr>
      <w:bookmarkStart w:id="58" w:name="bookmark100"/>
      <w:bookmarkStart w:id="59" w:name="bookmark101"/>
      <w:bookmarkStart w:id="60" w:name="bookmark99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（-）机关运行经费情况</w:t>
      </w:r>
      <w:bookmarkEnd w:id="58"/>
      <w:bookmarkEnd w:id="59"/>
      <w:bookmarkEnd w:id="60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593" w:lineRule="exact"/>
        <w:ind w:left="1080" w:right="0" w:firstLine="640"/>
        <w:jc w:val="left"/>
      </w:pPr>
      <w:r>
        <w:rPr>
          <w:color w:val="000000"/>
          <w:spacing w:val="0"/>
          <w:w w:val="100"/>
          <w:position w:val="0"/>
        </w:rPr>
        <w:t>本部门2018年度机关运行经费支出</w:t>
      </w:r>
      <w:r>
        <w:rPr>
          <w:color w:val="000000"/>
          <w:spacing w:val="0"/>
          <w:w w:val="100"/>
          <w:position w:val="0"/>
          <w:lang w:val="en-US" w:eastAsia="en-US" w:bidi="en-US"/>
        </w:rPr>
        <w:t>12.64</w:t>
      </w:r>
      <w:r>
        <w:rPr>
          <w:color w:val="000000"/>
          <w:spacing w:val="0"/>
          <w:w w:val="100"/>
          <w:position w:val="0"/>
        </w:rPr>
        <w:t>万元，比年初预 算数增加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</w:rPr>
        <w:t>18万元，增长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10. </w:t>
      </w:r>
      <w:r>
        <w:rPr>
          <w:color w:val="000000"/>
          <w:spacing w:val="0"/>
          <w:w w:val="100"/>
          <w:position w:val="0"/>
        </w:rPr>
        <w:t>30%。主要原因是今年出差较多， 差旅费增加。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2621"/>
        </w:tabs>
        <w:bidi w:val="0"/>
        <w:spacing w:before="0" w:after="120" w:line="240" w:lineRule="auto"/>
        <w:ind w:left="1720" w:right="0" w:firstLine="0"/>
        <w:jc w:val="left"/>
        <w:rPr>
          <w:sz w:val="32"/>
          <w:szCs w:val="32"/>
        </w:rPr>
      </w:pPr>
      <w:bookmarkStart w:id="61" w:name="bookmark104"/>
      <w:bookmarkStart w:id="62" w:name="bookmark102"/>
      <w:bookmarkStart w:id="63" w:name="bookmark105"/>
      <w:bookmarkStart w:id="64" w:name="bookmark103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61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政府采购情况</w:t>
      </w:r>
      <w:bookmarkEnd w:id="62"/>
      <w:bookmarkEnd w:id="63"/>
      <w:bookmarkEnd w:id="64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</w:rPr>
        <w:t>本部门2018年度政府采购支出总额0万元。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2621"/>
        </w:tabs>
        <w:bidi w:val="0"/>
        <w:spacing w:before="0" w:after="0" w:line="240" w:lineRule="auto"/>
        <w:ind w:left="1720" w:right="0" w:firstLine="0"/>
        <w:jc w:val="left"/>
        <w:rPr>
          <w:sz w:val="32"/>
          <w:szCs w:val="32"/>
        </w:rPr>
      </w:pPr>
      <w:bookmarkStart w:id="65" w:name="bookmark108"/>
      <w:bookmarkStart w:id="66" w:name="bookmark107"/>
      <w:bookmarkStart w:id="67" w:name="bookmark109"/>
      <w:bookmarkStart w:id="68" w:name="bookmark106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65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国有资产占用情况</w:t>
      </w:r>
      <w:bookmarkEnd w:id="66"/>
      <w:bookmarkEnd w:id="67"/>
      <w:bookmarkEnd w:id="68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0"/>
        <w:jc w:val="center"/>
        <w:textAlignment w:val="auto"/>
        <w:rPr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截至2018年12月31日，本部门共有车辆0辆。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494" w:lineRule="exact"/>
        <w:ind w:left="1080" w:right="0" w:firstLine="64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3" w:right="0" w:firstLine="641"/>
        <w:jc w:val="center"/>
        <w:textAlignment w:val="auto"/>
        <w:rPr>
          <w:spacing w:val="0"/>
          <w:w w:val="100"/>
          <w:position w:val="0"/>
          <w:sz w:val="94"/>
          <w:szCs w:val="94"/>
        </w:rPr>
      </w:pPr>
      <w:r>
        <w:rPr>
          <w:spacing w:val="0"/>
          <w:w w:val="100"/>
          <w:position w:val="0"/>
          <w:sz w:val="94"/>
          <w:szCs w:val="94"/>
        </w:rPr>
        <w:t>第四部分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3" w:right="0" w:firstLine="641"/>
        <w:jc w:val="center"/>
        <w:textAlignment w:val="auto"/>
      </w:pPr>
      <w:r>
        <w:rPr>
          <w:rFonts w:hint="eastAsia"/>
          <w:spacing w:val="0"/>
          <w:w w:val="100"/>
          <w:position w:val="0"/>
          <w:sz w:val="94"/>
          <w:szCs w:val="94"/>
          <w:lang w:eastAsia="zh-CN"/>
        </w:rPr>
        <w:t>名词解释</w:t>
      </w:r>
      <w:r>
        <w:rPr>
          <w:spacing w:val="0"/>
          <w:w w:val="100"/>
          <w:position w:val="0"/>
        </w:rPr>
        <w:br w:type="textWrapping"/>
      </w:r>
      <w:bookmarkStart w:id="69" w:name="bookmark110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69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一）财政拨款收入:</w:t>
      </w:r>
      <w:r>
        <w:rPr>
          <w:color w:val="000000"/>
          <w:spacing w:val="0"/>
          <w:w w:val="100"/>
          <w:position w:val="0"/>
        </w:rPr>
        <w:t>本年度从本级财政部门取得的财政拨 款，包括一般公共预算财政拨款和政府性基金预算财政拨款。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535" w:lineRule="exact"/>
        <w:ind w:left="1080" w:right="0" w:firstLine="640"/>
        <w:jc w:val="left"/>
      </w:pPr>
      <w:bookmarkStart w:id="70" w:name="bookmark111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0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二）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事业收入:</w:t>
      </w:r>
      <w:r>
        <w:rPr>
          <w:color w:val="000000"/>
          <w:spacing w:val="0"/>
          <w:w w:val="100"/>
          <w:position w:val="0"/>
        </w:rPr>
        <w:t>指事业单位开展专业业务活动及辅助活动 所取得的收入。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600"/>
        </w:tabs>
        <w:bidi w:val="0"/>
        <w:spacing w:before="0" w:after="0" w:line="535" w:lineRule="exact"/>
        <w:ind w:left="1080" w:right="0" w:firstLine="640"/>
        <w:jc w:val="left"/>
      </w:pPr>
      <w:bookmarkStart w:id="71" w:name="bookmark112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1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三）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其他收入:</w:t>
      </w:r>
      <w:r>
        <w:rPr>
          <w:color w:val="000000"/>
          <w:spacing w:val="0"/>
          <w:w w:val="100"/>
          <w:position w:val="0"/>
        </w:rPr>
        <w:t>指除上述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“财</w:t>
      </w:r>
      <w:r>
        <w:rPr>
          <w:color w:val="000000"/>
          <w:spacing w:val="0"/>
          <w:w w:val="100"/>
          <w:position w:val="0"/>
        </w:rPr>
        <w:t xml:space="preserve">政拨款收入”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“事业</w:t>
      </w:r>
      <w:r>
        <w:rPr>
          <w:color w:val="000000"/>
          <w:spacing w:val="0"/>
          <w:w w:val="100"/>
          <w:position w:val="0"/>
        </w:rPr>
        <w:t xml:space="preserve">收入”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“经营</w:t>
      </w:r>
      <w:r>
        <w:rPr>
          <w:color w:val="000000"/>
          <w:spacing w:val="0"/>
          <w:w w:val="100"/>
          <w:position w:val="0"/>
        </w:rPr>
        <w:t>收入”等以外的收入。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535" w:lineRule="exact"/>
        <w:ind w:left="1080" w:right="0" w:firstLine="640"/>
        <w:jc w:val="left"/>
      </w:pPr>
      <w:bookmarkStart w:id="72" w:name="bookmark113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2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四）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年初结转和结余:</w:t>
      </w:r>
      <w:r>
        <w:rPr>
          <w:color w:val="000000"/>
          <w:spacing w:val="0"/>
          <w:w w:val="100"/>
          <w:position w:val="0"/>
        </w:rPr>
        <w:t>指以前年度尚未完成、结转到本年 仍按原规定用途继续使用的资金，或项目已完成等产生的结余资 金。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533" w:lineRule="exact"/>
        <w:ind w:left="1080" w:right="0" w:firstLine="640"/>
        <w:jc w:val="left"/>
      </w:pPr>
      <w:bookmarkStart w:id="73" w:name="bookmark114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3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五）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年末结转和结余:</w:t>
      </w:r>
      <w:r>
        <w:rPr>
          <w:color w:val="000000"/>
          <w:spacing w:val="0"/>
          <w:w w:val="100"/>
          <w:position w:val="0"/>
        </w:rPr>
        <w:t>指单位按有关规定结转到下年或以 后年度继续使用的资金，或项目已完成等产生的结余资金。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0"/>
        </w:tabs>
        <w:bidi w:val="0"/>
        <w:spacing w:before="0" w:after="0" w:line="562" w:lineRule="exact"/>
        <w:ind w:left="1080" w:right="0" w:firstLine="640"/>
        <w:jc w:val="left"/>
      </w:pPr>
      <w:bookmarkStart w:id="74" w:name="bookmark115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4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六）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基本支出：</w:t>
      </w:r>
      <w:r>
        <w:rPr>
          <w:color w:val="000000"/>
          <w:spacing w:val="0"/>
          <w:w w:val="100"/>
          <w:position w:val="0"/>
        </w:rPr>
        <w:t>填列单位为保障机构正常运转、完成日常 工作任务而发生的各项支出。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34"/>
        </w:tabs>
        <w:bidi w:val="0"/>
        <w:spacing w:before="0" w:after="0" w:line="533" w:lineRule="exact"/>
        <w:ind w:left="1080" w:right="0" w:firstLine="640"/>
        <w:jc w:val="left"/>
      </w:pPr>
      <w:bookmarkStart w:id="75" w:name="bookmark116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</w:t>
      </w:r>
      <w:bookmarkEnd w:id="75"/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七）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ab/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项目支出：</w:t>
      </w:r>
      <w:r>
        <w:rPr>
          <w:color w:val="000000"/>
          <w:spacing w:val="0"/>
          <w:w w:val="100"/>
          <w:position w:val="0"/>
        </w:rPr>
        <w:t>填列单位为完成特定的行政工作任务或事 业发展目标，在基本支出之外发生的各项支出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1080" w:right="0" w:firstLine="640"/>
        <w:jc w:val="left"/>
        <w:sectPr>
          <w:headerReference r:id="rId11" w:type="default"/>
          <w:footerReference r:id="rId12" w:type="default"/>
          <w:footnotePr>
            <w:numFmt w:val="decimal"/>
          </w:footnotePr>
          <w:pgSz w:w="11910" w:h="18101"/>
          <w:pgMar w:top="2782" w:right="1023" w:bottom="2782" w:left="500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（八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  <w:lang w:val="zh-CN" w:eastAsia="zh-CN" w:bidi="zh-CN"/>
        </w:rPr>
        <w:t>广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三公"经费:</w:t>
      </w:r>
      <w:r>
        <w:rPr>
          <w:color w:val="000000"/>
          <w:spacing w:val="0"/>
          <w:w w:val="100"/>
          <w:position w:val="0"/>
        </w:rPr>
        <w:t>指部门用财政拨款安排的因公出国（境） 费、公务用车购置及运行费和公务接待费。其中，因公出国（境）费 反映单位公务出国（境）的国际旅费、国外城市间交通费、住宿 费、伙食费、培训费、公杂费等支出；公务用车购置及运行费反映 单位公务用车购置支出（含车辆购置税）及租用费、燃料费、维修 费、过路过桥费、保险费、安全奖励费用等支出；公务接待费反映 单位按规定开支的各类公务接待（含外宾接待）支出。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00" w:line="530" w:lineRule="exact"/>
        <w:ind w:left="1080" w:right="0" w:firstLine="640"/>
        <w:jc w:val="left"/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（九）其他交通费用:</w:t>
      </w:r>
      <w:r>
        <w:rPr>
          <w:color w:val="000000"/>
          <w:spacing w:val="0"/>
          <w:w w:val="100"/>
          <w:position w:val="0"/>
        </w:rPr>
        <w:t>填列单位除公务用车运行维护费以外 的其他交通费用。如公务交通补贴、租车费用、出租车费用、飞 机、船舶等的燃料费、维修费、保险费等。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00" w:line="547" w:lineRule="exact"/>
        <w:ind w:left="1080" w:right="0" w:firstLine="640"/>
        <w:jc w:val="left"/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（十）机关运行经费:</w:t>
      </w:r>
      <w:r>
        <w:rPr>
          <w:color w:val="000000"/>
          <w:spacing w:val="0"/>
          <w:w w:val="100"/>
          <w:position w:val="0"/>
        </w:rPr>
        <w:t>指为保障行政单位（包括参照公务员 法管理的事业单位）运行用于购买货物和服务的各项资金，包括 办公及印刷费、邮电费、差旅费、会议费、福利费、日常维修费、专用 材料以及一般设备购置费、办公用房水电费、办公用房取暖费、办公 用房物业管理费、公务用车运行维护费以及其他费用。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960" w:line="526" w:lineRule="exact"/>
        <w:ind w:left="1080" w:right="0" w:firstLine="640"/>
        <w:jc w:val="left"/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（十一）经费形式:</w:t>
      </w:r>
      <w:r>
        <w:rPr>
          <w:color w:val="000000"/>
          <w:spacing w:val="0"/>
          <w:w w:val="100"/>
          <w:position w:val="0"/>
        </w:rPr>
        <w:t>按照经费来源，可分为财政拨款、财政 性资金基本保证、财政性资金定额或定项补助、财政性资金零补助 四类。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宋体" w:hAnsi="宋体" w:eastAsia="宋体" w:cs="宋体"/>
          <w:spacing w:val="0"/>
          <w:w w:val="100"/>
          <w:position w:val="0"/>
          <w:sz w:val="74"/>
          <w:szCs w:val="74"/>
          <w:lang w:val="zh-TW" w:eastAsia="zh-TW" w:bidi="zh-TW"/>
        </w:rPr>
        <w:t>金舟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PDF</w:t>
      </w:r>
      <w:r>
        <w:rPr>
          <w:rFonts w:ascii="宋体" w:hAnsi="宋体" w:eastAsia="宋体" w:cs="宋体"/>
          <w:spacing w:val="0"/>
          <w:w w:val="100"/>
          <w:position w:val="0"/>
          <w:sz w:val="74"/>
          <w:szCs w:val="74"/>
          <w:lang w:val="zh-TW" w:eastAsia="zh-TW" w:bidi="zh-TW"/>
        </w:rPr>
        <w:t>编辑器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4.0.2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80" w:firstLine="0"/>
        <w:jc w:val="center"/>
        <w:sectPr>
          <w:headerReference r:id="rId14" w:type="first"/>
          <w:footerReference r:id="rId16" w:type="first"/>
          <w:headerReference r:id="rId13" w:type="default"/>
          <w:footerReference r:id="rId15" w:type="default"/>
          <w:footnotePr>
            <w:numFmt w:val="decimal"/>
          </w:footnotePr>
          <w:pgSz w:w="11910" w:h="18101"/>
          <w:pgMar w:top="1179" w:right="1023" w:bottom="2840" w:left="500" w:header="0" w:footer="3" w:gutter="0"/>
          <w:cols w:space="720" w:num="1"/>
          <w:titlePg/>
          <w:rtlGutter w:val="0"/>
          <w:docGrid w:linePitch="360" w:charSpace="0"/>
        </w:sectPr>
      </w:pPr>
      <w:r>
        <w:fldChar w:fldCharType="begin"/>
      </w:r>
      <w:r>
        <w:instrText xml:space="preserve">HYPERLINK "http://www.callmysoft.com/"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https://www.callmysoft.com/</w:t>
      </w:r>
      <w: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宋体" w:hAnsi="宋体" w:eastAsia="宋体" w:cs="宋体"/>
          <w:spacing w:val="0"/>
          <w:w w:val="100"/>
          <w:position w:val="0"/>
          <w:sz w:val="74"/>
          <w:szCs w:val="74"/>
          <w:lang w:val="zh-TW" w:eastAsia="zh-TW" w:bidi="zh-TW"/>
        </w:rPr>
        <w:t>金舟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PDF</w:t>
      </w:r>
      <w:r>
        <w:rPr>
          <w:rFonts w:ascii="宋体" w:hAnsi="宋体" w:eastAsia="宋体" w:cs="宋体"/>
          <w:spacing w:val="0"/>
          <w:w w:val="100"/>
          <w:position w:val="0"/>
          <w:sz w:val="74"/>
          <w:szCs w:val="74"/>
          <w:lang w:val="zh-TW" w:eastAsia="zh-TW" w:bidi="zh-TW"/>
        </w:rPr>
        <w:t>编辑器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4.0.2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r>
        <w:fldChar w:fldCharType="begin"/>
      </w:r>
      <w:r>
        <w:instrText xml:space="preserve">HYPERLINK "http://www.callmysoft.com/"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https://www.callmysoft.com/</w:t>
      </w:r>
      <w:r>
        <w:fldChar w:fldCharType="end"/>
      </w:r>
    </w:p>
    <w:sectPr>
      <w:headerReference r:id="rId17" w:type="default"/>
      <w:footerReference r:id="rId18" w:type="default"/>
      <w:footnotePr>
        <w:numFmt w:val="decimal"/>
      </w:footnotePr>
      <w:pgSz w:w="11910" w:h="18101"/>
      <w:pgMar w:top="15623" w:right="1026" w:bottom="529" w:left="501" w:header="15195" w:footer="10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9690735</wp:posOffset>
              </wp:positionV>
              <wp:extent cx="5760720" cy="10026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002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78"/>
                              <w:szCs w:val="7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808080"/>
                              <w:spacing w:val="0"/>
                              <w:w w:val="100"/>
                              <w:position w:val="0"/>
                              <w:sz w:val="74"/>
                              <w:szCs w:val="74"/>
                              <w:lang w:val="zh-TW" w:eastAsia="zh-TW" w:bidi="zh-TW"/>
                            </w:rPr>
                            <w:t>金舟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08080"/>
                              <w:spacing w:val="0"/>
                              <w:w w:val="100"/>
                              <w:position w:val="0"/>
                              <w:sz w:val="78"/>
                              <w:szCs w:val="78"/>
                              <w:lang w:val="en-US" w:eastAsia="en-US" w:bidi="en-US"/>
                            </w:rPr>
                            <w:t>PDF</w:t>
                          </w:r>
                          <w:r>
                            <w:rPr>
                              <w:rFonts w:ascii="宋体" w:hAnsi="宋体" w:eastAsia="宋体" w:cs="宋体"/>
                              <w:color w:val="808080"/>
                              <w:spacing w:val="0"/>
                              <w:w w:val="100"/>
                              <w:position w:val="0"/>
                              <w:sz w:val="74"/>
                              <w:szCs w:val="74"/>
                              <w:lang w:val="zh-TW" w:eastAsia="zh-TW" w:bidi="zh-TW"/>
                            </w:rPr>
                            <w:t>编辑器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08080"/>
                              <w:spacing w:val="0"/>
                              <w:w w:val="100"/>
                              <w:position w:val="0"/>
                              <w:sz w:val="78"/>
                              <w:szCs w:val="78"/>
                              <w:lang w:val="en-US" w:eastAsia="en-US" w:bidi="en-US"/>
                            </w:rPr>
                            <w:t>4.0.2</w:t>
                          </w:r>
                        </w:p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78"/>
                              <w:szCs w:val="7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808080"/>
                              <w:spacing w:val="0"/>
                              <w:w w:val="100"/>
                              <w:position w:val="0"/>
                              <w:sz w:val="78"/>
                              <w:szCs w:val="78"/>
                              <w:lang w:val="en-US" w:eastAsia="en-US" w:bidi="en-US"/>
                            </w:rPr>
                            <w:t>https://www.callmysoft.com/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82.1pt;margin-top:763.05pt;height:78.95pt;width:45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KNn5nX&#10;AAAADgEAAA8AAAAAAAAAAQAgAAAAIgAAAGRycy9kb3ducmV2LnhtbFBLAQIUABQAAAAIAIdO4kD0&#10;AtAKrwEAAHM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8"/>
                        <w:szCs w:val="78"/>
                      </w:rPr>
                    </w:pPr>
                    <w:r>
                      <w:rPr>
                        <w:rFonts w:ascii="宋体" w:hAnsi="宋体" w:eastAsia="宋体" w:cs="宋体"/>
                        <w:color w:val="808080"/>
                        <w:spacing w:val="0"/>
                        <w:w w:val="100"/>
                        <w:position w:val="0"/>
                        <w:sz w:val="74"/>
                        <w:szCs w:val="74"/>
                        <w:lang w:val="zh-TW" w:eastAsia="zh-TW" w:bidi="zh-TW"/>
                      </w:rPr>
                      <w:t>金舟</w:t>
                    </w:r>
                    <w:r>
                      <w:rPr>
                        <w:rFonts w:ascii="Times New Roman" w:hAnsi="Times New Roman" w:eastAsia="Times New Roman" w:cs="Times New Roman"/>
                        <w:color w:val="808080"/>
                        <w:spacing w:val="0"/>
                        <w:w w:val="100"/>
                        <w:position w:val="0"/>
                        <w:sz w:val="78"/>
                        <w:szCs w:val="78"/>
                        <w:lang w:val="en-US" w:eastAsia="en-US" w:bidi="en-US"/>
                      </w:rPr>
                      <w:t>PDF</w:t>
                    </w:r>
                    <w:r>
                      <w:rPr>
                        <w:rFonts w:ascii="宋体" w:hAnsi="宋体" w:eastAsia="宋体" w:cs="宋体"/>
                        <w:color w:val="808080"/>
                        <w:spacing w:val="0"/>
                        <w:w w:val="100"/>
                        <w:position w:val="0"/>
                        <w:sz w:val="74"/>
                        <w:szCs w:val="74"/>
                        <w:lang w:val="zh-TW" w:eastAsia="zh-TW" w:bidi="zh-TW"/>
                      </w:rPr>
                      <w:t>编辑器</w:t>
                    </w:r>
                    <w:r>
                      <w:rPr>
                        <w:rFonts w:ascii="Times New Roman" w:hAnsi="Times New Roman" w:eastAsia="Times New Roman" w:cs="Times New Roman"/>
                        <w:color w:val="808080"/>
                        <w:spacing w:val="0"/>
                        <w:w w:val="100"/>
                        <w:position w:val="0"/>
                        <w:sz w:val="78"/>
                        <w:szCs w:val="78"/>
                        <w:lang w:val="en-US" w:eastAsia="en-US" w:bidi="en-US"/>
                      </w:rPr>
                      <w:t>4.0.2</w:t>
                    </w:r>
                  </w:p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8"/>
                        <w:szCs w:val="7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808080"/>
                        <w:spacing w:val="0"/>
                        <w:w w:val="100"/>
                        <w:position w:val="0"/>
                        <w:sz w:val="78"/>
                        <w:szCs w:val="78"/>
                        <w:lang w:val="en-US" w:eastAsia="en-US" w:bidi="en-US"/>
                      </w:rPr>
                      <w:t>https://www.callmysoft.com/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160020</wp:posOffset>
              </wp:positionV>
              <wp:extent cx="2749550" cy="1917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CEEBD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2018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CEEBD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年度部门决算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CEEBD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■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CEEBD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名词解释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7.95pt;margin-top:12.6pt;height:15.1pt;width:216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MTKfbUAAAA&#10;CAEAAA8AAAAAAAAAAQAgAAAAIgAAAGRycy9kb3ducmV2LnhtbFBLAQIUABQAAAAIAIdO4kB3ST9F&#10;rwEAAHIDAAAOAAAAAAAAAAEAIAAAACM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CEEBD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2018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CEEBD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年度部门决算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CEEBD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■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CEEBD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名词解释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D9411"/>
    <w:multiLevelType w:val="singleLevel"/>
    <w:tmpl w:val="A6FD9411"/>
    <w:lvl w:ilvl="0" w:tentative="0">
      <w:start w:val="3"/>
      <w:numFmt w:val="chineseCounting"/>
      <w:suff w:val="nothing"/>
      <w:lvlText w:val="（%1）"/>
      <w:lvlJc w:val="left"/>
      <w:pPr>
        <w:ind w:left="150" w:leftChars="0" w:firstLine="0" w:firstLineChars="0"/>
      </w:pPr>
      <w:rPr>
        <w:rFonts w:hint="eastAsia"/>
      </w:rPr>
    </w:lvl>
  </w:abstractNum>
  <w:abstractNum w:abstractNumId="1">
    <w:nsid w:val="4EC094AD"/>
    <w:multiLevelType w:val="singleLevel"/>
    <w:tmpl w:val="4EC094AD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E3MzdkNjM4ODgwYzA2ODU2MjM2OTJlMmM0YWU3ZDAifQ=="/>
  </w:docVars>
  <w:rsids>
    <w:rsidRoot w:val="00000000"/>
    <w:rsid w:val="011E003D"/>
    <w:rsid w:val="0C1E0DCB"/>
    <w:rsid w:val="282E6646"/>
    <w:rsid w:val="28E750A8"/>
    <w:rsid w:val="49A1177C"/>
    <w:rsid w:val="6B873957"/>
    <w:rsid w:val="6F6867AB"/>
    <w:rsid w:val="76963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FCEEBD"/>
      <w:sz w:val="94"/>
      <w:szCs w:val="9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1260" w:after="3690"/>
      <w:jc w:val="center"/>
      <w:outlineLvl w:val="0"/>
    </w:pPr>
    <w:rPr>
      <w:rFonts w:ascii="宋体" w:hAnsi="宋体" w:eastAsia="宋体" w:cs="宋体"/>
      <w:color w:val="FCEEBD"/>
      <w:sz w:val="94"/>
      <w:szCs w:val="94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5"/>
    <w:link w:val="9"/>
    <w:qFormat/>
    <w:uiPriority w:val="0"/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  <w:spacing w:after="720"/>
      <w:jc w:val="center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color w:val="808080"/>
      <w:sz w:val="78"/>
      <w:szCs w:val="78"/>
      <w:u w:val="none"/>
      <w:shd w:val="clear" w:color="auto" w:fill="auto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360"/>
      <w:jc w:val="center"/>
    </w:pPr>
    <w:rPr>
      <w:color w:val="808080"/>
      <w:sz w:val="78"/>
      <w:szCs w:val="78"/>
      <w:u w:val="none"/>
      <w:shd w:val="clear" w:color="auto" w:fill="auto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after="3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5"/>
    <w:link w:val="15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widowControl w:val="0"/>
      <w:shd w:val="clear" w:color="auto" w:fill="auto"/>
      <w:spacing w:after="1000"/>
      <w:jc w:val="center"/>
      <w:outlineLvl w:val="2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6">
    <w:name w:val="Heading #2|1_"/>
    <w:basedOn w:val="5"/>
    <w:link w:val="17"/>
    <w:qFormat/>
    <w:uiPriority w:val="0"/>
    <w:rPr>
      <w:color w:val="808080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1"/>
    <w:link w:val="16"/>
    <w:qFormat/>
    <w:uiPriority w:val="0"/>
    <w:pPr>
      <w:widowControl w:val="0"/>
      <w:shd w:val="clear" w:color="auto" w:fill="auto"/>
      <w:spacing w:after="360"/>
      <w:ind w:firstLine="460"/>
      <w:outlineLvl w:val="1"/>
    </w:pPr>
    <w:rPr>
      <w:color w:val="808080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5"/>
    <w:link w:val="1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after="3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0">
    <w:name w:val="Body text|4_"/>
    <w:basedOn w:val="5"/>
    <w:link w:val="21"/>
    <w:qFormat/>
    <w:uiPriority w:val="0"/>
    <w:rPr>
      <w:rFonts w:ascii="宋体" w:hAnsi="宋体" w:eastAsia="宋体" w:cs="宋体"/>
      <w:color w:val="FCEEBD"/>
      <w:sz w:val="94"/>
      <w:szCs w:val="94"/>
      <w:u w:val="none"/>
      <w:shd w:val="clear" w:color="auto" w:fill="auto"/>
      <w:lang w:val="zh-TW" w:eastAsia="zh-TW" w:bidi="zh-TW"/>
    </w:rPr>
  </w:style>
  <w:style w:type="paragraph" w:customStyle="1" w:styleId="21">
    <w:name w:val="Body text|4"/>
    <w:basedOn w:val="1"/>
    <w:link w:val="20"/>
    <w:qFormat/>
    <w:uiPriority w:val="0"/>
    <w:pPr>
      <w:widowControl w:val="0"/>
      <w:shd w:val="clear" w:color="auto" w:fill="auto"/>
      <w:spacing w:before="2170" w:after="3070"/>
      <w:ind w:firstLine="210"/>
    </w:pPr>
    <w:rPr>
      <w:rFonts w:ascii="宋体" w:hAnsi="宋体" w:eastAsia="宋体" w:cs="宋体"/>
      <w:color w:val="FCEEBD"/>
      <w:sz w:val="94"/>
      <w:szCs w:val="94"/>
      <w:u w:val="none"/>
      <w:shd w:val="clear" w:color="auto" w:fill="auto"/>
      <w:lang w:val="zh-TW" w:eastAsia="zh-TW" w:bidi="zh-TW"/>
    </w:rPr>
  </w:style>
  <w:style w:type="character" w:customStyle="1" w:styleId="22">
    <w:name w:val="Header or footer|2_"/>
    <w:basedOn w:val="5"/>
    <w:link w:val="2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23">
    <w:name w:val="Header or footer|2"/>
    <w:basedOn w:val="1"/>
    <w:link w:val="2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4">
    <w:name w:val="Table caption|1_"/>
    <w:basedOn w:val="5"/>
    <w:link w:val="2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6">
    <w:name w:val="Body text|3_"/>
    <w:basedOn w:val="5"/>
    <w:link w:val="2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Body text|3"/>
    <w:basedOn w:val="1"/>
    <w:link w:val="26"/>
    <w:qFormat/>
    <w:uiPriority w:val="0"/>
    <w:pPr>
      <w:widowControl w:val="0"/>
      <w:shd w:val="clear" w:color="auto" w:fill="auto"/>
      <w:spacing w:after="140"/>
      <w:ind w:right="260"/>
      <w:jc w:val="righ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8">
    <w:name w:val="Header or footer|1_"/>
    <w:basedOn w:val="5"/>
    <w:link w:val="29"/>
    <w:qFormat/>
    <w:uiPriority w:val="0"/>
    <w:rPr>
      <w:color w:val="808080"/>
      <w:sz w:val="78"/>
      <w:szCs w:val="78"/>
      <w:u w:val="none"/>
      <w:shd w:val="clear" w:color="auto" w:fill="auto"/>
    </w:rPr>
  </w:style>
  <w:style w:type="paragraph" w:customStyle="1" w:styleId="29">
    <w:name w:val="Header or footer|1"/>
    <w:basedOn w:val="1"/>
    <w:link w:val="28"/>
    <w:qFormat/>
    <w:uiPriority w:val="0"/>
    <w:pPr>
      <w:widowControl w:val="0"/>
      <w:shd w:val="clear" w:color="auto" w:fill="auto"/>
      <w:spacing w:line="230" w:lineRule="auto"/>
      <w:jc w:val="center"/>
    </w:pPr>
    <w:rPr>
      <w:color w:val="808080"/>
      <w:sz w:val="78"/>
      <w:szCs w:val="7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2021-05-22T04:11:00Z</dcterms:created>
  <dc:creator>User</dc:creator>
  <cp:lastModifiedBy>Administrator</cp:lastModifiedBy>
  <dcterms:modified xsi:type="dcterms:W3CDTF">2023-12-06T08:23:44Z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DFF62824DC1746BC9941848B8EE6515E</vt:lpwstr>
  </property>
</Properties>
</file>