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7620</wp:posOffset>
            </wp:positionH>
            <wp:positionV relativeFrom="page">
              <wp:posOffset>0</wp:posOffset>
            </wp:positionV>
            <wp:extent cx="7552690" cy="106921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4"/>
        <w:rPr>
          <w:rFonts w:ascii="Times New Roman"/>
          <w:sz w:val="23"/>
        </w:rPr>
      </w:pPr>
    </w:p>
    <w:p>
      <w:pPr>
        <w:spacing w:before="0" w:line="1184" w:lineRule="exact"/>
        <w:ind w:left="11" w:right="0" w:firstLine="0"/>
        <w:jc w:val="center"/>
        <w:rPr>
          <w:rFonts w:hint="eastAsia" w:ascii="黑体" w:eastAsia="黑体"/>
          <w:sz w:val="96"/>
        </w:rPr>
      </w:pPr>
      <w:bookmarkStart w:id="0" w:name="馆陶县发展改革局 2018 年"/>
      <w:bookmarkEnd w:id="0"/>
      <w:r>
        <w:rPr>
          <w:rFonts w:hint="eastAsia" w:ascii="黑体" w:eastAsia="黑体"/>
          <w:color w:val="FBEDBC"/>
          <w:spacing w:val="-29"/>
          <w:sz w:val="96"/>
        </w:rPr>
        <w:t xml:space="preserve">馆陶县发展改革局 </w:t>
      </w:r>
      <w:r>
        <w:rPr>
          <w:rFonts w:hint="eastAsia" w:ascii="黑体" w:eastAsia="黑体"/>
          <w:color w:val="FBEDBC"/>
          <w:sz w:val="96"/>
        </w:rPr>
        <w:t>2018</w:t>
      </w:r>
      <w:r>
        <w:rPr>
          <w:rFonts w:hint="eastAsia" w:ascii="黑体" w:eastAsia="黑体"/>
          <w:color w:val="FBEDBC"/>
          <w:spacing w:val="-60"/>
          <w:sz w:val="96"/>
        </w:rPr>
        <w:t xml:space="preserve"> 年</w:t>
      </w:r>
    </w:p>
    <w:p>
      <w:pPr>
        <w:spacing w:before="0" w:line="1219" w:lineRule="exact"/>
        <w:ind w:left="101" w:right="209" w:firstLine="0"/>
        <w:jc w:val="center"/>
        <w:rPr>
          <w:rFonts w:hint="eastAsia" w:ascii="黑体" w:eastAsia="黑体"/>
          <w:sz w:val="96"/>
        </w:rPr>
      </w:pPr>
      <w:r>
        <w:rPr>
          <w:rFonts w:hint="eastAsia" w:ascii="黑体" w:eastAsia="黑体"/>
          <w:color w:val="FBEDBC"/>
          <w:sz w:val="96"/>
        </w:rPr>
        <w:t>度部门决算</w:t>
      </w:r>
    </w:p>
    <w:p>
      <w:pPr>
        <w:pStyle w:val="4"/>
        <w:rPr>
          <w:rFonts w:ascii="黑体"/>
          <w:sz w:val="96"/>
        </w:rPr>
      </w:pPr>
    </w:p>
    <w:p>
      <w:pPr>
        <w:pStyle w:val="4"/>
        <w:rPr>
          <w:rFonts w:ascii="黑体"/>
          <w:sz w:val="96"/>
        </w:rPr>
      </w:pPr>
    </w:p>
    <w:p>
      <w:pPr>
        <w:pStyle w:val="4"/>
        <w:rPr>
          <w:rFonts w:ascii="黑体"/>
          <w:sz w:val="96"/>
        </w:rPr>
      </w:pPr>
    </w:p>
    <w:p>
      <w:pPr>
        <w:pStyle w:val="4"/>
        <w:rPr>
          <w:rFonts w:ascii="黑体"/>
          <w:sz w:val="96"/>
        </w:rPr>
      </w:pPr>
    </w:p>
    <w:p>
      <w:pPr>
        <w:pStyle w:val="4"/>
        <w:spacing w:before="5"/>
        <w:rPr>
          <w:rFonts w:ascii="黑体"/>
          <w:sz w:val="131"/>
        </w:rPr>
      </w:pPr>
    </w:p>
    <w:p>
      <w:pPr>
        <w:spacing w:before="1"/>
        <w:ind w:left="101" w:right="513" w:firstLine="0"/>
        <w:jc w:val="center"/>
        <w:rPr>
          <w:rFonts w:hint="eastAsia" w:ascii="楷体" w:eastAsia="楷体"/>
          <w:b/>
          <w:sz w:val="40"/>
        </w:rPr>
      </w:pPr>
      <w:r>
        <w:rPr>
          <w:rFonts w:hint="eastAsia" w:ascii="楷体" w:eastAsia="楷体"/>
          <w:b/>
          <w:sz w:val="40"/>
        </w:rPr>
        <w:t>二〇一九年十二月</w:t>
      </w:r>
    </w:p>
    <w:p>
      <w:pPr>
        <w:spacing w:after="0"/>
        <w:jc w:val="center"/>
        <w:rPr>
          <w:rFonts w:hint="eastAsia" w:ascii="楷体" w:eastAsia="楷体"/>
          <w:sz w:val="40"/>
        </w:rPr>
        <w:sectPr>
          <w:type w:val="continuous"/>
          <w:pgSz w:w="11910" w:h="16840"/>
          <w:pgMar w:top="1600" w:right="280" w:bottom="280" w:left="260" w:header="720" w:footer="720" w:gutter="0"/>
          <w:cols w:space="720" w:num="1"/>
        </w:sectPr>
      </w:pPr>
    </w:p>
    <w:p>
      <w:pPr>
        <w:pStyle w:val="4"/>
        <w:rPr>
          <w:rFonts w:ascii="楷体"/>
          <w:b/>
          <w:sz w:val="20"/>
        </w:rPr>
      </w:pPr>
    </w:p>
    <w:p>
      <w:pPr>
        <w:pStyle w:val="4"/>
        <w:rPr>
          <w:rFonts w:ascii="楷体"/>
          <w:b/>
          <w:sz w:val="20"/>
        </w:rPr>
      </w:pPr>
    </w:p>
    <w:p>
      <w:pPr>
        <w:pStyle w:val="4"/>
        <w:rPr>
          <w:rFonts w:ascii="楷体"/>
          <w:b/>
          <w:sz w:val="20"/>
        </w:rPr>
      </w:pPr>
    </w:p>
    <w:p>
      <w:pPr>
        <w:pStyle w:val="4"/>
        <w:rPr>
          <w:rFonts w:ascii="楷体"/>
          <w:b/>
          <w:sz w:val="20"/>
        </w:rPr>
      </w:pPr>
    </w:p>
    <w:p>
      <w:pPr>
        <w:pStyle w:val="4"/>
        <w:rPr>
          <w:rFonts w:ascii="楷体"/>
          <w:b/>
          <w:sz w:val="20"/>
        </w:rPr>
      </w:pPr>
    </w:p>
    <w:p>
      <w:pPr>
        <w:pStyle w:val="4"/>
        <w:rPr>
          <w:rFonts w:ascii="楷体"/>
          <w:b/>
          <w:sz w:val="20"/>
        </w:rPr>
      </w:pPr>
    </w:p>
    <w:p>
      <w:pPr>
        <w:pStyle w:val="4"/>
        <w:rPr>
          <w:rFonts w:ascii="楷体"/>
          <w:b/>
          <w:sz w:val="20"/>
        </w:rPr>
      </w:pPr>
    </w:p>
    <w:p>
      <w:pPr>
        <w:pStyle w:val="4"/>
        <w:spacing w:before="4"/>
        <w:rPr>
          <w:rFonts w:ascii="楷体"/>
          <w:b/>
          <w:sz w:val="20"/>
        </w:rPr>
      </w:pPr>
    </w:p>
    <w:p>
      <w:pPr>
        <w:tabs>
          <w:tab w:val="left" w:pos="1573"/>
        </w:tabs>
        <w:spacing w:before="33"/>
        <w:ind w:left="134" w:right="0" w:firstLine="0"/>
        <w:jc w:val="center"/>
        <w:rPr>
          <w:rFonts w:hint="eastAsia" w:ascii="黑体" w:eastAsia="黑体"/>
          <w:sz w:val="48"/>
        </w:rPr>
      </w:pPr>
      <w:r>
        <w:rPr>
          <w:rFonts w:hint="eastAsia" w:ascii="黑体" w:eastAsia="黑体"/>
          <w:sz w:val="48"/>
        </w:rPr>
        <w:t>目</w:t>
      </w:r>
      <w:r>
        <w:rPr>
          <w:rFonts w:hint="eastAsia" w:ascii="黑体" w:eastAsia="黑体"/>
          <w:sz w:val="48"/>
        </w:rPr>
        <w:tab/>
      </w:r>
      <w:r>
        <w:rPr>
          <w:rFonts w:hint="eastAsia" w:ascii="黑体" w:eastAsia="黑体"/>
          <w:sz w:val="48"/>
        </w:rPr>
        <w:t>录</w:t>
      </w:r>
    </w:p>
    <w:p>
      <w:pPr>
        <w:pStyle w:val="4"/>
        <w:rPr>
          <w:rFonts w:ascii="黑体"/>
          <w:sz w:val="48"/>
        </w:rPr>
      </w:pPr>
    </w:p>
    <w:p>
      <w:pPr>
        <w:pStyle w:val="4"/>
        <w:tabs>
          <w:tab w:val="left" w:pos="3728"/>
        </w:tabs>
        <w:spacing w:before="353"/>
        <w:ind w:left="1967"/>
        <w:rPr>
          <w:rFonts w:hint="eastAsia" w:ascii="黑体" w:eastAsia="黑体"/>
        </w:rPr>
      </w:pPr>
      <w:r>
        <w:rPr>
          <w:rFonts w:hint="eastAsia" w:ascii="黑体" w:eastAsia="黑体"/>
        </w:rPr>
        <w:t>第一部分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部门概况</w:t>
      </w:r>
    </w:p>
    <w:p>
      <w:pPr>
        <w:pStyle w:val="4"/>
        <w:spacing w:before="3"/>
        <w:rPr>
          <w:rFonts w:ascii="黑体"/>
          <w:sz w:val="26"/>
        </w:rPr>
      </w:pPr>
    </w:p>
    <w:p>
      <w:pPr>
        <w:pStyle w:val="4"/>
        <w:spacing w:before="1" w:line="436" w:lineRule="auto"/>
        <w:ind w:left="2600" w:right="6847"/>
      </w:pPr>
      <w:r>
        <w:t>一、部门职责二、机构设置</w:t>
      </w:r>
    </w:p>
    <w:p>
      <w:pPr>
        <w:pStyle w:val="4"/>
        <w:tabs>
          <w:tab w:val="left" w:pos="3728"/>
        </w:tabs>
        <w:spacing w:before="7"/>
        <w:ind w:left="1967"/>
        <w:rPr>
          <w:rFonts w:hint="eastAsia" w:ascii="黑体" w:eastAsia="黑体"/>
        </w:rPr>
      </w:pPr>
      <w:r>
        <w:rPr>
          <w:rFonts w:hint="eastAsia" w:ascii="黑体" w:eastAsia="黑体"/>
        </w:rPr>
        <w:t>第二部分</w:t>
      </w:r>
      <w:r>
        <w:rPr>
          <w:rFonts w:hint="eastAsia" w:ascii="黑体" w:eastAsia="黑体"/>
        </w:rPr>
        <w:tab/>
      </w:r>
      <w:r>
        <w:rPr>
          <w:rFonts w:ascii="Times New Roman" w:eastAsia="Times New Roman"/>
        </w:rPr>
        <w:t>2018</w:t>
      </w:r>
      <w:r>
        <w:rPr>
          <w:rFonts w:ascii="Times New Roman" w:eastAsia="Times New Roman"/>
          <w:spacing w:val="-3"/>
        </w:rPr>
        <w:t xml:space="preserve"> </w:t>
      </w:r>
      <w:r>
        <w:rPr>
          <w:rFonts w:hint="eastAsia" w:ascii="黑体" w:eastAsia="黑体"/>
        </w:rPr>
        <w:t>年度部门决算报表</w:t>
      </w:r>
    </w:p>
    <w:p>
      <w:pPr>
        <w:pStyle w:val="4"/>
        <w:spacing w:before="3"/>
        <w:rPr>
          <w:rFonts w:ascii="黑体"/>
          <w:sz w:val="26"/>
        </w:rPr>
      </w:pPr>
    </w:p>
    <w:p>
      <w:pPr>
        <w:pStyle w:val="4"/>
        <w:spacing w:line="436" w:lineRule="auto"/>
        <w:ind w:left="2608" w:right="5531"/>
      </w:pPr>
      <w:r>
        <w:t>一、收入支出决算总表二、收入决算表</w:t>
      </w:r>
    </w:p>
    <w:p>
      <w:pPr>
        <w:pStyle w:val="4"/>
        <w:spacing w:before="8"/>
        <w:ind w:left="2608"/>
      </w:pPr>
      <w:r>
        <w:t>三、支出决算表</w:t>
      </w:r>
    </w:p>
    <w:p>
      <w:pPr>
        <w:pStyle w:val="4"/>
        <w:spacing w:before="3"/>
        <w:rPr>
          <w:sz w:val="26"/>
        </w:rPr>
      </w:pPr>
    </w:p>
    <w:p>
      <w:pPr>
        <w:pStyle w:val="4"/>
        <w:ind w:left="2608"/>
      </w:pPr>
      <w:r>
        <w:t>四、财政拨款收入支出决算总表</w:t>
      </w:r>
    </w:p>
    <w:p>
      <w:pPr>
        <w:pStyle w:val="4"/>
        <w:spacing w:before="6"/>
        <w:rPr>
          <w:sz w:val="26"/>
        </w:rPr>
      </w:pPr>
    </w:p>
    <w:p>
      <w:pPr>
        <w:pStyle w:val="4"/>
        <w:ind w:left="2608"/>
      </w:pPr>
      <w:r>
        <w:t>五、一般公共预算财政拨款支出决算表</w:t>
      </w:r>
    </w:p>
    <w:p>
      <w:pPr>
        <w:pStyle w:val="4"/>
        <w:spacing w:before="8"/>
        <w:rPr>
          <w:sz w:val="26"/>
        </w:rPr>
      </w:pPr>
    </w:p>
    <w:p>
      <w:pPr>
        <w:pStyle w:val="4"/>
        <w:ind w:left="2608"/>
      </w:pPr>
      <w:r>
        <w:t>六、一般公共预算财政拨款基本支出决算表</w:t>
      </w:r>
    </w:p>
    <w:p>
      <w:pPr>
        <w:pStyle w:val="4"/>
        <w:spacing w:before="6"/>
        <w:rPr>
          <w:sz w:val="26"/>
        </w:rPr>
      </w:pPr>
    </w:p>
    <w:p>
      <w:pPr>
        <w:pStyle w:val="4"/>
        <w:spacing w:line="436" w:lineRule="auto"/>
        <w:ind w:left="2608" w:right="1757"/>
      </w:pPr>
      <w:r>
        <w:t>七、一般公共预算财政拨款</w:t>
      </w:r>
      <w:r>
        <w:rPr>
          <w:rFonts w:ascii="Times New Roman" w:hAnsi="Times New Roman" w:eastAsia="Times New Roman"/>
        </w:rPr>
        <w:t>“</w:t>
      </w:r>
      <w:r>
        <w:t>三公</w:t>
      </w:r>
      <w:r>
        <w:rPr>
          <w:rFonts w:ascii="Times New Roman" w:hAnsi="Times New Roman" w:eastAsia="Times New Roman"/>
        </w:rPr>
        <w:t>”</w:t>
      </w:r>
      <w:r>
        <w:t>经费支出决算表八、政府性基金预算财政拨款收入支出决算表</w:t>
      </w:r>
    </w:p>
    <w:p>
      <w:pPr>
        <w:pStyle w:val="4"/>
        <w:spacing w:before="5" w:line="439" w:lineRule="auto"/>
        <w:ind w:left="2608" w:right="2681"/>
      </w:pPr>
      <w:r>
        <w:t>九、国有资本经营预算财政拨款支出决算表十、政府采购情况表</w:t>
      </w:r>
    </w:p>
    <w:p>
      <w:pPr>
        <w:spacing w:after="0" w:line="439" w:lineRule="auto"/>
        <w:sectPr>
          <w:headerReference r:id="rId5" w:type="default"/>
          <w:pgSz w:w="11910" w:h="16840"/>
          <w:pgMar w:top="820" w:right="280" w:bottom="280" w:left="260" w:header="620" w:footer="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24"/>
        </w:rPr>
      </w:pPr>
    </w:p>
    <w:p>
      <w:pPr>
        <w:pStyle w:val="4"/>
        <w:tabs>
          <w:tab w:val="left" w:pos="3567"/>
        </w:tabs>
        <w:spacing w:before="64"/>
        <w:ind w:left="1967"/>
        <w:rPr>
          <w:rFonts w:hint="eastAsia" w:ascii="黑体" w:eastAsia="黑体"/>
        </w:rPr>
      </w:pPr>
      <w:r>
        <w:rPr>
          <w:rFonts w:hint="eastAsia" w:ascii="黑体" w:eastAsia="黑体"/>
        </w:rPr>
        <w:t>第三部分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馆陶县发展改革局</w:t>
      </w:r>
      <w:r>
        <w:rPr>
          <w:rFonts w:hint="eastAsia" w:ascii="黑体" w:eastAsia="黑体"/>
          <w:spacing w:val="-80"/>
        </w:rPr>
        <w:t xml:space="preserve"> </w:t>
      </w:r>
      <w:r>
        <w:rPr>
          <w:rFonts w:ascii="Times New Roman" w:eastAsia="Times New Roman"/>
        </w:rPr>
        <w:t>2018</w:t>
      </w:r>
      <w:r>
        <w:rPr>
          <w:rFonts w:ascii="Times New Roman" w:eastAsia="Times New Roman"/>
          <w:spacing w:val="-3"/>
        </w:rPr>
        <w:t xml:space="preserve"> </w:t>
      </w:r>
      <w:r>
        <w:rPr>
          <w:rFonts w:hint="eastAsia" w:ascii="黑体" w:eastAsia="黑体"/>
        </w:rPr>
        <w:t>年度部门决算情况说明</w:t>
      </w:r>
    </w:p>
    <w:p>
      <w:pPr>
        <w:pStyle w:val="4"/>
        <w:spacing w:before="8"/>
        <w:rPr>
          <w:rFonts w:ascii="黑体"/>
          <w:sz w:val="26"/>
        </w:rPr>
      </w:pPr>
    </w:p>
    <w:p>
      <w:pPr>
        <w:pStyle w:val="4"/>
        <w:spacing w:line="436" w:lineRule="auto"/>
        <w:ind w:left="2608" w:right="4247"/>
      </w:pPr>
      <w:r>
        <w:t>一、收入支出决算总体情况说明二、收入决算情况说明</w:t>
      </w:r>
    </w:p>
    <w:p>
      <w:pPr>
        <w:pStyle w:val="4"/>
        <w:spacing w:before="5"/>
        <w:ind w:left="2608"/>
      </w:pPr>
      <w:r>
        <w:t>三、支出决算情况说明</w:t>
      </w:r>
    </w:p>
    <w:p>
      <w:pPr>
        <w:pStyle w:val="4"/>
        <w:spacing w:before="6"/>
        <w:rPr>
          <w:sz w:val="26"/>
        </w:rPr>
      </w:pPr>
    </w:p>
    <w:p>
      <w:pPr>
        <w:pStyle w:val="4"/>
        <w:ind w:left="2608"/>
      </w:pPr>
      <w:r>
        <w:t>四、财政拨款收入支出决算情况说明</w:t>
      </w:r>
    </w:p>
    <w:p>
      <w:pPr>
        <w:pStyle w:val="4"/>
        <w:spacing w:before="5"/>
        <w:rPr>
          <w:sz w:val="21"/>
        </w:rPr>
      </w:pPr>
    </w:p>
    <w:p>
      <w:pPr>
        <w:pStyle w:val="4"/>
        <w:spacing w:before="65"/>
        <w:ind w:left="2608"/>
      </w:pPr>
      <w:r>
        <w:t>五、一般公共预算财政拨款</w:t>
      </w:r>
      <w:r>
        <w:rPr>
          <w:rFonts w:ascii="Times New Roman" w:hAnsi="Times New Roman" w:eastAsia="Times New Roman"/>
        </w:rPr>
        <w:t>“</w:t>
      </w:r>
      <w:r>
        <w:t>三公</w:t>
      </w:r>
      <w:r>
        <w:rPr>
          <w:rFonts w:ascii="Times New Roman" w:hAnsi="Times New Roman" w:eastAsia="Times New Roman"/>
        </w:rPr>
        <w:t>”</w:t>
      </w:r>
      <w:r>
        <w:t>经费支出决算情况说</w:t>
      </w:r>
    </w:p>
    <w:p>
      <w:pPr>
        <w:pStyle w:val="4"/>
        <w:spacing w:before="175"/>
        <w:ind w:left="1967"/>
      </w:pPr>
      <w:r>
        <w:rPr>
          <w:w w:val="97"/>
        </w:rPr>
        <w:t>明</w:t>
      </w:r>
    </w:p>
    <w:p>
      <w:pPr>
        <w:pStyle w:val="4"/>
        <w:spacing w:before="1"/>
        <w:rPr>
          <w:sz w:val="22"/>
        </w:rPr>
      </w:pPr>
    </w:p>
    <w:p>
      <w:pPr>
        <w:pStyle w:val="4"/>
        <w:spacing w:before="54" w:line="436" w:lineRule="auto"/>
        <w:ind w:left="2608" w:right="5261"/>
      </w:pPr>
      <w:r>
        <w:t>六、预算绩效情况说明</w:t>
      </w:r>
      <w:r>
        <w:rPr>
          <w:spacing w:val="-4"/>
        </w:rPr>
        <w:t>七、其他重要事项的说明</w:t>
      </w:r>
    </w:p>
    <w:p>
      <w:pPr>
        <w:pStyle w:val="4"/>
        <w:tabs>
          <w:tab w:val="left" w:pos="3567"/>
        </w:tabs>
        <w:spacing w:before="8"/>
        <w:ind w:left="1967"/>
        <w:rPr>
          <w:rFonts w:hint="eastAsia" w:ascii="黑体" w:eastAsia="黑体"/>
        </w:rPr>
      </w:pPr>
      <w:r>
        <w:rPr>
          <w:rFonts w:hint="eastAsia" w:ascii="黑体" w:eastAsia="黑体"/>
        </w:rPr>
        <w:t>第四部分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名词解释</w:t>
      </w:r>
    </w:p>
    <w:p>
      <w:pPr>
        <w:spacing w:after="0"/>
        <w:rPr>
          <w:rFonts w:hint="eastAsia" w:ascii="黑体" w:eastAsia="黑体"/>
        </w:rPr>
        <w:sectPr>
          <w:headerReference r:id="rId6" w:type="default"/>
          <w:pgSz w:w="11910" w:h="16840"/>
          <w:pgMar w:top="1600" w:right="280" w:bottom="280" w:left="260" w:header="0" w:footer="0" w:gutter="0"/>
          <w:cols w:space="720" w:num="1"/>
        </w:sect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spacing w:before="2"/>
        <w:rPr>
          <w:rFonts w:ascii="黑体"/>
          <w:sz w:val="25"/>
        </w:rPr>
      </w:pPr>
    </w:p>
    <w:p>
      <w:pPr>
        <w:pStyle w:val="4"/>
        <w:spacing w:before="54"/>
        <w:ind w:left="1328"/>
        <w:rPr>
          <w:rFonts w:hint="eastAsia" w:ascii="黑体" w:eastAsia="黑体"/>
        </w:rPr>
      </w:pPr>
      <w:r>
        <w:rPr>
          <w:rFonts w:hint="eastAsia" w:ascii="黑体" w:eastAsia="黑体"/>
        </w:rPr>
        <w:t>一、部门职责</w:t>
      </w:r>
    </w:p>
    <w:p>
      <w:pPr>
        <w:pStyle w:val="4"/>
        <w:rPr>
          <w:rFonts w:ascii="黑体"/>
          <w:sz w:val="30"/>
        </w:rPr>
      </w:pPr>
    </w:p>
    <w:p>
      <w:pPr>
        <w:pStyle w:val="4"/>
        <w:ind w:left="1928"/>
      </w:pPr>
      <w:r>
        <w:t>主要职责</w:t>
      </w:r>
    </w:p>
    <w:p>
      <w:pPr>
        <w:pStyle w:val="4"/>
        <w:spacing w:before="11"/>
        <w:rPr>
          <w:sz w:val="29"/>
        </w:rPr>
      </w:pPr>
    </w:p>
    <w:p>
      <w:pPr>
        <w:pStyle w:val="4"/>
        <w:spacing w:line="369" w:lineRule="auto"/>
        <w:ind w:left="1328" w:right="1164" w:firstLine="600"/>
        <w:jc w:val="both"/>
      </w:pPr>
      <w:r>
        <w:t>（一</w:t>
      </w:r>
      <w:r>
        <w:rPr>
          <w:spacing w:val="-75"/>
        </w:rPr>
        <w:t>）</w:t>
      </w:r>
      <w:r>
        <w:t>组织编制全县国民经济和社会事业发展年度计划和中</w:t>
      </w:r>
      <w:r>
        <w:rPr>
          <w:spacing w:val="-5"/>
          <w:w w:val="95"/>
        </w:rPr>
        <w:t xml:space="preserve">长期规划；汇总和分析国民经济和社会发展各种数据，进行宏观  经济预测、预警，对经济运行进行调整；协调解决经济运行中的  </w:t>
      </w:r>
      <w:r>
        <w:rPr>
          <w:spacing w:val="-16"/>
          <w:w w:val="95"/>
        </w:rPr>
        <w:t>重大问题，研究提出经济结构调整的对策和建议；引导和促进全 县生</w:t>
      </w:r>
      <w:r>
        <w:rPr>
          <w:spacing w:val="-15"/>
        </w:rPr>
        <w:t>产力布局合理化和区域经济协调发展。</w:t>
      </w:r>
    </w:p>
    <w:p>
      <w:pPr>
        <w:pStyle w:val="4"/>
        <w:spacing w:line="369" w:lineRule="auto"/>
        <w:ind w:left="1328" w:right="1164" w:firstLine="600"/>
        <w:jc w:val="both"/>
        <w:rPr>
          <w:spacing w:val="-5"/>
          <w:w w:val="95"/>
        </w:rPr>
      </w:pPr>
      <w:r>
        <w:rPr>
          <w:spacing w:val="-5"/>
          <w:w w:val="95"/>
        </w:rPr>
        <w:t>（二）制定和实施全县经济发展有关政策、总体规划；协调 完成市向； 指导协调全县招投标工作，会同有关部门落实招投标地方 性配套法规、综合政策等，并监督实施研究提出全县外资和境外 投资的发展战略， 安排利用外资和境外投资重点项目。</w:t>
      </w:r>
    </w:p>
    <w:p>
      <w:pPr>
        <w:pStyle w:val="4"/>
        <w:spacing w:before="169" w:line="367" w:lineRule="auto"/>
        <w:ind w:left="1328" w:right="1161" w:firstLine="600"/>
        <w:jc w:val="both"/>
      </w:pPr>
      <w:r>
        <w:rPr>
          <w:spacing w:val="4"/>
          <w:w w:val="95"/>
        </w:rPr>
        <w:t>（</w:t>
      </w:r>
      <w:r>
        <w:rPr>
          <w:w w:val="95"/>
        </w:rPr>
        <w:t>三</w:t>
      </w:r>
      <w:r>
        <w:rPr>
          <w:spacing w:val="-32"/>
          <w:w w:val="95"/>
        </w:rPr>
        <w:t>）</w:t>
      </w:r>
      <w:r>
        <w:rPr>
          <w:spacing w:val="-3"/>
          <w:w w:val="95"/>
        </w:rPr>
        <w:t>提出培育和完善市场体系的战略和政策；负责全县市 场</w:t>
      </w:r>
      <w:r>
        <w:rPr>
          <w:spacing w:val="-4"/>
          <w:w w:val="95"/>
        </w:rPr>
        <w:t xml:space="preserve">建设的规划、协调工作；组织制订工业企业经销政策，指导企业 </w:t>
      </w:r>
      <w:r>
        <w:rPr>
          <w:spacing w:val="-15"/>
          <w:w w:val="95"/>
        </w:rPr>
        <w:t xml:space="preserve">扭亏增盈和工业企业流通部门的行业管理。搞好第三产业发展 规划， </w:t>
      </w:r>
      <w:r>
        <w:rPr>
          <w:spacing w:val="-16"/>
        </w:rPr>
        <w:t>促进快速发展。</w:t>
      </w:r>
    </w:p>
    <w:p>
      <w:pPr>
        <w:pStyle w:val="4"/>
        <w:spacing w:before="169" w:line="369" w:lineRule="auto"/>
        <w:ind w:left="1328" w:right="1149" w:firstLine="600"/>
      </w:pPr>
      <w:r>
        <w:rPr>
          <w:w w:val="95"/>
        </w:rPr>
        <w:t>（四</w:t>
      </w:r>
      <w:r>
        <w:rPr>
          <w:spacing w:val="-118"/>
          <w:w w:val="95"/>
        </w:rPr>
        <w:t>）</w:t>
      </w:r>
      <w:r>
        <w:rPr>
          <w:spacing w:val="-10"/>
          <w:w w:val="95"/>
        </w:rPr>
        <w:t xml:space="preserve">认真贯彻国家各项产业政策，搞好项目建设前期备案、 </w:t>
      </w:r>
      <w:r>
        <w:rPr>
          <w:spacing w:val="-12"/>
        </w:rPr>
        <w:t>核准和审批申报，负责全县项目谋划和重点项目建设工作方案的</w:t>
      </w:r>
    </w:p>
    <w:p>
      <w:pPr>
        <w:spacing w:after="0" w:line="369" w:lineRule="auto"/>
        <w:sectPr>
          <w:headerReference r:id="rId7" w:type="default"/>
          <w:pgSz w:w="11910" w:h="16840"/>
          <w:pgMar w:top="800" w:right="280" w:bottom="280" w:left="260" w:header="611" w:footer="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3"/>
        <w:rPr>
          <w:sz w:val="22"/>
        </w:rPr>
      </w:pPr>
    </w:p>
    <w:p>
      <w:pPr>
        <w:pStyle w:val="4"/>
        <w:spacing w:before="55" w:line="369" w:lineRule="auto"/>
        <w:ind w:left="1328" w:right="1410"/>
        <w:jc w:val="both"/>
      </w:pPr>
      <w:r>
        <w:rPr>
          <w:spacing w:val="-14"/>
          <w:w w:val="95"/>
        </w:rPr>
        <w:t>制定，并做好监督、调度、筛选、认定、督导和考核工作。搞好 市</w:t>
      </w:r>
      <w:r>
        <w:rPr>
          <w:spacing w:val="-12"/>
        </w:rPr>
        <w:t>级以上重点项目的上报工作并切实做好监督。</w:t>
      </w:r>
    </w:p>
    <w:p>
      <w:pPr>
        <w:pStyle w:val="4"/>
        <w:spacing w:before="158" w:line="369" w:lineRule="auto"/>
        <w:ind w:left="1328" w:right="1166" w:firstLine="600"/>
        <w:jc w:val="both"/>
      </w:pPr>
      <w:r>
        <w:t>（五</w:t>
      </w:r>
      <w:r>
        <w:rPr>
          <w:spacing w:val="-75"/>
        </w:rPr>
        <w:t>）</w:t>
      </w:r>
      <w:r>
        <w:t>会同有关部门研究制定全县高新技术产业发展战略和</w:t>
      </w:r>
      <w:r>
        <w:rPr>
          <w:spacing w:val="-5"/>
          <w:w w:val="95"/>
        </w:rPr>
        <w:t>政策措施，推进科技成果的产业化；牵头协调全县高新技术产业 化</w:t>
      </w:r>
      <w:r>
        <w:rPr>
          <w:spacing w:val="-8"/>
        </w:rPr>
        <w:t>工作。</w:t>
      </w:r>
    </w:p>
    <w:p>
      <w:pPr>
        <w:pStyle w:val="4"/>
        <w:spacing w:before="155" w:line="369" w:lineRule="auto"/>
        <w:ind w:left="1328" w:right="1161" w:firstLine="600"/>
        <w:jc w:val="both"/>
      </w:pPr>
      <w:r>
        <w:rPr>
          <w:spacing w:val="4"/>
          <w:w w:val="95"/>
        </w:rPr>
        <w:t>（</w:t>
      </w:r>
      <w:r>
        <w:rPr>
          <w:w w:val="95"/>
        </w:rPr>
        <w:t>六</w:t>
      </w:r>
      <w:r>
        <w:rPr>
          <w:spacing w:val="-32"/>
          <w:w w:val="95"/>
        </w:rPr>
        <w:t>）</w:t>
      </w:r>
      <w:r>
        <w:rPr>
          <w:spacing w:val="-6"/>
          <w:w w:val="95"/>
        </w:rPr>
        <w:t>研究全县农业和农村经济发展战略和措施；推进农村 基</w:t>
      </w:r>
      <w:r>
        <w:rPr>
          <w:spacing w:val="-3"/>
          <w:w w:val="95"/>
        </w:rPr>
        <w:t>础设施建设和城镇化建设；编制和实施全县生态环境建设规划。</w:t>
      </w:r>
    </w:p>
    <w:p>
      <w:pPr>
        <w:pStyle w:val="4"/>
        <w:spacing w:before="161" w:line="367" w:lineRule="auto"/>
        <w:ind w:left="1328" w:right="1242" w:firstLine="600"/>
        <w:jc w:val="both"/>
      </w:pPr>
      <w:r>
        <w:rPr>
          <w:spacing w:val="4"/>
          <w:w w:val="95"/>
        </w:rPr>
        <w:t>（</w:t>
      </w:r>
      <w:r>
        <w:rPr>
          <w:w w:val="95"/>
        </w:rPr>
        <w:t>七</w:t>
      </w:r>
      <w:r>
        <w:rPr>
          <w:spacing w:val="-20"/>
          <w:w w:val="95"/>
        </w:rPr>
        <w:t>）</w:t>
      </w:r>
      <w:r>
        <w:rPr>
          <w:spacing w:val="-7"/>
          <w:w w:val="95"/>
        </w:rPr>
        <w:t>研究全县文教、卫生等各项社会事业的发展规划，推 进</w:t>
      </w:r>
      <w:r>
        <w:rPr>
          <w:spacing w:val="-5"/>
        </w:rPr>
        <w:t>基础设施建设。</w:t>
      </w:r>
    </w:p>
    <w:p>
      <w:pPr>
        <w:pStyle w:val="4"/>
        <w:spacing w:before="166" w:line="369" w:lineRule="auto"/>
        <w:ind w:left="1328" w:right="1161" w:firstLine="600"/>
        <w:jc w:val="both"/>
      </w:pPr>
      <w:r>
        <w:rPr>
          <w:spacing w:val="5"/>
          <w:w w:val="95"/>
        </w:rPr>
        <w:t>（八</w:t>
      </w:r>
      <w:r>
        <w:rPr>
          <w:spacing w:val="-31"/>
          <w:w w:val="95"/>
        </w:rPr>
        <w:t>）</w:t>
      </w:r>
      <w:r>
        <w:rPr>
          <w:spacing w:val="-3"/>
          <w:w w:val="95"/>
        </w:rPr>
        <w:t xml:space="preserve">负责企业工作，对各种经济成份的企业实行宏观管理 </w:t>
      </w:r>
      <w:r>
        <w:rPr>
          <w:spacing w:val="-5"/>
          <w:w w:val="95"/>
        </w:rPr>
        <w:t xml:space="preserve">和指导，规范企业行为，推进建立现代企业制度；研究发展企业  </w:t>
      </w:r>
      <w:r>
        <w:rPr>
          <w:spacing w:val="-16"/>
          <w:w w:val="95"/>
        </w:rPr>
        <w:t>集团的政策、措施，指导企业集团的组建，指导国有企业和县骨 干企</w:t>
      </w:r>
      <w:r>
        <w:rPr>
          <w:spacing w:val="-15"/>
          <w:w w:val="95"/>
        </w:rPr>
        <w:t xml:space="preserve">业管理、扭亏脱困和减轻企业负担工作，组织管理企业内部法律顾  </w:t>
      </w:r>
      <w:r>
        <w:rPr>
          <w:spacing w:val="-15"/>
        </w:rPr>
        <w:t>问工作；指导企业管理人员的培训。</w:t>
      </w:r>
    </w:p>
    <w:p>
      <w:pPr>
        <w:pStyle w:val="4"/>
        <w:spacing w:before="152" w:line="367" w:lineRule="auto"/>
        <w:ind w:left="1328" w:right="1305" w:firstLine="600"/>
        <w:jc w:val="both"/>
      </w:pPr>
      <w:r>
        <w:rPr>
          <w:spacing w:val="4"/>
          <w:w w:val="95"/>
        </w:rPr>
        <w:t>（</w:t>
      </w:r>
      <w:r>
        <w:rPr>
          <w:w w:val="95"/>
        </w:rPr>
        <w:t>九</w:t>
      </w:r>
      <w:r>
        <w:rPr>
          <w:spacing w:val="-12"/>
          <w:w w:val="95"/>
        </w:rPr>
        <w:t>）按照国家、省、市有关政策规定，搞好本县经济体制 改</w:t>
      </w:r>
      <w:r>
        <w:rPr>
          <w:spacing w:val="-6"/>
        </w:rPr>
        <w:t>革工作。</w:t>
      </w:r>
    </w:p>
    <w:p>
      <w:pPr>
        <w:spacing w:after="0" w:line="367" w:lineRule="auto"/>
        <w:jc w:val="both"/>
        <w:sectPr>
          <w:headerReference r:id="rId8" w:type="default"/>
          <w:pgSz w:w="11910" w:h="16840"/>
          <w:pgMar w:top="1600" w:right="280" w:bottom="280" w:left="260" w:header="0" w:footer="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3"/>
        <w:rPr>
          <w:sz w:val="22"/>
        </w:rPr>
      </w:pPr>
    </w:p>
    <w:p>
      <w:pPr>
        <w:pStyle w:val="4"/>
        <w:spacing w:before="55" w:line="369" w:lineRule="auto"/>
        <w:ind w:left="1328" w:right="1164" w:firstLine="600"/>
        <w:jc w:val="both"/>
      </w:pPr>
      <w:r>
        <w:t>（十</w:t>
      </w:r>
      <w:r>
        <w:rPr>
          <w:spacing w:val="-34"/>
        </w:rPr>
        <w:t>）</w:t>
      </w:r>
      <w:r>
        <w:rPr>
          <w:spacing w:val="-3"/>
        </w:rPr>
        <w:t>研究提出信息产业发展战略和中长期规划，制定鼓励</w:t>
      </w:r>
      <w:r>
        <w:rPr>
          <w:spacing w:val="-7"/>
          <w:w w:val="95"/>
        </w:rPr>
        <w:t>信息产业发展的政策、措施；负责全县经济信息网络建设及经济 信</w:t>
      </w:r>
      <w:r>
        <w:rPr>
          <w:spacing w:val="-13"/>
        </w:rPr>
        <w:t>息市场管理；指导和促进信息产业的健康发展。</w:t>
      </w:r>
    </w:p>
    <w:p>
      <w:pPr>
        <w:pStyle w:val="4"/>
        <w:spacing w:before="158" w:line="367" w:lineRule="auto"/>
        <w:ind w:left="1328" w:right="1075" w:firstLine="600"/>
      </w:pPr>
      <w:r>
        <w:t>（十一</w:t>
      </w:r>
      <w:r>
        <w:rPr>
          <w:spacing w:val="-39"/>
        </w:rPr>
        <w:t>）</w:t>
      </w:r>
      <w:r>
        <w:rPr>
          <w:spacing w:val="-5"/>
        </w:rPr>
        <w:t>推进可持续发展战略，负责节能减排的综合协调工</w:t>
      </w:r>
      <w:r>
        <w:rPr>
          <w:spacing w:val="-12"/>
          <w:w w:val="95"/>
        </w:rPr>
        <w:t xml:space="preserve">作；组织拟定发展循环经济、全社会能源资源节约和综合利用规划  </w:t>
      </w:r>
      <w:r>
        <w:rPr>
          <w:spacing w:val="-24"/>
        </w:rPr>
        <w:t>及政策措施，并协调实施；参与编制生态建设、环境保护规划； 协</w:t>
      </w:r>
      <w:r>
        <w:rPr>
          <w:spacing w:val="-13"/>
          <w:w w:val="95"/>
        </w:rPr>
        <w:t xml:space="preserve">调生态建设、能源资源节约和综合利用的重大问题，综合协调环保 </w:t>
      </w:r>
      <w:r>
        <w:rPr>
          <w:spacing w:val="-17"/>
        </w:rPr>
        <w:t>产业和清洁生产促进有关工作；承担县节能减排工作领导小组的具</w:t>
      </w:r>
      <w:r>
        <w:rPr>
          <w:spacing w:val="-13"/>
        </w:rPr>
        <w:t>体工作。</w:t>
      </w:r>
    </w:p>
    <w:p>
      <w:pPr>
        <w:pStyle w:val="4"/>
        <w:spacing w:before="177" w:line="367" w:lineRule="auto"/>
        <w:ind w:left="1328" w:right="1286" w:firstLine="600"/>
      </w:pPr>
      <w:r>
        <w:rPr>
          <w:spacing w:val="4"/>
          <w:w w:val="95"/>
        </w:rPr>
        <w:t>（</w:t>
      </w:r>
      <w:r>
        <w:rPr>
          <w:w w:val="95"/>
        </w:rPr>
        <w:t>十二</w:t>
      </w:r>
      <w:r>
        <w:rPr>
          <w:spacing w:val="-22"/>
          <w:w w:val="95"/>
        </w:rPr>
        <w:t>）</w:t>
      </w:r>
      <w:r>
        <w:rPr>
          <w:spacing w:val="-9"/>
          <w:w w:val="95"/>
        </w:rPr>
        <w:t>协调、督导和推进东部振兴工作，组织制定东部振 兴</w:t>
      </w:r>
      <w:r>
        <w:rPr>
          <w:spacing w:val="-7"/>
        </w:rPr>
        <w:t>规划；协调解决东部振兴过程中遇到的重大问题。</w:t>
      </w:r>
    </w:p>
    <w:p>
      <w:pPr>
        <w:pStyle w:val="4"/>
        <w:spacing w:before="166" w:line="367" w:lineRule="auto"/>
        <w:ind w:left="1328" w:right="1121" w:firstLine="600"/>
      </w:pPr>
      <w:r>
        <w:rPr>
          <w:w w:val="95"/>
        </w:rPr>
        <w:t xml:space="preserve">（十三）贯彻执行国家的价格法律、法规、方针和政策；组 </w:t>
      </w:r>
      <w:r>
        <w:t>织实施国家、省和市制定的价格（收费）政策及改革方案。</w:t>
      </w:r>
    </w:p>
    <w:p>
      <w:pPr>
        <w:pStyle w:val="4"/>
        <w:spacing w:before="166" w:line="367" w:lineRule="auto"/>
        <w:ind w:left="1328" w:right="1135" w:firstLine="600"/>
      </w:pPr>
      <w:r>
        <w:t xml:space="preserve">（十四）负责拟订全县价格总水平年度调控计划和调控目 </w:t>
      </w:r>
      <w:r>
        <w:rPr>
          <w:spacing w:val="-14"/>
          <w:w w:val="95"/>
        </w:rPr>
        <w:t>标；监测、预测全县价格总水平及其结构变动趋势，提出调控建 议。</w:t>
      </w:r>
    </w:p>
    <w:p>
      <w:pPr>
        <w:pStyle w:val="4"/>
        <w:spacing w:before="164" w:line="369" w:lineRule="auto"/>
        <w:ind w:left="1328" w:right="1080" w:firstLine="600"/>
        <w:jc w:val="both"/>
      </w:pPr>
      <w:r>
        <w:t>（十五）依法组织对重要商品和服务价格、成本、市场供求</w:t>
      </w:r>
      <w:r>
        <w:rPr>
          <w:w w:val="95"/>
        </w:rPr>
        <w:t xml:space="preserve">的变动情况进行跟踪、采集、分析、预测、预警和公布等活动， </w:t>
      </w:r>
      <w:r>
        <w:t>为政府实施宏观调控提供决策依据。</w:t>
      </w:r>
    </w:p>
    <w:p>
      <w:pPr>
        <w:spacing w:after="0" w:line="369" w:lineRule="auto"/>
        <w:jc w:val="both"/>
        <w:sectPr>
          <w:headerReference r:id="rId9" w:type="default"/>
          <w:pgSz w:w="11910" w:h="16840"/>
          <w:pgMar w:top="1600" w:right="280" w:bottom="280" w:left="260" w:header="0" w:footer="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3"/>
        <w:rPr>
          <w:sz w:val="22"/>
        </w:rPr>
      </w:pPr>
    </w:p>
    <w:p>
      <w:pPr>
        <w:pStyle w:val="4"/>
        <w:spacing w:before="55" w:line="369" w:lineRule="auto"/>
        <w:ind w:left="1328" w:right="1170" w:firstLine="600"/>
        <w:jc w:val="both"/>
      </w:pPr>
      <w:r>
        <w:t>（十六</w:t>
      </w:r>
      <w:r>
        <w:rPr>
          <w:spacing w:val="-77"/>
        </w:rPr>
        <w:t>）</w:t>
      </w:r>
      <w:r>
        <w:t>贯彻落实国家和省有关粮油流通的方针政策和法规</w:t>
      </w:r>
      <w:r>
        <w:rPr>
          <w:spacing w:val="-6"/>
          <w:w w:val="95"/>
        </w:rPr>
        <w:t>制度，指导、深化粮油流通体制改革，研究拟定粮油流通和粮油 储</w:t>
      </w:r>
      <w:r>
        <w:rPr>
          <w:spacing w:val="-11"/>
        </w:rPr>
        <w:t>备的发展战略、计划。</w:t>
      </w:r>
    </w:p>
    <w:p>
      <w:pPr>
        <w:pStyle w:val="4"/>
        <w:spacing w:before="158" w:line="367" w:lineRule="auto"/>
        <w:ind w:left="1328" w:right="1161" w:firstLine="600"/>
      </w:pPr>
      <w:r>
        <w:rPr>
          <w:w w:val="95"/>
        </w:rPr>
        <w:t>（十七</w:t>
      </w:r>
      <w:r>
        <w:rPr>
          <w:spacing w:val="-118"/>
          <w:w w:val="95"/>
        </w:rPr>
        <w:t>）</w:t>
      </w:r>
      <w:r>
        <w:rPr>
          <w:spacing w:val="-12"/>
          <w:w w:val="95"/>
        </w:rPr>
        <w:t xml:space="preserve">完善粮食储备体系，健全粮食监测预警和应急机制， </w:t>
      </w:r>
      <w:r>
        <w:rPr>
          <w:spacing w:val="-12"/>
        </w:rPr>
        <w:t>加强对全县粮食流通体制监督检查工作。</w:t>
      </w:r>
    </w:p>
    <w:p>
      <w:pPr>
        <w:pStyle w:val="4"/>
        <w:spacing w:before="163" w:line="369" w:lineRule="auto"/>
        <w:ind w:left="1328" w:right="1253" w:firstLine="600"/>
      </w:pPr>
      <w:r>
        <w:rPr>
          <w:w w:val="95"/>
        </w:rPr>
        <w:t>（十八</w:t>
      </w:r>
      <w:r>
        <w:rPr>
          <w:spacing w:val="-27"/>
          <w:w w:val="95"/>
        </w:rPr>
        <w:t>）</w:t>
      </w:r>
      <w:r>
        <w:rPr>
          <w:spacing w:val="-5"/>
          <w:w w:val="95"/>
        </w:rPr>
        <w:t xml:space="preserve">负责所属企业党的建设、干部队伍建设、精神文明 </w:t>
      </w:r>
      <w:r>
        <w:rPr>
          <w:spacing w:val="-22"/>
        </w:rPr>
        <w:t>建设和思想政治工作；指导本系统纪检、监察和廉政、勤政建设。</w:t>
      </w:r>
    </w:p>
    <w:p>
      <w:pPr>
        <w:pStyle w:val="4"/>
        <w:spacing w:before="158" w:line="369" w:lineRule="auto"/>
        <w:ind w:left="1328" w:right="1164" w:firstLine="600"/>
        <w:jc w:val="both"/>
      </w:pPr>
      <w:r>
        <w:t>（十九</w:t>
      </w:r>
      <w:r>
        <w:rPr>
          <w:spacing w:val="-36"/>
        </w:rPr>
        <w:t>）</w:t>
      </w:r>
      <w:r>
        <w:rPr>
          <w:spacing w:val="-3"/>
        </w:rPr>
        <w:t>负责局直属经营性企事业单位资产监管、生产经营</w:t>
      </w:r>
      <w:r>
        <w:rPr>
          <w:spacing w:val="-7"/>
          <w:w w:val="95"/>
        </w:rPr>
        <w:t>和改革发展；负责局机关及直属单位的党建工作、思想政治工作 和</w:t>
      </w:r>
      <w:r>
        <w:rPr>
          <w:spacing w:val="-12"/>
        </w:rPr>
        <w:t>社会主义精神文明以及组织、人事、劳动、计划生育工作。</w:t>
      </w:r>
    </w:p>
    <w:p>
      <w:pPr>
        <w:pStyle w:val="4"/>
        <w:spacing w:before="177" w:line="331" w:lineRule="auto"/>
        <w:ind w:left="1328" w:right="1085" w:firstLine="636"/>
      </w:pPr>
      <w:r>
        <w:rPr>
          <w:w w:val="95"/>
        </w:rPr>
        <w:t xml:space="preserve">（二十）承办县人大、县政协建议、提案议案，承办县委、 </w:t>
      </w:r>
      <w:r>
        <w:t>县政府交办的其他事项。</w:t>
      </w:r>
    </w:p>
    <w:p>
      <w:pPr>
        <w:pStyle w:val="4"/>
        <w:spacing w:before="33"/>
        <w:ind w:left="1328"/>
        <w:rPr>
          <w:rFonts w:hint="eastAsia" w:ascii="黑体" w:eastAsia="黑体"/>
        </w:rPr>
      </w:pPr>
      <w:r>
        <w:rPr>
          <w:rFonts w:hint="eastAsia" w:ascii="黑体" w:eastAsia="黑体"/>
        </w:rPr>
        <w:t>二、机构设置</w:t>
      </w:r>
    </w:p>
    <w:p>
      <w:pPr>
        <w:pStyle w:val="4"/>
        <w:spacing w:before="163"/>
        <w:ind w:left="1967"/>
      </w:pPr>
      <w:r>
        <w:t>从决算编报单位构成看，纳入 2018 年度本部门决算汇编范</w:t>
      </w:r>
    </w:p>
    <w:p>
      <w:pPr>
        <w:pStyle w:val="4"/>
        <w:spacing w:before="154"/>
        <w:ind w:left="1328"/>
      </w:pPr>
      <w:r>
        <w:t>围的独立核算单位（以下简称“单位”）共 1 个，具体情况如下：</w:t>
      </w:r>
    </w:p>
    <w:p>
      <w:pPr>
        <w:pStyle w:val="4"/>
        <w:spacing w:before="7"/>
        <w:rPr>
          <w:sz w:val="23"/>
        </w:rPr>
      </w:pPr>
    </w:p>
    <w:tbl>
      <w:tblPr>
        <w:tblStyle w:val="5"/>
        <w:tblW w:w="9580" w:type="dxa"/>
        <w:tblInd w:w="10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3485"/>
        <w:gridCol w:w="2445"/>
        <w:gridCol w:w="26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985" w:type="dxa"/>
          </w:tcPr>
          <w:p>
            <w:pPr>
              <w:pStyle w:val="9"/>
              <w:spacing w:before="285"/>
              <w:ind w:left="213"/>
              <w:rPr>
                <w:rFonts w:hint="eastAsia" w:ascii="微软雅黑" w:eastAsia="微软雅黑"/>
                <w:b/>
                <w:i/>
                <w:sz w:val="28"/>
              </w:rPr>
            </w:pPr>
            <w:r>
              <w:rPr>
                <w:rFonts w:hint="eastAsia" w:ascii="微软雅黑" w:eastAsia="微软雅黑"/>
                <w:b/>
                <w:i/>
                <w:sz w:val="28"/>
              </w:rPr>
              <w:t>序号</w:t>
            </w:r>
          </w:p>
        </w:tc>
        <w:tc>
          <w:tcPr>
            <w:tcW w:w="3485" w:type="dxa"/>
          </w:tcPr>
          <w:p>
            <w:pPr>
              <w:pStyle w:val="9"/>
              <w:spacing w:before="285"/>
              <w:ind w:left="1167" w:right="1147"/>
              <w:jc w:val="center"/>
              <w:rPr>
                <w:rFonts w:hint="eastAsia" w:ascii="微软雅黑" w:eastAsia="微软雅黑"/>
                <w:b/>
                <w:i/>
                <w:sz w:val="28"/>
              </w:rPr>
            </w:pPr>
            <w:r>
              <w:rPr>
                <w:rFonts w:hint="eastAsia" w:ascii="微软雅黑" w:eastAsia="微软雅黑"/>
                <w:b/>
                <w:i/>
                <w:sz w:val="28"/>
              </w:rPr>
              <w:t>单位名称</w:t>
            </w:r>
          </w:p>
        </w:tc>
        <w:tc>
          <w:tcPr>
            <w:tcW w:w="2445" w:type="dxa"/>
          </w:tcPr>
          <w:p>
            <w:pPr>
              <w:pStyle w:val="9"/>
              <w:spacing w:before="285"/>
              <w:ind w:left="382"/>
              <w:rPr>
                <w:rFonts w:hint="eastAsia" w:ascii="微软雅黑" w:eastAsia="微软雅黑"/>
                <w:b/>
                <w:i/>
                <w:sz w:val="28"/>
              </w:rPr>
            </w:pPr>
            <w:r>
              <w:rPr>
                <w:rFonts w:hint="eastAsia" w:ascii="微软雅黑" w:eastAsia="微软雅黑"/>
                <w:b/>
                <w:i/>
                <w:sz w:val="28"/>
              </w:rPr>
              <w:t>单位基本性质</w:t>
            </w:r>
          </w:p>
        </w:tc>
        <w:tc>
          <w:tcPr>
            <w:tcW w:w="2665" w:type="dxa"/>
          </w:tcPr>
          <w:p>
            <w:pPr>
              <w:pStyle w:val="9"/>
              <w:spacing w:before="285"/>
              <w:ind w:left="774"/>
              <w:rPr>
                <w:rFonts w:hint="eastAsia" w:ascii="微软雅黑" w:eastAsia="微软雅黑"/>
                <w:b/>
                <w:i/>
                <w:sz w:val="28"/>
              </w:rPr>
            </w:pPr>
            <w:r>
              <w:rPr>
                <w:rFonts w:hint="eastAsia" w:ascii="微软雅黑" w:eastAsia="微软雅黑"/>
                <w:b/>
                <w:i/>
                <w:sz w:val="28"/>
              </w:rPr>
              <w:t>经费形式</w:t>
            </w:r>
          </w:p>
        </w:tc>
      </w:tr>
    </w:tbl>
    <w:p>
      <w:pPr>
        <w:pStyle w:val="4"/>
        <w:spacing w:before="2"/>
        <w:rPr>
          <w:sz w:val="16"/>
        </w:rPr>
      </w:pPr>
    </w:p>
    <w:tbl>
      <w:tblPr>
        <w:tblStyle w:val="5"/>
        <w:tblW w:w="9580" w:type="dxa"/>
        <w:tblInd w:w="11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3485"/>
        <w:gridCol w:w="2445"/>
        <w:gridCol w:w="26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985" w:type="dxa"/>
          </w:tcPr>
          <w:p>
            <w:pPr>
              <w:pStyle w:val="9"/>
              <w:spacing w:before="172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485" w:type="dxa"/>
          </w:tcPr>
          <w:p>
            <w:pPr>
              <w:pStyle w:val="9"/>
              <w:spacing w:before="172"/>
              <w:ind w:left="1044"/>
              <w:rPr>
                <w:sz w:val="28"/>
              </w:rPr>
            </w:pPr>
            <w:r>
              <w:rPr>
                <w:sz w:val="28"/>
              </w:rPr>
              <w:t>发展改革局</w:t>
            </w:r>
          </w:p>
        </w:tc>
        <w:tc>
          <w:tcPr>
            <w:tcW w:w="2445" w:type="dxa"/>
          </w:tcPr>
          <w:p>
            <w:pPr>
              <w:pStyle w:val="9"/>
              <w:spacing w:before="172"/>
              <w:ind w:left="929" w:right="906"/>
              <w:jc w:val="center"/>
              <w:rPr>
                <w:sz w:val="28"/>
              </w:rPr>
            </w:pPr>
            <w:r>
              <w:rPr>
                <w:sz w:val="28"/>
              </w:rPr>
              <w:t>行政</w:t>
            </w:r>
          </w:p>
        </w:tc>
        <w:tc>
          <w:tcPr>
            <w:tcW w:w="2665" w:type="dxa"/>
          </w:tcPr>
          <w:p>
            <w:pPr>
              <w:pStyle w:val="9"/>
              <w:spacing w:before="172"/>
              <w:ind w:left="773"/>
              <w:rPr>
                <w:sz w:val="28"/>
              </w:rPr>
            </w:pPr>
            <w:r>
              <w:rPr>
                <w:sz w:val="28"/>
              </w:rPr>
              <w:t>财政拨款</w:t>
            </w:r>
          </w:p>
        </w:tc>
      </w:tr>
    </w:tbl>
    <w:p>
      <w:pPr>
        <w:spacing w:after="0"/>
        <w:rPr>
          <w:sz w:val="28"/>
        </w:rPr>
        <w:sectPr>
          <w:headerReference r:id="rId10" w:type="default"/>
          <w:pgSz w:w="11910" w:h="16840"/>
          <w:pgMar w:top="1600" w:right="280" w:bottom="280" w:left="260" w:header="0" w:footer="0" w:gutter="0"/>
          <w:cols w:space="720" w:num="1"/>
        </w:sectPr>
      </w:pPr>
    </w:p>
    <w:p>
      <w:pPr>
        <w:pStyle w:val="4"/>
        <w:spacing w:before="7"/>
        <w:rPr>
          <w:sz w:val="15"/>
        </w:rPr>
      </w:pPr>
    </w:p>
    <w:p>
      <w:pPr>
        <w:spacing w:after="0"/>
        <w:rPr>
          <w:sz w:val="15"/>
        </w:rPr>
        <w:sectPr>
          <w:headerReference r:id="rId11" w:type="default"/>
          <w:pgSz w:w="11910" w:h="16840"/>
          <w:pgMar w:top="1600" w:right="280" w:bottom="280" w:left="260" w:header="0" w:footer="0" w:gutter="0"/>
          <w:cols w:space="720" w:num="1"/>
        </w:sectPr>
      </w:pPr>
    </w:p>
    <w:p>
      <w:pPr>
        <w:pStyle w:val="4"/>
        <w:rPr>
          <w:sz w:val="20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4445</wp:posOffset>
            </wp:positionV>
            <wp:extent cx="7555865" cy="1068006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14"/>
        </w:rPr>
      </w:pPr>
    </w:p>
    <w:p>
      <w:pPr>
        <w:spacing w:before="0" w:line="1196" w:lineRule="exact"/>
        <w:ind w:left="239" w:right="0" w:firstLine="0"/>
        <w:jc w:val="center"/>
        <w:rPr>
          <w:rFonts w:hint="eastAsia" w:ascii="黑体" w:eastAsia="黑体"/>
          <w:sz w:val="96"/>
        </w:rPr>
      </w:pPr>
      <w:bookmarkStart w:id="1" w:name="第二部分"/>
      <w:bookmarkEnd w:id="1"/>
      <w:r>
        <w:rPr>
          <w:rFonts w:hint="eastAsia" w:ascii="黑体" w:eastAsia="黑体"/>
          <w:color w:val="FBEDBC"/>
          <w:sz w:val="96"/>
        </w:rPr>
        <w:t>第二部分</w:t>
      </w:r>
    </w:p>
    <w:p>
      <w:pPr>
        <w:tabs>
          <w:tab w:val="left" w:pos="2639"/>
        </w:tabs>
        <w:spacing w:before="106"/>
        <w:ind w:left="239" w:right="0" w:firstLine="0"/>
        <w:jc w:val="center"/>
        <w:rPr>
          <w:rFonts w:hint="eastAsia" w:ascii="黑体" w:eastAsia="黑体"/>
          <w:sz w:val="96"/>
        </w:rPr>
      </w:pPr>
      <w:r>
        <w:rPr>
          <w:rFonts w:hint="eastAsia" w:ascii="黑体" w:eastAsia="黑体"/>
          <w:color w:val="FBEDBC"/>
          <w:sz w:val="96"/>
        </w:rPr>
        <w:t>2018</w:t>
      </w:r>
      <w:r>
        <w:rPr>
          <w:rFonts w:hint="eastAsia" w:ascii="黑体" w:eastAsia="黑体"/>
          <w:color w:val="FBEDBC"/>
          <w:sz w:val="96"/>
        </w:rPr>
        <w:tab/>
      </w:r>
      <w:r>
        <w:rPr>
          <w:rFonts w:hint="eastAsia" w:ascii="黑体" w:eastAsia="黑体"/>
          <w:color w:val="FBEDBC"/>
          <w:sz w:val="96"/>
        </w:rPr>
        <w:t>年度部门决算报表</w:t>
      </w:r>
    </w:p>
    <w:p>
      <w:pPr>
        <w:spacing w:after="0"/>
        <w:jc w:val="center"/>
        <w:rPr>
          <w:rFonts w:hint="eastAsia" w:ascii="黑体" w:eastAsia="黑体"/>
          <w:sz w:val="96"/>
        </w:rPr>
        <w:sectPr>
          <w:headerReference r:id="rId12" w:type="default"/>
          <w:pgSz w:w="11910" w:h="16840"/>
          <w:pgMar w:top="1600" w:right="280" w:bottom="280" w:left="260" w:header="0" w:footer="0" w:gutter="0"/>
          <w:cols w:space="720" w:num="1"/>
        </w:sect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spacing w:before="3"/>
        <w:rPr>
          <w:rFonts w:ascii="黑体"/>
          <w:sz w:val="20"/>
        </w:rPr>
      </w:pPr>
    </w:p>
    <w:p>
      <w:pPr>
        <w:pStyle w:val="4"/>
        <w:rPr>
          <w:rFonts w:hint="eastAsia"/>
          <w:sz w:val="20"/>
          <w:lang w:eastAsia="zh-CN"/>
        </w:rPr>
      </w:pPr>
      <w:bookmarkStart w:id="2" w:name="收入支出决算总表"/>
      <w:bookmarkEnd w:id="2"/>
    </w:p>
    <w:p>
      <w:pPr>
        <w:pStyle w:val="4"/>
        <w:rPr>
          <w:rFonts w:hint="eastAsia"/>
          <w:sz w:val="20"/>
          <w:lang w:eastAsia="zh-CN"/>
        </w:rPr>
      </w:pPr>
    </w:p>
    <w:p>
      <w:pPr>
        <w:pStyle w:val="4"/>
        <w:ind w:firstLine="960" w:firstLineChars="300"/>
        <w:rPr>
          <w:rFonts w:hint="eastAsia" w:eastAsia="宋体"/>
          <w:sz w:val="32"/>
          <w:szCs w:val="52"/>
          <w:lang w:eastAsia="zh-CN"/>
        </w:rPr>
      </w:pPr>
      <w:r>
        <w:rPr>
          <w:rFonts w:hint="eastAsia"/>
          <w:sz w:val="32"/>
          <w:szCs w:val="52"/>
          <w:lang w:eastAsia="zh-CN"/>
        </w:rPr>
        <w:t>决算报表见附件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9"/>
        <w:rPr>
          <w:sz w:val="27"/>
        </w:rPr>
      </w:pPr>
    </w:p>
    <w:p>
      <w:pPr>
        <w:spacing w:after="0" w:line="271" w:lineRule="auto"/>
        <w:jc w:val="left"/>
        <w:rPr>
          <w:sz w:val="21"/>
        </w:rPr>
        <w:sectPr>
          <w:headerReference r:id="rId13" w:type="default"/>
          <w:type w:val="continuous"/>
          <w:pgSz w:w="11910" w:h="16840"/>
          <w:pgMar w:top="1600" w:right="280" w:bottom="280" w:left="260" w:header="720" w:footer="720" w:gutter="0"/>
          <w:cols w:space="720" w:num="1"/>
        </w:sectPr>
      </w:pPr>
      <w:bookmarkStart w:id="3" w:name="收入决算表"/>
      <w:bookmarkEnd w:id="3"/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6"/>
        <w:rPr>
          <w:sz w:val="22"/>
        </w:rPr>
      </w:pPr>
    </w:p>
    <w:p>
      <w:pPr>
        <w:pStyle w:val="4"/>
        <w:rPr>
          <w:sz w:val="20"/>
        </w:rPr>
      </w:pPr>
      <w:bookmarkStart w:id="4" w:name="政府采购情况表"/>
      <w:bookmarkEnd w:id="4"/>
      <w: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0150" cy="1067435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9896" cy="10674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spacing w:before="0" w:line="1196" w:lineRule="exact"/>
        <w:ind w:left="66" w:right="0" w:firstLine="0"/>
        <w:jc w:val="center"/>
        <w:rPr>
          <w:rFonts w:hint="eastAsia" w:ascii="黑体" w:eastAsia="黑体"/>
          <w:sz w:val="96"/>
        </w:rPr>
      </w:pPr>
      <w:r>
        <w:rPr>
          <w:rFonts w:hint="eastAsia" w:ascii="黑体" w:eastAsia="黑体"/>
          <w:color w:val="FBEDBC"/>
          <w:sz w:val="96"/>
        </w:rPr>
        <w:t>第三部分</w:t>
      </w:r>
    </w:p>
    <w:p>
      <w:pPr>
        <w:spacing w:before="147"/>
        <w:ind w:left="66" w:right="0" w:firstLine="0"/>
        <w:jc w:val="center"/>
        <w:rPr>
          <w:rFonts w:hint="eastAsia" w:ascii="黑体" w:eastAsia="黑体"/>
          <w:sz w:val="96"/>
        </w:rPr>
      </w:pPr>
      <w:r>
        <w:rPr>
          <w:rFonts w:hint="eastAsia" w:ascii="黑体" w:eastAsia="黑体"/>
          <w:color w:val="FBEDBC"/>
          <w:sz w:val="96"/>
        </w:rPr>
        <w:t>部门决算情况说明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14"/>
        </w:rPr>
      </w:pPr>
    </w:p>
    <w:p>
      <w:pPr>
        <w:spacing w:after="0"/>
        <w:jc w:val="center"/>
        <w:rPr>
          <w:rFonts w:hint="eastAsia" w:ascii="黑体" w:eastAsia="黑体"/>
          <w:sz w:val="96"/>
        </w:rPr>
        <w:sectPr>
          <w:headerReference r:id="rId14" w:type="default"/>
          <w:pgSz w:w="11910" w:h="16840"/>
          <w:pgMar w:top="1600" w:right="280" w:bottom="280" w:left="260" w:header="0" w:footer="0" w:gutter="0"/>
          <w:cols w:space="720" w:num="1"/>
        </w:sectPr>
      </w:pPr>
      <w:bookmarkStart w:id="5" w:name="第三部分"/>
      <w:bookmarkEnd w:id="5"/>
    </w:p>
    <w:p>
      <w:pPr>
        <w:pStyle w:val="4"/>
        <w:spacing w:line="41" w:lineRule="exact"/>
        <w:ind w:left="-260"/>
        <w:rPr>
          <w:rFonts w:ascii="黑体"/>
          <w:sz w:val="4"/>
        </w:rPr>
      </w:pPr>
      <w:r>
        <w:rPr>
          <w:rFonts w:ascii="黑体"/>
          <w:position w:val="0"/>
          <w:sz w:val="4"/>
        </w:rPr>
        <w:pict>
          <v:group id="_x0000_s1030" o:spid="_x0000_s1030" o:spt="203" style="height:2.05pt;width:301.3pt;" coordsize="6026,41">
            <o:lock v:ext="edit"/>
            <v:shape id="_x0000_s1031" o:spid="_x0000_s1031" style="position:absolute;left:0;top:19;height:2;width:6026;" fillcolor="#D9D9D9" filled="t" stroked="f" coordorigin="0,19" coordsize="6026,2" path="m0,21l0,19,6026,19,6026,20,0,21xe">
              <v:path arrowok="t"/>
              <v:fill on="t" focussize="0,0"/>
              <v:stroke on="f"/>
              <v:imagedata o:title=""/>
              <o:lock v:ext="edit"/>
            </v:shape>
            <v:shape id="_x0000_s1032" o:spid="_x0000_s1032" style="position:absolute;left:7;top:19;height:2;width:5880;" fillcolor="#AC002C" filled="t" stroked="f" coordorigin="7,19" coordsize="5880,2" path="m7,21l7,19,5887,19,5887,20,7,21xe">
              <v:path arrowok="t"/>
              <v:fill on="t" focussize="0,0"/>
              <v:stroke on="f"/>
              <v:imagedata o:title=""/>
              <o:lock v:ext="edit"/>
            </v:shape>
            <v:shape id="_x0000_s1033" o:spid="_x0000_s1033" style="position:absolute;left:0;top:0;height:41;width:5907;" fillcolor="#AE761F" filled="t" stroked="f" coordsize="5907,41" path="m5891,41l3,41,0,40,0,2,3,1,7,0,5887,0,5891,1,7,1,27,21,7,40,5893,40,5891,41xm27,21l7,1,5887,1,5868,20,27,20,27,21xm5895,40l5887,40,5868,21,5887,1,5893,1,5895,2,5898,4,5902,6,5904,9,5906,13,5907,16,5907,25,5906,29,5902,35,5898,38,5895,40xm5887,40l7,40,27,21,27,20,5867,20,5867,21,5868,21,5887,40xm5868,21l5867,21,5867,20,5868,21xm5868,21l5867,20,5868,20,5868,21xe">
              <v:path arrowok="t"/>
              <v:fill on="t" focussize="0,0"/>
              <v:stroke on="f"/>
              <v:imagedata o:title=""/>
              <o:lock v:ext="edit"/>
            </v:shape>
            <v:shape id="_x0000_s1034" o:spid="_x0000_s1034" style="position:absolute;left:0;top:19;height:2;width:6026;" fillcolor="#D9D9D9" filled="t" stroked="f" coordorigin="0,19" coordsize="6026,2" path="m0,21l0,19,6026,19,6026,20,0,21xe">
              <v:path arrowok="t"/>
              <v:fill on="t" focussize="0,0"/>
              <v:stroke on="f"/>
              <v:imagedata o:title=""/>
              <o:lock v:ext="edit"/>
            </v:shape>
            <v:shape id="_x0000_s1035" o:spid="_x0000_s1035" style="position:absolute;left:7;top:19;height:2;width:5880;" fillcolor="#AC002C" filled="t" stroked="f" coordorigin="7,19" coordsize="5880,2" path="m7,21l7,19,5887,19,5887,20,7,21xe">
              <v:path arrowok="t"/>
              <v:fill on="t" focussize="0,0"/>
              <v:stroke on="f"/>
              <v:imagedata o:title=""/>
              <o:lock v:ext="edit"/>
            </v:shape>
            <v:shape id="_x0000_s1036" o:spid="_x0000_s1036" style="position:absolute;left:0;top:0;height:41;width:5907;" fillcolor="#AE761F" filled="t" stroked="f" coordsize="5907,41" path="m5891,41l3,41,0,40,0,2,3,1,7,0,5887,0,5891,1,7,1,27,21,7,40,5893,40,5891,41xm27,21l7,1,5887,1,5868,20,27,20,27,21xm5895,40l5887,40,5868,21,5887,1,5893,1,5895,2,5898,4,5902,6,5904,9,5906,13,5907,16,5907,25,5906,29,5902,35,5898,38,5895,40xm5887,40l7,40,27,21,27,20,5867,20,5867,21,5868,21,5887,40xm5868,21l5867,21,5867,20,5868,21xm5868,21l5867,20,5868,20,5868,21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spacing w:before="12"/>
        <w:rPr>
          <w:rFonts w:ascii="黑体"/>
          <w:sz w:val="24"/>
        </w:rPr>
      </w:pPr>
    </w:p>
    <w:p>
      <w:pPr>
        <w:pStyle w:val="4"/>
        <w:spacing w:before="54"/>
        <w:ind w:left="1967"/>
        <w:rPr>
          <w:rFonts w:hint="eastAsia" w:ascii="黑体" w:eastAsia="黑体"/>
        </w:rPr>
      </w:pPr>
      <w:r>
        <w:rPr>
          <w:rFonts w:hint="eastAsia" w:ascii="黑体" w:eastAsia="黑体"/>
        </w:rPr>
        <w:t>一、收入支出决算总体情况说明</w:t>
      </w:r>
    </w:p>
    <w:p>
      <w:pPr>
        <w:pStyle w:val="4"/>
        <w:spacing w:before="176" w:line="348" w:lineRule="auto"/>
        <w:ind w:left="1328" w:right="1202" w:firstLine="636"/>
        <w:jc w:val="both"/>
      </w:pPr>
      <w:r>
        <w:rPr>
          <w:spacing w:val="-22"/>
        </w:rPr>
        <w:t xml:space="preserve">本部门 </w:t>
      </w:r>
      <w:r>
        <w:t>2018</w:t>
      </w:r>
      <w:r>
        <w:rPr>
          <w:spacing w:val="-18"/>
        </w:rPr>
        <w:t xml:space="preserve"> 年度收入总计</w:t>
      </w:r>
      <w:r>
        <w:t>（含结转和结余</w:t>
      </w:r>
      <w:r>
        <w:rPr>
          <w:spacing w:val="-3"/>
        </w:rPr>
        <w:t>）381.03</w:t>
      </w:r>
      <w:r>
        <w:rPr>
          <w:spacing w:val="-19"/>
        </w:rPr>
        <w:t xml:space="preserve"> 万元与</w:t>
      </w:r>
      <w:r>
        <w:rPr>
          <w:spacing w:val="-15"/>
        </w:rPr>
        <w:t>2017</w:t>
      </w:r>
      <w:r>
        <w:rPr>
          <w:spacing w:val="-112"/>
        </w:rPr>
        <w:t xml:space="preserve"> </w:t>
      </w:r>
      <w:r>
        <w:t>年度决算相比</w:t>
      </w:r>
      <w:r>
        <w:rPr>
          <w:spacing w:val="-39"/>
        </w:rPr>
        <w:t>，</w:t>
      </w:r>
      <w:r>
        <w:t>收入减少</w:t>
      </w:r>
      <w:r>
        <w:rPr>
          <w:spacing w:val="-87"/>
        </w:rPr>
        <w:t xml:space="preserve"> </w:t>
      </w:r>
      <w:r>
        <w:t>247.37</w:t>
      </w:r>
      <w:r>
        <w:rPr>
          <w:spacing w:val="-85"/>
        </w:rPr>
        <w:t xml:space="preserve"> </w:t>
      </w:r>
      <w:r>
        <w:t>万元</w:t>
      </w:r>
      <w:r>
        <w:rPr>
          <w:spacing w:val="-39"/>
        </w:rPr>
        <w:t>，</w:t>
      </w:r>
      <w:r>
        <w:t>下降</w:t>
      </w:r>
      <w:r>
        <w:rPr>
          <w:spacing w:val="-85"/>
        </w:rPr>
        <w:t xml:space="preserve"> </w:t>
      </w:r>
      <w:r>
        <w:rPr>
          <w:spacing w:val="2"/>
        </w:rPr>
        <w:t>39.37</w:t>
      </w:r>
      <w:r>
        <w:rPr>
          <w:spacing w:val="6"/>
          <w:w w:val="99"/>
        </w:rPr>
        <w:drawing>
          <wp:inline distT="0" distB="0" distL="0" distR="0">
            <wp:extent cx="85090" cy="15494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6"/>
        </w:rPr>
        <w:t>，</w:t>
      </w:r>
      <w:r>
        <w:t>主要</w:t>
      </w:r>
    </w:p>
    <w:p>
      <w:pPr>
        <w:pStyle w:val="4"/>
        <w:spacing w:line="340" w:lineRule="auto"/>
        <w:ind w:left="1328" w:right="1248"/>
        <w:jc w:val="both"/>
      </w:pPr>
      <w:r>
        <w:rPr>
          <w:spacing w:val="-22"/>
        </w:rPr>
        <w:t xml:space="preserve">原因是 </w:t>
      </w:r>
      <w:r>
        <w:t>2017</w:t>
      </w:r>
      <w:r>
        <w:rPr>
          <w:spacing w:val="-35"/>
        </w:rPr>
        <w:t xml:space="preserve"> 年度有 </w:t>
      </w:r>
      <w:r>
        <w:t>500</w:t>
      </w:r>
      <w:r>
        <w:rPr>
          <w:spacing w:val="-10"/>
        </w:rPr>
        <w:t xml:space="preserve"> 万元是用于处置军人生活费、养老金等支出，2018</w:t>
      </w:r>
      <w:r>
        <w:rPr>
          <w:spacing w:val="-22"/>
        </w:rPr>
        <w:t xml:space="preserve"> 年无此项工作。本部门 </w:t>
      </w:r>
      <w:r>
        <w:t>2018</w:t>
      </w:r>
      <w:r>
        <w:rPr>
          <w:spacing w:val="-18"/>
        </w:rPr>
        <w:t xml:space="preserve"> 年度支出总计</w:t>
      </w:r>
      <w:r>
        <w:t>（含结转和结余</w:t>
      </w:r>
      <w:r>
        <w:rPr>
          <w:spacing w:val="-5"/>
        </w:rPr>
        <w:t>）198.03</w:t>
      </w:r>
      <w:r>
        <w:rPr>
          <w:spacing w:val="-40"/>
        </w:rPr>
        <w:t xml:space="preserve"> 万元。与 </w:t>
      </w:r>
      <w:r>
        <w:t>2017</w:t>
      </w:r>
      <w:r>
        <w:rPr>
          <w:spacing w:val="-22"/>
        </w:rPr>
        <w:t xml:space="preserve"> 年度决算相比，支出减少 </w:t>
      </w:r>
      <w:r>
        <w:t>430.37</w:t>
      </w:r>
    </w:p>
    <w:p>
      <w:pPr>
        <w:pStyle w:val="4"/>
        <w:spacing w:line="340" w:lineRule="auto"/>
        <w:ind w:left="1328" w:right="1233"/>
        <w:jc w:val="both"/>
      </w:pPr>
      <w:r>
        <w:t>万元，</w:t>
      </w:r>
      <w:r>
        <w:rPr>
          <w:spacing w:val="5"/>
        </w:rPr>
        <w:t>下</w:t>
      </w:r>
      <w:r>
        <w:t>降</w:t>
      </w:r>
      <w:r>
        <w:rPr>
          <w:spacing w:val="-83"/>
        </w:rPr>
        <w:t xml:space="preserve"> </w:t>
      </w:r>
      <w:r>
        <w:rPr>
          <w:spacing w:val="2"/>
        </w:rPr>
        <w:t>68.49</w:t>
      </w:r>
      <w:r>
        <w:rPr>
          <w:spacing w:val="6"/>
          <w:w w:val="99"/>
        </w:rPr>
        <w:drawing>
          <wp:inline distT="0" distB="0" distL="0" distR="0">
            <wp:extent cx="85090" cy="15494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.pn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，2017</w:t>
      </w:r>
      <w:r>
        <w:rPr>
          <w:spacing w:val="-80"/>
        </w:rPr>
        <w:t xml:space="preserve"> </w:t>
      </w:r>
      <w:r>
        <w:t>年度有</w:t>
      </w:r>
      <w:r>
        <w:rPr>
          <w:spacing w:val="-81"/>
        </w:rPr>
        <w:t xml:space="preserve"> </w:t>
      </w:r>
      <w:r>
        <w:t>500</w:t>
      </w:r>
      <w:r>
        <w:rPr>
          <w:spacing w:val="-80"/>
        </w:rPr>
        <w:t xml:space="preserve"> </w:t>
      </w:r>
      <w:r>
        <w:t>万元是</w:t>
      </w:r>
      <w:r>
        <w:rPr>
          <w:spacing w:val="5"/>
        </w:rPr>
        <w:t>用</w:t>
      </w:r>
      <w:r>
        <w:t>于</w:t>
      </w:r>
      <w:r>
        <w:rPr>
          <w:spacing w:val="5"/>
        </w:rPr>
        <w:t>处</w:t>
      </w:r>
      <w:r>
        <w:t>置军人生活费、养老金等支出，2018</w:t>
      </w:r>
      <w:r>
        <w:rPr>
          <w:spacing w:val="-11"/>
        </w:rPr>
        <w:t xml:space="preserve"> 年无此项工作,</w:t>
      </w:r>
    </w:p>
    <w:p>
      <w:pPr>
        <w:spacing w:before="39"/>
        <w:ind w:left="1888" w:right="0" w:firstLine="0"/>
        <w:jc w:val="left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二、收入决算情况说明</w:t>
      </w:r>
    </w:p>
    <w:p>
      <w:pPr>
        <w:pStyle w:val="4"/>
        <w:spacing w:before="184"/>
        <w:ind w:left="1967"/>
      </w:pPr>
      <w:r>
        <w:t>本部门 2018 年度本年收入合计 381.03 万元，其中：财政拨</w:t>
      </w:r>
    </w:p>
    <w:p>
      <w:pPr>
        <w:pStyle w:val="4"/>
        <w:spacing w:before="183"/>
        <w:ind w:left="1328"/>
        <w:jc w:val="both"/>
      </w:pPr>
      <w:r>
        <w:t>款收入</w:t>
      </w:r>
      <w:r>
        <w:rPr>
          <w:spacing w:val="-85"/>
        </w:rPr>
        <w:t xml:space="preserve"> </w:t>
      </w:r>
      <w:r>
        <w:t>381.03</w:t>
      </w:r>
      <w:r>
        <w:rPr>
          <w:spacing w:val="-86"/>
        </w:rPr>
        <w:t xml:space="preserve"> </w:t>
      </w:r>
      <w:r>
        <w:t>万元，占</w:t>
      </w:r>
      <w:r>
        <w:rPr>
          <w:spacing w:val="-83"/>
        </w:rPr>
        <w:t xml:space="preserve"> </w:t>
      </w:r>
      <w:r>
        <w:rPr>
          <w:spacing w:val="3"/>
        </w:rPr>
        <w:t>100</w:t>
      </w:r>
      <w:r>
        <w:rPr>
          <w:spacing w:val="6"/>
          <w:w w:val="99"/>
        </w:rPr>
        <w:drawing>
          <wp:inline distT="0" distB="0" distL="0" distR="0">
            <wp:extent cx="85090" cy="154940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4.pn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</w:t>
      </w:r>
    </w:p>
    <w:p>
      <w:pPr>
        <w:pStyle w:val="4"/>
        <w:spacing w:before="171"/>
        <w:ind w:left="1967"/>
        <w:rPr>
          <w:rFonts w:hint="eastAsia" w:ascii="黑体" w:eastAsia="黑体"/>
        </w:rPr>
      </w:pPr>
      <w:r>
        <w:rPr>
          <w:rFonts w:hint="eastAsia" w:ascii="黑体" w:eastAsia="黑体"/>
        </w:rPr>
        <w:t>三、支出决算情况说明</w:t>
      </w:r>
    </w:p>
    <w:p>
      <w:pPr>
        <w:pStyle w:val="4"/>
        <w:spacing w:before="173"/>
        <w:ind w:left="1967"/>
      </w:pPr>
      <w:r>
        <w:t>本部门 2018 年度本年支出合计 198.03 万元，其中：基本支</w:t>
      </w:r>
    </w:p>
    <w:p>
      <w:pPr>
        <w:pStyle w:val="4"/>
        <w:spacing w:before="181"/>
        <w:ind w:left="1328"/>
        <w:jc w:val="both"/>
      </w:pPr>
      <w:r>
        <w:t>出</w:t>
      </w:r>
      <w:r>
        <w:rPr>
          <w:spacing w:val="-83"/>
        </w:rPr>
        <w:t xml:space="preserve"> </w:t>
      </w:r>
      <w:r>
        <w:t>121.03</w:t>
      </w:r>
      <w:r>
        <w:rPr>
          <w:spacing w:val="-81"/>
        </w:rPr>
        <w:t xml:space="preserve"> </w:t>
      </w:r>
      <w:r>
        <w:t>万元，占</w:t>
      </w:r>
      <w:r>
        <w:rPr>
          <w:spacing w:val="-80"/>
        </w:rPr>
        <w:t xml:space="preserve"> </w:t>
      </w:r>
      <w:r>
        <w:t>61.2</w:t>
      </w:r>
      <w:r>
        <w:rPr>
          <w:spacing w:val="3"/>
          <w:w w:val="99"/>
        </w:rPr>
        <w:drawing>
          <wp:inline distT="0" distB="0" distL="0" distR="0">
            <wp:extent cx="85090" cy="154940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4.pn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，项目支出</w:t>
      </w:r>
      <w:r>
        <w:rPr>
          <w:spacing w:val="-79"/>
        </w:rPr>
        <w:t xml:space="preserve"> </w:t>
      </w:r>
      <w:r>
        <w:t>77</w:t>
      </w:r>
      <w:r>
        <w:rPr>
          <w:spacing w:val="-85"/>
        </w:rPr>
        <w:t xml:space="preserve"> </w:t>
      </w:r>
      <w:r>
        <w:t>万元，占</w:t>
      </w:r>
      <w:r>
        <w:rPr>
          <w:spacing w:val="-78"/>
        </w:rPr>
        <w:t xml:space="preserve"> </w:t>
      </w:r>
      <w:r>
        <w:t>38.8</w:t>
      </w:r>
      <w:r>
        <w:rPr>
          <w:spacing w:val="3"/>
          <w:w w:val="99"/>
        </w:rPr>
        <w:drawing>
          <wp:inline distT="0" distB="0" distL="0" distR="0">
            <wp:extent cx="85090" cy="154940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4.pn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</w:t>
      </w:r>
    </w:p>
    <w:p>
      <w:pPr>
        <w:pStyle w:val="4"/>
        <w:spacing w:before="170"/>
        <w:ind w:left="1967"/>
        <w:rPr>
          <w:rFonts w:hint="eastAsia" w:ascii="黑体" w:eastAsia="黑体"/>
        </w:rPr>
      </w:pPr>
      <w:r>
        <w:rPr>
          <w:rFonts w:hint="eastAsia" w:ascii="黑体" w:eastAsia="黑体"/>
        </w:rPr>
        <w:t>四、财政拨款收入支出决算情况说明</w:t>
      </w:r>
    </w:p>
    <w:p>
      <w:pPr>
        <w:pStyle w:val="3"/>
        <w:spacing w:before="174"/>
      </w:pPr>
      <w:bookmarkStart w:id="6" w:name="（一）财政拨款收支与 2017 年度决算对比情况"/>
      <w:bookmarkEnd w:id="6"/>
      <w:r>
        <w:t>（一）财政拨款收支与 2017 年度决算对比情况</w:t>
      </w:r>
    </w:p>
    <w:p>
      <w:pPr>
        <w:pStyle w:val="4"/>
        <w:spacing w:before="175"/>
        <w:ind w:right="1183"/>
        <w:jc w:val="right"/>
      </w:pPr>
      <w:r>
        <w:rPr>
          <w:spacing w:val="-21"/>
        </w:rPr>
        <w:t xml:space="preserve">本部门 </w:t>
      </w:r>
      <w:r>
        <w:t>2018</w:t>
      </w:r>
      <w:r>
        <w:rPr>
          <w:spacing w:val="-11"/>
        </w:rPr>
        <w:t xml:space="preserve"> 年度形成的财政拨款收支均为一般公共预算财</w:t>
      </w:r>
    </w:p>
    <w:p>
      <w:pPr>
        <w:pStyle w:val="4"/>
        <w:spacing w:before="176"/>
        <w:ind w:right="1178"/>
        <w:jc w:val="right"/>
      </w:pPr>
      <w:r>
        <w:t>政拨款，其中一般公共预算财政拨款本年收入 381.03</w:t>
      </w:r>
      <w:r>
        <w:rPr>
          <w:spacing w:val="-11"/>
        </w:rPr>
        <w:t xml:space="preserve"> 万元,比</w:t>
      </w:r>
    </w:p>
    <w:p>
      <w:pPr>
        <w:pStyle w:val="4"/>
        <w:spacing w:before="179" w:line="340" w:lineRule="auto"/>
        <w:ind w:left="1328" w:right="1152"/>
        <w:jc w:val="both"/>
      </w:pPr>
      <w:r>
        <w:t>2017</w:t>
      </w:r>
      <w:r>
        <w:rPr>
          <w:spacing w:val="-82"/>
        </w:rPr>
        <w:t xml:space="preserve"> </w:t>
      </w:r>
      <w:r>
        <w:t>年</w:t>
      </w:r>
      <w:r>
        <w:rPr>
          <w:spacing w:val="7"/>
        </w:rPr>
        <w:t>度</w:t>
      </w:r>
      <w:r>
        <w:t>减少</w:t>
      </w:r>
      <w:r>
        <w:rPr>
          <w:spacing w:val="-75"/>
        </w:rPr>
        <w:t xml:space="preserve"> </w:t>
      </w:r>
      <w:r>
        <w:t>247.37</w:t>
      </w:r>
      <w:r>
        <w:rPr>
          <w:spacing w:val="-79"/>
        </w:rPr>
        <w:t xml:space="preserve"> </w:t>
      </w:r>
      <w:r>
        <w:t>万</w:t>
      </w:r>
      <w:r>
        <w:rPr>
          <w:spacing w:val="9"/>
        </w:rPr>
        <w:t>元</w:t>
      </w:r>
      <w:r>
        <w:t>，降低</w:t>
      </w:r>
      <w:r>
        <w:rPr>
          <w:spacing w:val="-75"/>
        </w:rPr>
        <w:t xml:space="preserve"> </w:t>
      </w:r>
      <w:r>
        <w:rPr>
          <w:spacing w:val="2"/>
        </w:rPr>
        <w:t>39.37</w:t>
      </w:r>
      <w:r>
        <w:rPr>
          <w:spacing w:val="6"/>
          <w:w w:val="99"/>
        </w:rPr>
        <w:drawing>
          <wp:inline distT="0" distB="0" distL="0" distR="0">
            <wp:extent cx="85090" cy="154940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4.pn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spacing w:val="7"/>
        </w:rPr>
        <w:t>主</w:t>
      </w:r>
      <w:r>
        <w:t>要是因为</w:t>
      </w:r>
      <w:r>
        <w:rPr>
          <w:spacing w:val="-71"/>
        </w:rPr>
        <w:t xml:space="preserve"> </w:t>
      </w:r>
      <w:r>
        <w:t>2017</w:t>
      </w:r>
      <w:r>
        <w:rPr>
          <w:spacing w:val="-79"/>
        </w:rPr>
        <w:t xml:space="preserve"> </w:t>
      </w:r>
      <w:r>
        <w:t>年</w:t>
      </w:r>
      <w:r>
        <w:rPr>
          <w:spacing w:val="-20"/>
        </w:rPr>
        <w:t xml:space="preserve">度有 </w:t>
      </w:r>
      <w:r>
        <w:t>500 万元是用于处置军人生活费、养老金等支出，2018</w:t>
      </w:r>
      <w:r>
        <w:rPr>
          <w:spacing w:val="-17"/>
        </w:rPr>
        <w:t xml:space="preserve"> 年</w:t>
      </w:r>
      <w:r>
        <w:rPr>
          <w:spacing w:val="-10"/>
        </w:rPr>
        <w:t xml:space="preserve">无此项工作；本年支出 </w:t>
      </w:r>
      <w:r>
        <w:t>198.03</w:t>
      </w:r>
      <w:r>
        <w:rPr>
          <w:spacing w:val="-19"/>
        </w:rPr>
        <w:t xml:space="preserve"> 万元，减少 </w:t>
      </w:r>
      <w:r>
        <w:t>430.37</w:t>
      </w:r>
      <w:r>
        <w:rPr>
          <w:spacing w:val="-8"/>
        </w:rPr>
        <w:t xml:space="preserve"> 万元，降低</w:t>
      </w:r>
    </w:p>
    <w:p>
      <w:pPr>
        <w:spacing w:after="0" w:line="340" w:lineRule="auto"/>
        <w:jc w:val="both"/>
        <w:sectPr>
          <w:headerReference r:id="rId15" w:type="default"/>
          <w:pgSz w:w="11910" w:h="16840"/>
          <w:pgMar w:top="560" w:right="280" w:bottom="280" w:left="260" w:header="0" w:footer="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0"/>
        <w:rPr>
          <w:sz w:val="23"/>
        </w:rPr>
      </w:pPr>
    </w:p>
    <w:p>
      <w:pPr>
        <w:pStyle w:val="4"/>
        <w:spacing w:before="55" w:line="338" w:lineRule="auto"/>
        <w:ind w:left="1328" w:right="1195"/>
      </w:pPr>
      <w:r>
        <w:t>68.49</w:t>
      </w:r>
      <w:r>
        <w:rPr>
          <w:spacing w:val="-156"/>
        </w:rPr>
        <w:t xml:space="preserve"> </w:t>
      </w:r>
      <w:r>
        <w:rPr>
          <w:spacing w:val="6"/>
          <w:w w:val="99"/>
        </w:rPr>
        <w:drawing>
          <wp:inline distT="0" distB="0" distL="0" distR="0">
            <wp:extent cx="85090" cy="154940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4.pn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，2017</w:t>
      </w:r>
      <w:r>
        <w:rPr>
          <w:spacing w:val="-82"/>
        </w:rPr>
        <w:t xml:space="preserve"> </w:t>
      </w:r>
      <w:r>
        <w:rPr>
          <w:spacing w:val="7"/>
        </w:rPr>
        <w:t>年度</w:t>
      </w:r>
      <w:r>
        <w:t>有</w:t>
      </w:r>
      <w:r>
        <w:rPr>
          <w:spacing w:val="-80"/>
        </w:rPr>
        <w:t xml:space="preserve"> </w:t>
      </w:r>
      <w:r>
        <w:t>500</w:t>
      </w:r>
      <w:r>
        <w:rPr>
          <w:spacing w:val="-87"/>
        </w:rPr>
        <w:t xml:space="preserve"> </w:t>
      </w:r>
      <w:r>
        <w:rPr>
          <w:spacing w:val="9"/>
        </w:rPr>
        <w:t>万</w:t>
      </w:r>
      <w:r>
        <w:rPr>
          <w:spacing w:val="7"/>
        </w:rPr>
        <w:t>元</w:t>
      </w:r>
      <w:r>
        <w:rPr>
          <w:spacing w:val="9"/>
        </w:rPr>
        <w:t>是用</w:t>
      </w:r>
      <w:r>
        <w:rPr>
          <w:spacing w:val="7"/>
        </w:rPr>
        <w:t>于</w:t>
      </w:r>
      <w:r>
        <w:rPr>
          <w:spacing w:val="9"/>
        </w:rPr>
        <w:t>处</w:t>
      </w:r>
      <w:r>
        <w:rPr>
          <w:spacing w:val="7"/>
        </w:rPr>
        <w:t>置</w:t>
      </w:r>
      <w:r>
        <w:rPr>
          <w:spacing w:val="9"/>
        </w:rPr>
        <w:t>军</w:t>
      </w:r>
      <w:r>
        <w:rPr>
          <w:spacing w:val="7"/>
        </w:rPr>
        <w:t>人</w:t>
      </w:r>
      <w:r>
        <w:rPr>
          <w:spacing w:val="9"/>
        </w:rPr>
        <w:t>生活</w:t>
      </w:r>
      <w:r>
        <w:rPr>
          <w:spacing w:val="7"/>
        </w:rPr>
        <w:t>费</w:t>
      </w:r>
      <w:r>
        <w:rPr>
          <w:spacing w:val="9"/>
        </w:rPr>
        <w:t>、养</w:t>
      </w:r>
      <w:r>
        <w:rPr>
          <w:spacing w:val="7"/>
        </w:rPr>
        <w:t>老</w:t>
      </w:r>
      <w:r>
        <w:t>金等支出，2018</w:t>
      </w:r>
      <w:r>
        <w:rPr>
          <w:spacing w:val="-11"/>
        </w:rPr>
        <w:t xml:space="preserve"> 年无此项工作。</w:t>
      </w:r>
    </w:p>
    <w:p>
      <w:pPr>
        <w:pStyle w:val="3"/>
        <w:spacing w:before="14"/>
      </w:pPr>
      <w:bookmarkStart w:id="7" w:name="（二）财政拨款收支与年初预算数对比情况"/>
      <w:bookmarkEnd w:id="7"/>
      <w:r>
        <w:t>（二）财政拨款收支与年初预算数对比情况</w:t>
      </w:r>
    </w:p>
    <w:p>
      <w:pPr>
        <w:pStyle w:val="4"/>
        <w:spacing w:before="173" w:line="343" w:lineRule="auto"/>
        <w:ind w:left="1328" w:right="1149" w:firstLine="636"/>
      </w:pPr>
      <w:r>
        <w:rPr>
          <w:spacing w:val="-22"/>
        </w:rPr>
        <w:t xml:space="preserve">本部门 </w:t>
      </w:r>
      <w:r>
        <w:t>2018</w:t>
      </w:r>
      <w:r>
        <w:rPr>
          <w:spacing w:val="-18"/>
        </w:rPr>
        <w:t xml:space="preserve"> 年度一般公共预算财政拨款收入 </w:t>
      </w:r>
      <w:r>
        <w:t>381.03</w:t>
      </w:r>
      <w:r>
        <w:rPr>
          <w:spacing w:val="-18"/>
        </w:rPr>
        <w:t xml:space="preserve"> 万元， </w:t>
      </w:r>
      <w:r>
        <w:rPr>
          <w:spacing w:val="-8"/>
        </w:rPr>
        <w:t xml:space="preserve">完成年初预算的 </w:t>
      </w:r>
      <w:r>
        <w:rPr>
          <w:spacing w:val="-3"/>
        </w:rPr>
        <w:t>141.34</w:t>
      </w:r>
      <w:r>
        <w:rPr>
          <w:spacing w:val="-9"/>
        </w:rPr>
        <w:t xml:space="preserve">%；本年支出 </w:t>
      </w:r>
      <w:r>
        <w:t>198.03</w:t>
      </w:r>
      <w:r>
        <w:rPr>
          <w:spacing w:val="-8"/>
        </w:rPr>
        <w:t xml:space="preserve"> 万元，完成年初预</w:t>
      </w:r>
      <w:r>
        <w:rPr>
          <w:spacing w:val="-35"/>
        </w:rPr>
        <w:t xml:space="preserve">算的 </w:t>
      </w:r>
      <w:r>
        <w:t>144</w:t>
      </w:r>
      <w:r>
        <w:rPr>
          <w:spacing w:val="-11"/>
        </w:rPr>
        <w:t xml:space="preserve">%,比年初预算增加 </w:t>
      </w:r>
      <w:r>
        <w:t>60.91</w:t>
      </w:r>
      <w:r>
        <w:rPr>
          <w:spacing w:val="-14"/>
        </w:rPr>
        <w:t xml:space="preserve"> 万元，决算数大于预算数主要</w:t>
      </w:r>
      <w:r>
        <w:rPr>
          <w:spacing w:val="-11"/>
        </w:rPr>
        <w:t>原因是追加专项资金。</w:t>
      </w:r>
    </w:p>
    <w:p>
      <w:pPr>
        <w:pStyle w:val="3"/>
        <w:spacing w:before="2"/>
      </w:pPr>
      <w:bookmarkStart w:id="8" w:name="（三）财政拨款支出决算结构情况。"/>
      <w:bookmarkEnd w:id="8"/>
      <w:r>
        <w:t>（三）财政拨款支出决算结构情况。</w:t>
      </w:r>
    </w:p>
    <w:p>
      <w:pPr>
        <w:pStyle w:val="4"/>
        <w:spacing w:before="173" w:line="343" w:lineRule="auto"/>
        <w:ind w:left="1328" w:right="1082" w:firstLine="924"/>
      </w:pPr>
      <w:r>
        <w:rPr>
          <w:spacing w:val="-24"/>
        </w:rPr>
        <w:t>2018</w:t>
      </w:r>
      <w:r>
        <w:rPr>
          <w:spacing w:val="-38"/>
        </w:rPr>
        <w:t xml:space="preserve"> 年度财政拨款支出 </w:t>
      </w:r>
      <w:r>
        <w:rPr>
          <w:spacing w:val="-27"/>
        </w:rPr>
        <w:t>198.03</w:t>
      </w:r>
      <w:r>
        <w:rPr>
          <w:spacing w:val="-37"/>
        </w:rPr>
        <w:t xml:space="preserve"> 万元，主要用于以下方面：一般</w:t>
      </w:r>
      <w:r>
        <w:rPr>
          <w:spacing w:val="-33"/>
        </w:rPr>
        <w:t xml:space="preserve">公共服务支出 </w:t>
      </w:r>
      <w:r>
        <w:rPr>
          <w:spacing w:val="-27"/>
        </w:rPr>
        <w:t>186.93</w:t>
      </w:r>
      <w:r>
        <w:rPr>
          <w:spacing w:val="-40"/>
        </w:rPr>
        <w:t xml:space="preserve"> 万元，占</w:t>
      </w:r>
      <w:r>
        <w:rPr>
          <w:spacing w:val="-32"/>
        </w:rPr>
        <w:t>94.39%;</w:t>
      </w:r>
      <w:r>
        <w:rPr>
          <w:spacing w:val="-31"/>
        </w:rPr>
        <w:t>社会保障肯就业支出</w:t>
      </w:r>
      <w:r>
        <w:rPr>
          <w:spacing w:val="-20"/>
        </w:rPr>
        <w:t>1.1</w:t>
      </w:r>
      <w:r>
        <w:rPr>
          <w:spacing w:val="-34"/>
        </w:rPr>
        <w:t xml:space="preserve"> 万元， </w:t>
      </w:r>
      <w:r>
        <w:rPr>
          <w:spacing w:val="-31"/>
        </w:rPr>
        <w:t>占</w:t>
      </w:r>
      <w:r>
        <w:rPr>
          <w:spacing w:val="-32"/>
        </w:rPr>
        <w:t>0.56</w:t>
      </w:r>
      <w:r>
        <w:rPr>
          <w:spacing w:val="-33"/>
        </w:rPr>
        <w:t xml:space="preserve">%；资源勘探信息类支出 </w:t>
      </w:r>
      <w:r>
        <w:rPr>
          <w:spacing w:val="-15"/>
        </w:rPr>
        <w:t>10</w:t>
      </w:r>
      <w:r>
        <w:rPr>
          <w:spacing w:val="-39"/>
        </w:rPr>
        <w:t xml:space="preserve"> 万元，占</w:t>
      </w:r>
      <w:r>
        <w:rPr>
          <w:spacing w:val="-33"/>
        </w:rPr>
        <w:t>5.05</w:t>
      </w:r>
      <w:r>
        <w:rPr>
          <w:spacing w:val="-17"/>
        </w:rPr>
        <w:t>%。</w:t>
      </w:r>
    </w:p>
    <w:p>
      <w:pPr>
        <w:pStyle w:val="3"/>
        <w:spacing w:before="166"/>
        <w:ind w:left="101" w:right="574"/>
        <w:jc w:val="center"/>
      </w:pPr>
      <w:bookmarkStart w:id="9" w:name="（四）一般公共预算财政拨款基本支出决算情况说明"/>
      <w:bookmarkEnd w:id="9"/>
      <w:r>
        <w:t>（四）一般公共预算财政拨款基本支出决算情况说明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3" w:line="360" w:lineRule="auto"/>
        <w:ind w:right="1152"/>
        <w:jc w:val="right"/>
        <w:textAlignment w:val="auto"/>
      </w:pPr>
      <w:r>
        <w:t>2018</w:t>
      </w:r>
      <w:r>
        <w:rPr>
          <w:spacing w:val="-10"/>
        </w:rPr>
        <w:t xml:space="preserve"> 年度一般公共预算财政拨款基本支出 </w:t>
      </w:r>
      <w:r>
        <w:t>121.03</w:t>
      </w:r>
      <w:r>
        <w:rPr>
          <w:spacing w:val="-34"/>
        </w:rPr>
        <w:t xml:space="preserve"> 万元，其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6" w:line="360" w:lineRule="auto"/>
        <w:ind w:right="1169"/>
        <w:jc w:val="right"/>
        <w:textAlignment w:val="auto"/>
      </w:pPr>
      <w:r>
        <w:rPr>
          <w:spacing w:val="-20"/>
        </w:rPr>
        <w:t xml:space="preserve">中：人员经费 </w:t>
      </w:r>
      <w:r>
        <w:t>90.89</w:t>
      </w:r>
      <w:r>
        <w:rPr>
          <w:spacing w:val="-21"/>
        </w:rPr>
        <w:t xml:space="preserve"> 万元，主要包括</w:t>
      </w:r>
      <w:r>
        <w:rPr>
          <w:rFonts w:hint="eastAsia"/>
          <w:spacing w:val="-21"/>
          <w:lang w:eastAsia="zh-CN"/>
        </w:rPr>
        <w:t>：</w:t>
      </w:r>
      <w:r>
        <w:rPr>
          <w:spacing w:val="-21"/>
        </w:rPr>
        <w:t xml:space="preserve">基本工资 </w:t>
      </w:r>
      <w:r>
        <w:t>71.25</w:t>
      </w:r>
      <w:r>
        <w:rPr>
          <w:spacing w:val="-20"/>
        </w:rPr>
        <w:t xml:space="preserve"> 万元，津贴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6" w:line="360" w:lineRule="auto"/>
        <w:ind w:left="1276" w:leftChars="580" w:right="1183" w:firstLine="296" w:firstLineChars="100"/>
        <w:jc w:val="left"/>
        <w:textAlignment w:val="auto"/>
        <w:rPr>
          <w:rFonts w:hint="eastAsia"/>
          <w:spacing w:val="-12"/>
          <w:lang w:eastAsia="zh-CN"/>
        </w:rPr>
      </w:pPr>
      <w:r>
        <w:rPr>
          <w:rFonts w:hint="eastAsia"/>
          <w:spacing w:val="-12"/>
          <w:lang w:eastAsia="zh-CN"/>
        </w:rPr>
        <w:t>补贴 5.63 万元，奖金 14 万元；对个人和家庭的补助 8.75 万元；公用经费21.39 万元，主要包括：办公费 2.21 万元，差旅费 1.75 万元，电费</w:t>
      </w:r>
      <w:r>
        <w:rPr>
          <w:rFonts w:hint="eastAsia"/>
          <w:spacing w:val="-12"/>
          <w:lang w:val="en-US" w:eastAsia="zh-CN"/>
        </w:rPr>
        <w:t>0.6万元，</w:t>
      </w:r>
      <w:r>
        <w:rPr>
          <w:rFonts w:hint="eastAsia"/>
          <w:spacing w:val="-12"/>
          <w:lang w:eastAsia="zh-CN"/>
        </w:rPr>
        <w:t xml:space="preserve"> 委托业务费 10.65 万元，公务用车运行维护费 1.26 万元，其他交通费用补贴支出 4.74 万元。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6" w:line="360" w:lineRule="auto"/>
        <w:ind w:left="1276" w:leftChars="580" w:right="1183" w:firstLine="296" w:firstLineChars="100"/>
        <w:jc w:val="left"/>
        <w:textAlignment w:val="auto"/>
        <w:rPr>
          <w:rFonts w:hint="eastAsia"/>
          <w:spacing w:val="-12"/>
          <w:lang w:eastAsia="zh-CN"/>
        </w:rPr>
        <w:sectPr>
          <w:headerReference r:id="rId16" w:type="default"/>
          <w:pgSz w:w="11910" w:h="16840"/>
          <w:pgMar w:top="1600" w:right="280" w:bottom="280" w:left="260" w:header="0" w:footer="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09"/>
        <w:ind w:left="1967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五、一般公共预算财政拨款“三公” 经费支出决算情况说</w:t>
      </w:r>
    </w:p>
    <w:p>
      <w:pPr>
        <w:pStyle w:val="4"/>
        <w:spacing w:before="164"/>
        <w:ind w:left="1328"/>
        <w:rPr>
          <w:rFonts w:hint="eastAsia" w:ascii="黑体" w:eastAsia="黑体"/>
        </w:rPr>
      </w:pPr>
      <w:r>
        <w:rPr>
          <w:rFonts w:hint="eastAsia" w:ascii="黑体" w:eastAsia="黑体"/>
          <w:w w:val="97"/>
        </w:rPr>
        <w:t>明</w:t>
      </w:r>
    </w:p>
    <w:p>
      <w:pPr>
        <w:pStyle w:val="4"/>
        <w:spacing w:before="4"/>
        <w:rPr>
          <w:rFonts w:ascii="黑体"/>
          <w:sz w:val="9"/>
        </w:rPr>
      </w:pPr>
    </w:p>
    <w:p>
      <w:pPr>
        <w:pStyle w:val="4"/>
        <w:spacing w:before="54" w:line="343" w:lineRule="auto"/>
        <w:ind w:left="956" w:right="1133" w:firstLine="640"/>
        <w:jc w:val="both"/>
      </w:pPr>
      <w:r>
        <w:t>本部门2018年度 “三公”经费支出共计1.26万元，较年初预持平，主要是认真贯彻落实中央八项规定精神和厉行节约要</w:t>
      </w:r>
      <w:r>
        <w:rPr>
          <w:w w:val="95"/>
        </w:rPr>
        <w:t xml:space="preserve">求，从严控制“三公”经费开支，全年实际支出比预算有所节约。 </w:t>
      </w:r>
      <w:r>
        <w:t>具体情况如下：</w:t>
      </w:r>
    </w:p>
    <w:p>
      <w:pPr>
        <w:pStyle w:val="4"/>
        <w:ind w:left="1328"/>
      </w:pPr>
      <w:r>
        <w:t>（一）因公出国（境）费支出0万元。本部门2018年度因公出国</w:t>
      </w:r>
    </w:p>
    <w:p>
      <w:pPr>
        <w:pStyle w:val="4"/>
        <w:spacing w:before="178" w:line="343" w:lineRule="auto"/>
        <w:ind w:left="1328" w:right="922"/>
      </w:pPr>
      <w:r>
        <w:t>（境）团组0个、共</w:t>
      </w:r>
      <w:r>
        <w:rPr>
          <w:spacing w:val="3"/>
        </w:rPr>
        <w:t>0</w:t>
      </w:r>
      <w:r>
        <w:t xml:space="preserve">人/参加其他单位组织的因公出国（境）团 </w:t>
      </w:r>
      <w:r>
        <w:rPr>
          <w:w w:val="95"/>
        </w:rPr>
        <w:t xml:space="preserve">组0个、共0人/无本单位组织的出国（境）团组。因公出国（境） </w:t>
      </w:r>
      <w:r>
        <w:t>费支出较年初预算持平,主要是未发生此项支出。</w:t>
      </w:r>
    </w:p>
    <w:p>
      <w:pPr>
        <w:pStyle w:val="4"/>
        <w:spacing w:before="173" w:line="343" w:lineRule="auto"/>
        <w:ind w:left="1328" w:right="921"/>
      </w:pPr>
      <w:r>
        <w:t xml:space="preserve">（二）公务用车购置及运行维护费支出1.26万元。本部门2018 </w:t>
      </w:r>
      <w:r>
        <w:rPr>
          <w:w w:val="95"/>
        </w:rPr>
        <w:t>年度公务用车购置及运行维护费较年初预算减少0万元，降低0%。</w:t>
      </w:r>
    </w:p>
    <w:p>
      <w:pPr>
        <w:pStyle w:val="4"/>
        <w:spacing w:before="172" w:line="343" w:lineRule="auto"/>
        <w:ind w:left="1328" w:right="1190"/>
        <w:jc w:val="both"/>
      </w:pPr>
      <w:r>
        <w:rPr>
          <w:b/>
          <w:spacing w:val="16"/>
          <w:w w:val="95"/>
        </w:rPr>
        <w:t>公务用车购置费</w:t>
      </w:r>
      <w:r>
        <w:rPr>
          <w:spacing w:val="14"/>
          <w:w w:val="95"/>
        </w:rPr>
        <w:t>：本部门</w:t>
      </w:r>
      <w:r>
        <w:rPr>
          <w:spacing w:val="3"/>
          <w:w w:val="95"/>
        </w:rPr>
        <w:t>2018</w:t>
      </w:r>
      <w:r>
        <w:rPr>
          <w:spacing w:val="14"/>
          <w:w w:val="95"/>
        </w:rPr>
        <w:t>年度公务用车购置量</w:t>
      </w:r>
      <w:r>
        <w:rPr>
          <w:spacing w:val="15"/>
          <w:w w:val="95"/>
        </w:rPr>
        <w:t>0</w:t>
      </w:r>
      <w:r>
        <w:rPr>
          <w:spacing w:val="10"/>
          <w:w w:val="95"/>
        </w:rPr>
        <w:t xml:space="preserve">辆，发生 </w:t>
      </w:r>
      <w:r>
        <w:rPr>
          <w:spacing w:val="3"/>
        </w:rPr>
        <w:t>“公务用车购置”经费支出0</w:t>
      </w:r>
      <w:r>
        <w:t>万元。公务用车购置费支出较年初预算持平,主要是未发生‘公务用车购置’经费支出。</w:t>
      </w:r>
    </w:p>
    <w:p>
      <w:pPr>
        <w:pStyle w:val="4"/>
        <w:spacing w:before="173" w:line="343" w:lineRule="auto"/>
        <w:ind w:left="1328" w:right="909"/>
      </w:pPr>
      <w:r>
        <w:rPr>
          <w:b/>
          <w:w w:val="95"/>
        </w:rPr>
        <w:t>公务用车运行维护费</w:t>
      </w:r>
      <w:r>
        <w:rPr>
          <w:w w:val="95"/>
        </w:rPr>
        <w:t xml:space="preserve">：本部门2018年度单位公务用车保有量1辆。 </w:t>
      </w:r>
      <w:r>
        <w:t>公车运行维护费支出较年初预算持平,主要是认真贯彻落实中央</w:t>
      </w:r>
      <w:r>
        <w:rPr>
          <w:spacing w:val="6"/>
        </w:rPr>
        <w:t>八项规定精神和厉行节约要求，从严控制“三公”经费开支。</w:t>
      </w:r>
    </w:p>
    <w:p>
      <w:pPr>
        <w:spacing w:after="0" w:line="343" w:lineRule="auto"/>
        <w:sectPr>
          <w:headerReference r:id="rId17" w:type="default"/>
          <w:pgSz w:w="11910" w:h="16840"/>
          <w:pgMar w:top="1480" w:right="280" w:bottom="280" w:left="260" w:header="586" w:footer="0" w:gutter="0"/>
          <w:cols w:space="720" w:num="1"/>
        </w:sectPr>
      </w:pPr>
    </w:p>
    <w:p>
      <w:pPr>
        <w:pStyle w:val="4"/>
        <w:spacing w:before="97" w:line="343" w:lineRule="auto"/>
        <w:ind w:left="1328" w:right="1194"/>
        <w:jc w:val="both"/>
      </w:pPr>
      <w:r>
        <w:rPr>
          <w:spacing w:val="9"/>
          <w:w w:val="95"/>
        </w:rPr>
        <w:t>（</w:t>
      </w:r>
      <w:r>
        <w:rPr>
          <w:spacing w:val="7"/>
          <w:w w:val="95"/>
        </w:rPr>
        <w:t>三</w:t>
      </w:r>
      <w:r>
        <w:rPr>
          <w:spacing w:val="9"/>
          <w:w w:val="95"/>
        </w:rPr>
        <w:t>）</w:t>
      </w:r>
      <w:r>
        <w:rPr>
          <w:spacing w:val="7"/>
          <w:w w:val="95"/>
        </w:rPr>
        <w:t>公务接待费支出</w:t>
      </w:r>
      <w:r>
        <w:rPr>
          <w:spacing w:val="8"/>
          <w:w w:val="95"/>
        </w:rPr>
        <w:t>0</w:t>
      </w:r>
      <w:r>
        <w:rPr>
          <w:spacing w:val="7"/>
          <w:w w:val="95"/>
        </w:rPr>
        <w:t>万元。本部门</w:t>
      </w:r>
      <w:r>
        <w:rPr>
          <w:w w:val="95"/>
        </w:rPr>
        <w:t>2018</w:t>
      </w:r>
      <w:r>
        <w:rPr>
          <w:spacing w:val="7"/>
          <w:w w:val="95"/>
        </w:rPr>
        <w:t>年度公务接待共</w:t>
      </w:r>
      <w:r>
        <w:rPr>
          <w:spacing w:val="8"/>
          <w:w w:val="95"/>
        </w:rPr>
        <w:t>0</w:t>
      </w:r>
      <w:r>
        <w:rPr>
          <w:w w:val="95"/>
        </w:rPr>
        <w:t xml:space="preserve">批 </w:t>
      </w:r>
      <w:r>
        <w:rPr>
          <w:spacing w:val="8"/>
          <w:w w:val="95"/>
        </w:rPr>
        <w:t>次、0</w:t>
      </w:r>
      <w:r>
        <w:rPr>
          <w:spacing w:val="6"/>
          <w:w w:val="95"/>
        </w:rPr>
        <w:t xml:space="preserve">人次。公务接待费支出较年初持平,主要是认真贯彻落实 中央八项规定精神和厉行节约要求，从严控制“三公”经 </w:t>
      </w:r>
      <w:r>
        <w:rPr>
          <w:spacing w:val="6"/>
        </w:rPr>
        <w:t>费开支。</w:t>
      </w:r>
    </w:p>
    <w:p>
      <w:pPr>
        <w:pStyle w:val="4"/>
        <w:spacing w:before="177"/>
        <w:ind w:left="1967"/>
        <w:rPr>
          <w:rFonts w:hint="eastAsia" w:ascii="黑体" w:eastAsia="黑体"/>
        </w:rPr>
      </w:pPr>
      <w:r>
        <w:rPr>
          <w:rFonts w:hint="eastAsia" w:ascii="黑体" w:eastAsia="黑体"/>
        </w:rPr>
        <w:t>六、预算绩效情况说明</w:t>
      </w:r>
    </w:p>
    <w:p>
      <w:pPr>
        <w:pStyle w:val="4"/>
        <w:spacing w:before="175"/>
        <w:ind w:left="1967"/>
        <w:jc w:val="both"/>
      </w:pPr>
      <w:r>
        <w:t>2018 年，根据财政部《财政支出绩效评价管理暂行办法》</w:t>
      </w:r>
    </w:p>
    <w:p>
      <w:pPr>
        <w:pStyle w:val="4"/>
        <w:spacing w:before="174" w:line="343" w:lineRule="auto"/>
        <w:ind w:left="1328" w:right="1166"/>
        <w:jc w:val="both"/>
      </w:pPr>
      <w:r>
        <w:rPr>
          <w:spacing w:val="-4"/>
          <w:w w:val="95"/>
        </w:rPr>
        <w:t>《河北省财政支出绩效评价管理办法》的规定，对纳入年度绩效 评</w:t>
      </w:r>
      <w:r>
        <w:rPr>
          <w:spacing w:val="-8"/>
          <w:w w:val="95"/>
        </w:rPr>
        <w:t>价范围的项目，围绕“预算编制有目标、预算执行有监控、预 算完</w:t>
      </w:r>
      <w:r>
        <w:rPr>
          <w:spacing w:val="-16"/>
          <w:w w:val="95"/>
        </w:rPr>
        <w:t>成有评价、评价结果有反馈，反馈结果有应用”的绩效目标 要求，认</w:t>
      </w:r>
      <w:r>
        <w:rPr>
          <w:spacing w:val="-15"/>
        </w:rPr>
        <w:t>真开展绩效评价，促进提高项目资金使用绩效。</w:t>
      </w:r>
    </w:p>
    <w:p>
      <w:pPr>
        <w:pStyle w:val="4"/>
        <w:spacing w:before="1" w:line="343" w:lineRule="auto"/>
        <w:ind w:left="1328" w:right="1015" w:firstLine="636"/>
        <w:jc w:val="both"/>
        <w:rPr>
          <w:rFonts w:hint="eastAsia"/>
          <w:spacing w:val="-20"/>
          <w:lang w:eastAsia="zh-CN"/>
        </w:rPr>
      </w:pPr>
      <w:r>
        <w:rPr>
          <w:spacing w:val="-10"/>
          <w:w w:val="95"/>
        </w:rPr>
        <w:t xml:space="preserve">按照绩效评价的有关程序，组织具体项目单位对项目绩效开展 </w:t>
      </w:r>
      <w:r>
        <w:rPr>
          <w:spacing w:val="-9"/>
          <w:w w:val="95"/>
        </w:rPr>
        <w:t xml:space="preserve">了自我评价，在各单位自评的基础上，进行了综合评价，从项目年 </w:t>
      </w:r>
      <w:r>
        <w:rPr>
          <w:spacing w:val="-20"/>
        </w:rPr>
        <w:t>度目标，效率目标、项目管理和项目结果等方面进行了评价</w:t>
      </w:r>
      <w:r>
        <w:rPr>
          <w:rFonts w:hint="eastAsia"/>
          <w:spacing w:val="-20"/>
          <w:lang w:eastAsia="zh-CN"/>
        </w:rPr>
        <w:t>，具体如下：</w:t>
      </w:r>
    </w:p>
    <w:p>
      <w:pPr>
        <w:pStyle w:val="4"/>
        <w:spacing w:before="1" w:line="343" w:lineRule="auto"/>
        <w:ind w:left="1328" w:right="1015" w:firstLine="636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（一）预算绩效管理工作开展情况</w:t>
      </w:r>
    </w:p>
    <w:p>
      <w:pPr>
        <w:pStyle w:val="4"/>
        <w:spacing w:before="1" w:line="343" w:lineRule="auto"/>
        <w:ind w:left="1328" w:right="1015" w:firstLine="636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县发改局组针对2018年度一般公共预算项目支出全面开展绩效自评。本部门共有一级项目3个，二级项目5个，共涉及金额77万元，占一般公共预算项目支出总额的100%。组织对2018年度全县重点项目集中开工、观摩项目、招商引资项目、双创双服项目、大气污染治理散煤清理项目等项5个项目开展了部门评价，涉及一般公共预支出77万元，政府性基金预算支出0万元。77万元中，8万元用于大气污染治理散煤清理场地租赁费和人工看管费，5万元用于双创双服工作开展经费，64万元用于全县重点项目集中开工、观摩的整地平整、绿网覆盖、展板制作和招商引资工作费用。2018年12月31日77万项目资金全部拨</w:t>
      </w:r>
      <w:bookmarkStart w:id="14" w:name="_GoBack"/>
      <w:bookmarkEnd w:id="14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付，达到了年度预期目标。         </w:t>
      </w:r>
    </w:p>
    <w:p>
      <w:pPr>
        <w:pStyle w:val="4"/>
        <w:spacing w:before="1" w:line="343" w:lineRule="auto"/>
        <w:ind w:left="1328" w:right="1015" w:firstLine="636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4"/>
        <w:spacing w:before="1" w:line="343" w:lineRule="auto"/>
        <w:ind w:left="1328" w:right="1015" w:firstLine="636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（二）项目绩效自评结果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44" w:lineRule="auto"/>
        <w:ind w:left="1100" w:leftChars="50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县发改局在今年部门决算公开中反映的全县重点项目集中开工、观摩、招商引资项目、双创双服项目、大汽污染治理散煤清理项目等5个项目绩效  自评达到了年度预期目标，自评结果为优秀，具体如下：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44" w:lineRule="auto"/>
        <w:ind w:left="880" w:leftChars="400" w:firstLine="300" w:firstLineChars="1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全县重点项目集中开工、观摩、招商引资项目。全年预算数为64万元，执行数为64万元，完成预算的100%，圆满完成了年初的项目绩效目标，自评得分为100分。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44" w:lineRule="auto"/>
        <w:ind w:left="880" w:leftChars="400" w:firstLine="660" w:firstLineChars="22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双创双服工作经费项目。全年预算数为5万元，执行数为5万元，完成预算的100%，圆满完成了年初的项目绩效目标，自评得分为100分。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44" w:lineRule="auto"/>
        <w:ind w:left="1100" w:leftChars="50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大气污染治理散煤清理项目。全年预算数为8万元，执行数为8万元，完成预算的100%,圆满完成了年初的项目绩效目标，自评得分为100分。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pacing w:line="344" w:lineRule="auto"/>
        <w:ind w:left="125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重点项目绩效评价结果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pacing w:line="344" w:lineRule="auto"/>
        <w:ind w:left="1250" w:leftChars="0" w:right="0" w:rightChars="0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无重点项目绩效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44" w:lineRule="auto"/>
        <w:ind w:left="1100" w:leftChars="500" w:firstLine="288" w:firstLineChars="1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w w:val="90"/>
          <w:sz w:val="32"/>
          <w:szCs w:val="32"/>
        </w:rPr>
        <w:t>七、其他重要事项的说明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75" w:line="344" w:lineRule="auto"/>
        <w:textAlignment w:val="auto"/>
      </w:pPr>
      <w:bookmarkStart w:id="10" w:name="（一）机关运行经费情况"/>
      <w:bookmarkEnd w:id="10"/>
      <w:r>
        <w:rPr>
          <w:spacing w:val="4"/>
          <w:w w:val="90"/>
        </w:rPr>
        <w:t>（</w:t>
      </w:r>
      <w:r>
        <w:rPr>
          <w:spacing w:val="7"/>
          <w:w w:val="90"/>
        </w:rPr>
        <w:t>一</w:t>
      </w:r>
      <w:r>
        <w:rPr>
          <w:spacing w:val="4"/>
          <w:w w:val="90"/>
        </w:rPr>
        <w:t>）</w:t>
      </w:r>
      <w:r>
        <w:rPr>
          <w:spacing w:val="3"/>
          <w:w w:val="90"/>
        </w:rPr>
        <w:t>机关运行经费情况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344" w:lineRule="auto"/>
        <w:ind w:left="0" w:leftChars="0" w:firstLine="1977" w:firstLineChars="618"/>
        <w:jc w:val="left"/>
        <w:textAlignment w:val="auto"/>
      </w:pPr>
      <w:r>
        <w:t>本部门 2018 年度机关运行经费支出 21.</w:t>
      </w:r>
      <w:r>
        <w:rPr>
          <w:rFonts w:hint="eastAsia"/>
          <w:lang w:val="en-US" w:eastAsia="zh-CN"/>
        </w:rPr>
        <w:t>39</w:t>
      </w:r>
      <w:r>
        <w:t xml:space="preserve"> 万元，比年初预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344" w:lineRule="auto"/>
        <w:ind w:left="1320" w:leftChars="0" w:firstLine="0" w:firstLineChars="0"/>
        <w:jc w:val="left"/>
        <w:textAlignment w:val="auto"/>
        <w:rPr>
          <w:rFonts w:hint="default"/>
          <w:lang w:val="en-US" w:eastAsia="zh-CN"/>
        </w:rPr>
      </w:pPr>
      <w:r>
        <w:t>算数增加 5.79 万元，增长 37.12</w:t>
      </w:r>
      <w:r>
        <w:drawing>
          <wp:inline distT="0" distB="0" distL="0" distR="0">
            <wp:extent cx="85090" cy="154940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4.pn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。主要原因是委托业务费增加。</w:t>
      </w:r>
      <w:r>
        <w:rPr>
          <w:rFonts w:hint="eastAsia"/>
          <w:lang w:val="en-US" w:eastAsia="zh-CN"/>
        </w:rPr>
        <w:t>2018年度机关运行经费21.39万元，主要用于：公用经费21.39万元，主要用于办公费、电费、差旅费、会议费、委托业务费、公务用车维护费、其他交通补贴费。</w:t>
      </w:r>
    </w:p>
    <w:p>
      <w:pPr>
        <w:pStyle w:val="3"/>
        <w:spacing w:before="170"/>
      </w:pPr>
      <w:bookmarkStart w:id="11" w:name="（二）政府采购情况"/>
      <w:bookmarkEnd w:id="11"/>
      <w:r>
        <w:t>（二）政府采购情况</w:t>
      </w:r>
    </w:p>
    <w:p>
      <w:pPr>
        <w:pStyle w:val="4"/>
        <w:spacing w:before="173"/>
        <w:ind w:left="1967"/>
        <w:jc w:val="both"/>
      </w:pPr>
      <w:r>
        <w:t>本部门 2018 年度政府采购支出总额 0 万元。</w:t>
      </w:r>
    </w:p>
    <w:p>
      <w:pPr>
        <w:pStyle w:val="3"/>
        <w:spacing w:before="176"/>
      </w:pPr>
      <w:bookmarkStart w:id="12" w:name="（三）国有资产占用情况"/>
      <w:bookmarkEnd w:id="12"/>
      <w:r>
        <w:t>（三）国有资产占用情况</w:t>
      </w:r>
    </w:p>
    <w:p>
      <w:pPr>
        <w:pStyle w:val="4"/>
        <w:spacing w:before="175"/>
        <w:ind w:left="1967"/>
      </w:pPr>
      <w:r>
        <w:t>截至 2018 年12 月31 日，本部门共有车辆 1 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3" w:line="344" w:lineRule="auto"/>
        <w:ind w:left="1274" w:leftChars="579" w:right="173" w:firstLine="608" w:firstLineChars="190"/>
        <w:textAlignment w:val="auto"/>
        <w:rPr>
          <w:w w:val="95"/>
        </w:rPr>
      </w:pPr>
      <w:r>
        <w:t>比上年持平。其中，副部（省）级及以上领导用车0辆，主要领导干</w:t>
      </w:r>
      <w:r>
        <w:rPr>
          <w:w w:val="95"/>
        </w:rPr>
        <w:t>部用车0辆，机要通信用车0辆，应急保障用车0辆，执法执勤用车1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3" w:line="344" w:lineRule="auto"/>
        <w:ind w:left="1274" w:leftChars="579" w:right="173" w:firstLine="577" w:firstLineChars="190"/>
        <w:textAlignment w:val="auto"/>
        <w:rPr>
          <w:w w:val="95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3" w:line="344" w:lineRule="auto"/>
        <w:ind w:left="1274" w:leftChars="579" w:right="173" w:firstLine="577" w:firstLineChars="190"/>
        <w:textAlignment w:val="auto"/>
        <w:rPr>
          <w:w w:val="95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3" w:line="344" w:lineRule="auto"/>
        <w:ind w:left="957" w:leftChars="435" w:right="173" w:firstLine="0" w:firstLineChars="0"/>
        <w:textAlignment w:val="auto"/>
      </w:pPr>
      <w:r>
        <w:rPr>
          <w:w w:val="95"/>
        </w:rPr>
        <w:t xml:space="preserve">辆（主  要用于节能检查），特种专业技术用车0辆，离退休干部用车0辆，其他用  车0辆；单位价值50万元以上通用设备0台（套），持平。主要是无此项支  </w:t>
      </w:r>
      <w:r>
        <w:rPr>
          <w:spacing w:val="-2"/>
        </w:rPr>
        <w:t>出 ，单位价值</w:t>
      </w:r>
      <w:r>
        <w:t>100万元以上专用设备0台（套）比上年持平，主要是无此项支出。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44" w:lineRule="auto"/>
        <w:textAlignment w:val="auto"/>
        <w:sectPr>
          <w:pgSz w:w="11910" w:h="16840"/>
          <w:pgMar w:top="1480" w:right="650" w:bottom="0" w:left="260" w:header="586" w:footer="0" w:gutter="0"/>
          <w:cols w:space="720" w:num="1"/>
        </w:sectPr>
      </w:pPr>
    </w:p>
    <w:p>
      <w:pPr>
        <w:pStyle w:val="4"/>
        <w:rPr>
          <w:sz w:val="20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0150" cy="10674350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3.pn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9896" cy="10674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14"/>
        </w:rPr>
      </w:pPr>
    </w:p>
    <w:p>
      <w:pPr>
        <w:spacing w:before="0" w:line="1196" w:lineRule="exact"/>
        <w:ind w:left="62" w:right="0" w:firstLine="0"/>
        <w:jc w:val="center"/>
        <w:rPr>
          <w:rFonts w:hint="eastAsia" w:ascii="黑体" w:eastAsia="黑体"/>
          <w:sz w:val="96"/>
        </w:rPr>
      </w:pPr>
      <w:bookmarkStart w:id="13" w:name="第四部分名词解释"/>
      <w:bookmarkEnd w:id="13"/>
      <w:r>
        <w:rPr>
          <w:rFonts w:hint="eastAsia" w:ascii="黑体" w:eastAsia="黑体"/>
          <w:color w:val="FBEDBC"/>
          <w:sz w:val="96"/>
        </w:rPr>
        <w:t>第四部分</w:t>
      </w:r>
    </w:p>
    <w:p>
      <w:pPr>
        <w:spacing w:before="150"/>
        <w:ind w:left="62" w:right="0" w:firstLine="0"/>
        <w:jc w:val="center"/>
        <w:rPr>
          <w:rFonts w:hint="eastAsia" w:ascii="黑体" w:eastAsia="黑体"/>
          <w:sz w:val="96"/>
        </w:rPr>
      </w:pPr>
      <w:r>
        <w:rPr>
          <w:rFonts w:hint="eastAsia" w:ascii="黑体" w:eastAsia="黑体"/>
          <w:color w:val="FBEDBC"/>
          <w:sz w:val="96"/>
        </w:rPr>
        <w:t>名词解释</w:t>
      </w:r>
    </w:p>
    <w:p>
      <w:pPr>
        <w:spacing w:after="0"/>
        <w:jc w:val="center"/>
        <w:rPr>
          <w:rFonts w:hint="eastAsia" w:ascii="黑体" w:eastAsia="黑体"/>
          <w:sz w:val="96"/>
        </w:rPr>
        <w:sectPr>
          <w:headerReference r:id="rId18" w:type="default"/>
          <w:pgSz w:w="11910" w:h="16840"/>
          <w:pgMar w:top="1600" w:right="280" w:bottom="280" w:left="260" w:header="0" w:footer="0" w:gutter="0"/>
          <w:cols w:space="720" w:num="1"/>
        </w:sect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spacing w:before="10"/>
        <w:rPr>
          <w:rFonts w:ascii="黑体"/>
          <w:sz w:val="25"/>
        </w:rPr>
      </w:pPr>
    </w:p>
    <w:p>
      <w:pPr>
        <w:pStyle w:val="4"/>
        <w:spacing w:before="18" w:line="244" w:lineRule="auto"/>
        <w:ind w:left="1328" w:right="1207" w:firstLine="638"/>
      </w:pPr>
      <w:r>
        <w:rPr>
          <w:rFonts w:hint="eastAsia" w:ascii="微软雅黑" w:eastAsia="微软雅黑"/>
          <w:b/>
          <w:i/>
          <w:w w:val="95"/>
        </w:rPr>
        <w:t>（一</w:t>
      </w:r>
      <w:r>
        <w:rPr>
          <w:rFonts w:hint="eastAsia" w:ascii="微软雅黑" w:eastAsia="微软雅黑"/>
          <w:b/>
          <w:i/>
          <w:spacing w:val="-63"/>
          <w:w w:val="95"/>
        </w:rPr>
        <w:t>）</w:t>
      </w:r>
      <w:r>
        <w:rPr>
          <w:rFonts w:hint="eastAsia" w:ascii="微软雅黑" w:eastAsia="微软雅黑"/>
          <w:b/>
          <w:i/>
          <w:spacing w:val="-10"/>
          <w:w w:val="95"/>
        </w:rPr>
        <w:t>财政拨款收入：</w:t>
      </w:r>
      <w:r>
        <w:rPr>
          <w:w w:val="95"/>
        </w:rPr>
        <w:t xml:space="preserve">本年度从本级财政部门取得的财政拨 </w:t>
      </w:r>
      <w:r>
        <w:t>款，包括一般公共预算财政拨款和政府性基金预算财政拨款。</w:t>
      </w:r>
    </w:p>
    <w:p>
      <w:pPr>
        <w:spacing w:before="22" w:line="261" w:lineRule="auto"/>
        <w:ind w:left="1328" w:right="1205" w:firstLine="636"/>
        <w:jc w:val="left"/>
        <w:rPr>
          <w:sz w:val="32"/>
        </w:rPr>
      </w:pPr>
      <w:r>
        <w:rPr>
          <w:rFonts w:hint="eastAsia" w:ascii="微软雅黑" w:eastAsia="微软雅黑"/>
          <w:b/>
          <w:i/>
          <w:w w:val="95"/>
          <w:sz w:val="32"/>
        </w:rPr>
        <w:t>（二</w:t>
      </w:r>
      <w:r>
        <w:rPr>
          <w:rFonts w:hint="eastAsia" w:ascii="微软雅黑" w:eastAsia="微软雅黑"/>
          <w:b/>
          <w:i/>
          <w:spacing w:val="-63"/>
          <w:w w:val="95"/>
          <w:sz w:val="32"/>
        </w:rPr>
        <w:t>）</w:t>
      </w:r>
      <w:r>
        <w:rPr>
          <w:rFonts w:hint="eastAsia" w:ascii="微软雅黑" w:eastAsia="微软雅黑"/>
          <w:b/>
          <w:i/>
          <w:spacing w:val="-12"/>
          <w:w w:val="95"/>
          <w:sz w:val="32"/>
        </w:rPr>
        <w:t>事业收入：</w:t>
      </w:r>
      <w:r>
        <w:rPr>
          <w:w w:val="95"/>
          <w:sz w:val="32"/>
        </w:rPr>
        <w:t xml:space="preserve">指事业单位开展专业业务活动及辅助活动 </w:t>
      </w:r>
      <w:r>
        <w:rPr>
          <w:sz w:val="32"/>
        </w:rPr>
        <w:t>所取得的收入。</w:t>
      </w:r>
    </w:p>
    <w:p>
      <w:pPr>
        <w:pStyle w:val="4"/>
        <w:spacing w:line="259" w:lineRule="auto"/>
        <w:ind w:left="1328" w:right="1082" w:firstLine="636"/>
      </w:pPr>
      <w:r>
        <w:rPr>
          <w:rFonts w:hint="eastAsia" w:ascii="微软雅黑" w:hAnsi="微软雅黑" w:eastAsia="微软雅黑"/>
          <w:b/>
          <w:i/>
        </w:rPr>
        <w:t>（三）其他收入：</w:t>
      </w:r>
      <w:r>
        <w:t>指除上述“财政拨款收入”“事业收入” “经营收入”等以外的收入。</w:t>
      </w:r>
    </w:p>
    <w:p>
      <w:pPr>
        <w:pStyle w:val="4"/>
        <w:spacing w:line="259" w:lineRule="auto"/>
        <w:ind w:left="1328" w:right="1243" w:firstLine="636"/>
      </w:pPr>
      <w:r>
        <w:rPr>
          <w:rFonts w:hint="eastAsia" w:ascii="微软雅黑" w:eastAsia="微软雅黑"/>
          <w:b/>
          <w:i/>
          <w:w w:val="95"/>
        </w:rPr>
        <w:t>（四</w:t>
      </w:r>
      <w:r>
        <w:rPr>
          <w:rFonts w:hint="eastAsia" w:ascii="微软雅黑" w:eastAsia="微软雅黑"/>
          <w:b/>
          <w:i/>
          <w:spacing w:val="-41"/>
          <w:w w:val="95"/>
        </w:rPr>
        <w:t>）</w:t>
      </w:r>
      <w:r>
        <w:rPr>
          <w:rFonts w:hint="eastAsia" w:ascii="微软雅黑" w:eastAsia="微软雅黑"/>
          <w:b/>
          <w:i/>
          <w:spacing w:val="-6"/>
          <w:w w:val="95"/>
        </w:rPr>
        <w:t>年初结转和结余：</w:t>
      </w:r>
      <w:r>
        <w:rPr>
          <w:spacing w:val="-5"/>
          <w:w w:val="95"/>
        </w:rPr>
        <w:t xml:space="preserve">指以前年度尚未完成、结转到本年 </w:t>
      </w:r>
      <w:r>
        <w:rPr>
          <w:spacing w:val="-14"/>
        </w:rPr>
        <w:t>仍按原规定用途继续使用的资金，或项目已完成等产生的结余资</w:t>
      </w:r>
    </w:p>
    <w:p>
      <w:pPr>
        <w:pStyle w:val="4"/>
        <w:spacing w:before="107"/>
        <w:ind w:left="1328"/>
      </w:pPr>
      <w:r>
        <w:t>金。</w:t>
      </w:r>
    </w:p>
    <w:p>
      <w:pPr>
        <w:spacing w:before="32" w:line="259" w:lineRule="auto"/>
        <w:ind w:left="1328" w:right="1209" w:firstLine="636"/>
        <w:jc w:val="left"/>
        <w:rPr>
          <w:sz w:val="32"/>
        </w:rPr>
      </w:pPr>
      <w:r>
        <w:rPr>
          <w:rFonts w:hint="eastAsia" w:ascii="微软雅黑" w:eastAsia="微软雅黑"/>
          <w:b/>
          <w:i/>
          <w:w w:val="95"/>
          <w:sz w:val="32"/>
        </w:rPr>
        <w:t>（五</w:t>
      </w:r>
      <w:r>
        <w:rPr>
          <w:rFonts w:hint="eastAsia" w:ascii="微软雅黑" w:eastAsia="微软雅黑"/>
          <w:b/>
          <w:i/>
          <w:spacing w:val="-63"/>
          <w:w w:val="95"/>
          <w:sz w:val="32"/>
        </w:rPr>
        <w:t>）</w:t>
      </w:r>
      <w:r>
        <w:rPr>
          <w:rFonts w:hint="eastAsia" w:ascii="微软雅黑" w:eastAsia="微软雅黑"/>
          <w:b/>
          <w:i/>
          <w:w w:val="95"/>
          <w:sz w:val="32"/>
        </w:rPr>
        <w:t>年</w:t>
      </w:r>
      <w:r>
        <w:rPr>
          <w:b/>
          <w:w w:val="95"/>
          <w:sz w:val="32"/>
        </w:rPr>
        <w:t>末</w:t>
      </w:r>
      <w:r>
        <w:rPr>
          <w:rFonts w:hint="eastAsia" w:ascii="微软雅黑" w:eastAsia="微软雅黑"/>
          <w:b/>
          <w:i/>
          <w:spacing w:val="-11"/>
          <w:w w:val="95"/>
          <w:sz w:val="32"/>
        </w:rPr>
        <w:t>结转和结余：</w:t>
      </w:r>
      <w:r>
        <w:rPr>
          <w:w w:val="95"/>
          <w:sz w:val="32"/>
        </w:rPr>
        <w:t xml:space="preserve">指单位按有关规定结转到下年或以 </w:t>
      </w:r>
      <w:r>
        <w:rPr>
          <w:sz w:val="32"/>
        </w:rPr>
        <w:t>后年度继续使用的资金，或项目已完成等产生的结余资金。</w:t>
      </w:r>
    </w:p>
    <w:p>
      <w:pPr>
        <w:pStyle w:val="4"/>
        <w:spacing w:line="261" w:lineRule="auto"/>
        <w:ind w:left="1328" w:right="1221" w:firstLine="636"/>
      </w:pPr>
      <w:r>
        <w:rPr>
          <w:rFonts w:hint="eastAsia" w:ascii="微软雅黑" w:eastAsia="微软雅黑"/>
          <w:b/>
          <w:i/>
          <w:w w:val="95"/>
        </w:rPr>
        <w:t>（六</w:t>
      </w:r>
      <w:r>
        <w:rPr>
          <w:rFonts w:hint="eastAsia" w:ascii="微软雅黑" w:eastAsia="微软雅黑"/>
          <w:b/>
          <w:i/>
          <w:spacing w:val="-41"/>
          <w:w w:val="95"/>
        </w:rPr>
        <w:t>）</w:t>
      </w:r>
      <w:r>
        <w:rPr>
          <w:rFonts w:hint="eastAsia" w:ascii="微软雅黑" w:eastAsia="微软雅黑"/>
          <w:b/>
          <w:i/>
          <w:spacing w:val="-10"/>
          <w:w w:val="95"/>
        </w:rPr>
        <w:t>基本支出：</w:t>
      </w:r>
      <w:r>
        <w:rPr>
          <w:spacing w:val="-3"/>
          <w:w w:val="95"/>
        </w:rPr>
        <w:t xml:space="preserve">填列单位为保障机构正常运转、完成日常 </w:t>
      </w:r>
      <w:r>
        <w:rPr>
          <w:spacing w:val="-3"/>
        </w:rPr>
        <w:t>工作任务而发生的各项支出。</w:t>
      </w:r>
    </w:p>
    <w:p>
      <w:pPr>
        <w:pStyle w:val="4"/>
        <w:spacing w:line="259" w:lineRule="auto"/>
        <w:ind w:left="1328" w:right="1205" w:firstLine="636"/>
      </w:pPr>
      <w:r>
        <w:rPr>
          <w:rFonts w:hint="eastAsia" w:ascii="微软雅黑" w:eastAsia="微软雅黑"/>
          <w:b/>
          <w:i/>
          <w:w w:val="95"/>
        </w:rPr>
        <w:t>（七</w:t>
      </w:r>
      <w:r>
        <w:rPr>
          <w:rFonts w:hint="eastAsia" w:ascii="微软雅黑" w:eastAsia="微软雅黑"/>
          <w:b/>
          <w:i/>
          <w:spacing w:val="-63"/>
          <w:w w:val="95"/>
        </w:rPr>
        <w:t>）</w:t>
      </w:r>
      <w:r>
        <w:rPr>
          <w:rFonts w:hint="eastAsia" w:ascii="微软雅黑" w:eastAsia="微软雅黑"/>
          <w:b/>
          <w:i/>
          <w:spacing w:val="-12"/>
          <w:w w:val="95"/>
        </w:rPr>
        <w:t>项目支出：</w:t>
      </w:r>
      <w:r>
        <w:rPr>
          <w:w w:val="95"/>
        </w:rPr>
        <w:t xml:space="preserve">填列单位为完成特定的行政工作任务或事 </w:t>
      </w:r>
      <w:r>
        <w:t>业发展目标，在基本支出之外发生的各项支出</w:t>
      </w:r>
    </w:p>
    <w:p>
      <w:pPr>
        <w:pStyle w:val="4"/>
        <w:spacing w:line="259" w:lineRule="auto"/>
        <w:ind w:left="1328" w:right="1174" w:firstLine="636"/>
      </w:pPr>
      <w:r>
        <w:rPr>
          <w:rFonts w:hint="eastAsia" w:ascii="微软雅黑" w:hAnsi="微软雅黑" w:eastAsia="微软雅黑"/>
          <w:b/>
          <w:i/>
          <w:spacing w:val="6"/>
          <w:w w:val="97"/>
        </w:rPr>
        <w:t>（八</w:t>
      </w:r>
      <w:r>
        <w:rPr>
          <w:rFonts w:hint="eastAsia" w:ascii="微软雅黑" w:hAnsi="微软雅黑" w:eastAsia="微软雅黑"/>
          <w:b/>
          <w:i/>
          <w:spacing w:val="-241"/>
          <w:w w:val="97"/>
        </w:rPr>
        <w:t>）</w:t>
      </w:r>
      <w:r>
        <w:rPr>
          <w:rFonts w:hint="eastAsia" w:ascii="微软雅黑" w:hAnsi="微软雅黑" w:eastAsia="微软雅黑"/>
          <w:b/>
          <w:i/>
          <w:spacing w:val="-32"/>
          <w:w w:val="97"/>
        </w:rPr>
        <w:t>“三公”经费：</w:t>
      </w:r>
      <w:r>
        <w:rPr>
          <w:spacing w:val="-7"/>
          <w:w w:val="97"/>
        </w:rPr>
        <w:t>指部门用财政拨款安排的因公出国</w:t>
      </w:r>
      <w:r>
        <w:rPr>
          <w:spacing w:val="4"/>
          <w:w w:val="97"/>
        </w:rPr>
        <w:t>（</w:t>
      </w:r>
      <w:r>
        <w:rPr>
          <w:spacing w:val="1"/>
          <w:w w:val="97"/>
        </w:rPr>
        <w:t>境</w:t>
      </w:r>
      <w:r>
        <w:rPr>
          <w:w w:val="97"/>
        </w:rPr>
        <w:t>）</w:t>
      </w:r>
      <w:r>
        <w:rPr>
          <w:spacing w:val="-17"/>
          <w:w w:val="95"/>
        </w:rPr>
        <w:t>费、公务用车购置及运行费和公务接待费。其中，因公出国</w:t>
      </w:r>
      <w:r>
        <w:rPr>
          <w:spacing w:val="4"/>
          <w:w w:val="95"/>
        </w:rPr>
        <w:t>（</w:t>
      </w:r>
      <w:r>
        <w:rPr>
          <w:w w:val="95"/>
        </w:rPr>
        <w:t>境）</w:t>
      </w:r>
    </w:p>
    <w:p>
      <w:pPr>
        <w:pStyle w:val="4"/>
        <w:spacing w:before="103" w:line="331" w:lineRule="auto"/>
        <w:ind w:left="1328" w:right="1098"/>
      </w:pPr>
      <w:r>
        <w:rPr>
          <w:spacing w:val="-5"/>
        </w:rPr>
        <w:t>费反映单位公务出国</w:t>
      </w:r>
      <w:r>
        <w:t>（境</w:t>
      </w:r>
      <w:r>
        <w:rPr>
          <w:spacing w:val="-27"/>
        </w:rPr>
        <w:t>）</w:t>
      </w:r>
      <w:r>
        <w:rPr>
          <w:spacing w:val="-7"/>
        </w:rPr>
        <w:t>的国际旅费、国外城市间交通费、住</w:t>
      </w:r>
      <w:r>
        <w:rPr>
          <w:spacing w:val="-12"/>
          <w:w w:val="95"/>
        </w:rPr>
        <w:t xml:space="preserve">宿费、伙食费、培训费、公杂费等支出；公务用车购置及运行费反 </w:t>
      </w:r>
      <w:r>
        <w:rPr>
          <w:spacing w:val="-19"/>
        </w:rPr>
        <w:t>映单位公务用车购置支出</w:t>
      </w:r>
      <w:r>
        <w:t>（含车辆购置税</w:t>
      </w:r>
      <w:r>
        <w:rPr>
          <w:spacing w:val="-91"/>
        </w:rPr>
        <w:t>）</w:t>
      </w:r>
      <w:r>
        <w:rPr>
          <w:spacing w:val="-12"/>
        </w:rPr>
        <w:t>及租用费、燃料费、维</w:t>
      </w:r>
      <w:r>
        <w:rPr>
          <w:spacing w:val="-12"/>
          <w:w w:val="95"/>
        </w:rPr>
        <w:t xml:space="preserve">修费、过路过桥费、保险费、安全奖励费用等支出；公务接待费反 </w:t>
      </w:r>
      <w:r>
        <w:rPr>
          <w:spacing w:val="-12"/>
        </w:rPr>
        <w:t>映单位按规定开支的各类公务接待（含外宾接待）</w:t>
      </w:r>
      <w:r>
        <w:rPr>
          <w:spacing w:val="-8"/>
        </w:rPr>
        <w:t>支出。</w:t>
      </w:r>
    </w:p>
    <w:p>
      <w:pPr>
        <w:spacing w:after="0" w:line="331" w:lineRule="auto"/>
        <w:sectPr>
          <w:headerReference r:id="rId19" w:type="default"/>
          <w:pgSz w:w="11910" w:h="16840"/>
          <w:pgMar w:top="800" w:right="280" w:bottom="280" w:left="260" w:header="614" w:footer="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0"/>
        <w:rPr>
          <w:sz w:val="25"/>
        </w:rPr>
      </w:pPr>
    </w:p>
    <w:p>
      <w:pPr>
        <w:pStyle w:val="4"/>
        <w:spacing w:before="18" w:line="244" w:lineRule="auto"/>
        <w:ind w:left="1328" w:right="1041" w:firstLine="638"/>
      </w:pPr>
      <w:r>
        <w:rPr>
          <w:rFonts w:hint="eastAsia" w:ascii="微软雅黑" w:eastAsia="微软雅黑"/>
          <w:b/>
          <w:i/>
        </w:rPr>
        <w:t>（九</w:t>
      </w:r>
      <w:r>
        <w:rPr>
          <w:rFonts w:hint="eastAsia" w:ascii="微软雅黑" w:eastAsia="微软雅黑"/>
          <w:b/>
          <w:i/>
          <w:spacing w:val="-63"/>
        </w:rPr>
        <w:t>）</w:t>
      </w:r>
      <w:r>
        <w:rPr>
          <w:rFonts w:hint="eastAsia" w:ascii="微软雅黑" w:eastAsia="微软雅黑"/>
          <w:b/>
          <w:i/>
          <w:spacing w:val="-10"/>
        </w:rPr>
        <w:t>其他交通费用：</w:t>
      </w:r>
      <w:r>
        <w:t>填列单位除公务用车运行维护费以外</w:t>
      </w:r>
      <w:r>
        <w:rPr>
          <w:spacing w:val="-11"/>
          <w:w w:val="95"/>
        </w:rPr>
        <w:t>的其他交通费用。如公务交通补贴、租车费用、出租车费用、飞 机、</w:t>
      </w:r>
    </w:p>
    <w:p>
      <w:pPr>
        <w:pStyle w:val="4"/>
        <w:spacing w:before="148"/>
        <w:ind w:left="1328"/>
      </w:pPr>
      <w:r>
        <w:t>船舶等的燃料费、维修费、保险费等。</w:t>
      </w:r>
    </w:p>
    <w:p>
      <w:pPr>
        <w:pStyle w:val="4"/>
        <w:spacing w:before="124" w:line="242" w:lineRule="auto"/>
        <w:ind w:left="1328" w:right="1082" w:firstLine="638"/>
      </w:pPr>
      <w:r>
        <w:rPr>
          <w:rFonts w:hint="eastAsia" w:ascii="微软雅黑" w:eastAsia="微软雅黑"/>
          <w:b/>
          <w:i/>
          <w:w w:val="95"/>
        </w:rPr>
        <w:t>（十）机关运行经费：</w:t>
      </w:r>
      <w:r>
        <w:rPr>
          <w:w w:val="95"/>
        </w:rPr>
        <w:t xml:space="preserve">指为保障行政单位（包括参照公务员 </w:t>
      </w:r>
      <w:r>
        <w:t>法管理的事业单位</w:t>
      </w:r>
      <w:r>
        <w:rPr>
          <w:spacing w:val="-58"/>
        </w:rPr>
        <w:t>）</w:t>
      </w:r>
      <w:r>
        <w:rPr>
          <w:spacing w:val="-5"/>
        </w:rPr>
        <w:t>运行用于购买货物和服务的各项资金，包括</w:t>
      </w:r>
    </w:p>
    <w:p>
      <w:pPr>
        <w:pStyle w:val="4"/>
        <w:spacing w:before="151" w:line="331" w:lineRule="auto"/>
        <w:ind w:left="1328" w:right="1020"/>
        <w:jc w:val="both"/>
      </w:pPr>
      <w:r>
        <w:rPr>
          <w:spacing w:val="-20"/>
          <w:w w:val="95"/>
        </w:rPr>
        <w:t>办公及印刷费、邮电费、差旅费、会议费、福利费、日常维修费、 专用</w:t>
      </w:r>
      <w:r>
        <w:rPr>
          <w:spacing w:val="-19"/>
          <w:w w:val="95"/>
        </w:rPr>
        <w:t xml:space="preserve">材料以及一般设备购置费、办公用房水电费、办公用房取暖费、办公  </w:t>
      </w:r>
      <w:r>
        <w:rPr>
          <w:spacing w:val="-19"/>
        </w:rPr>
        <w:t>用房物业管理费、公务用车运行维护费以及其他费用。</w:t>
      </w:r>
    </w:p>
    <w:p>
      <w:pPr>
        <w:spacing w:before="0" w:line="554" w:lineRule="exact"/>
        <w:ind w:left="1967" w:right="0" w:firstLine="0"/>
        <w:jc w:val="left"/>
        <w:rPr>
          <w:sz w:val="32"/>
        </w:rPr>
      </w:pPr>
      <w:r>
        <w:rPr>
          <w:rFonts w:hint="eastAsia" w:ascii="微软雅黑" w:eastAsia="微软雅黑"/>
          <w:b/>
          <w:i/>
          <w:sz w:val="32"/>
        </w:rPr>
        <w:t>（十一）经费形</w:t>
      </w:r>
      <w:r>
        <w:rPr>
          <w:b/>
          <w:sz w:val="32"/>
        </w:rPr>
        <w:t>式：</w:t>
      </w:r>
      <w:r>
        <w:rPr>
          <w:sz w:val="32"/>
        </w:rPr>
        <w:t>按照经费来源，可分为财政拨款、财政</w:t>
      </w:r>
    </w:p>
    <w:p>
      <w:pPr>
        <w:pStyle w:val="4"/>
        <w:spacing w:before="4" w:line="331" w:lineRule="auto"/>
        <w:ind w:left="1328" w:right="1416"/>
      </w:pPr>
      <w:r>
        <w:rPr>
          <w:spacing w:val="-14"/>
          <w:w w:val="95"/>
        </w:rPr>
        <w:t>性资金基本保证、财政性资金定额或定项补助、财政性资金零补 助</w:t>
      </w:r>
      <w:r>
        <w:rPr>
          <w:spacing w:val="-8"/>
        </w:rPr>
        <w:t>四类。</w:t>
      </w:r>
    </w:p>
    <w:p>
      <w:pPr>
        <w:spacing w:after="0" w:line="331" w:lineRule="auto"/>
        <w:sectPr>
          <w:pgSz w:w="11910" w:h="16840"/>
          <w:pgMar w:top="800" w:right="280" w:bottom="280" w:left="260" w:header="614" w:footer="0" w:gutter="0"/>
          <w:cols w:space="720" w:num="1"/>
        </w:sectPr>
      </w:pPr>
    </w:p>
    <w:p>
      <w:pPr>
        <w:pStyle w:val="4"/>
        <w:spacing w:before="7"/>
        <w:rPr>
          <w:sz w:val="15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17780</wp:posOffset>
            </wp:positionH>
            <wp:positionV relativeFrom="page">
              <wp:posOffset>0</wp:posOffset>
            </wp:positionV>
            <wp:extent cx="7542530" cy="10692130"/>
            <wp:effectExtent l="0" t="0" r="0" b="0"/>
            <wp:wrapNone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5.pn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2276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20" w:type="default"/>
      <w:pgSz w:w="11910" w:h="16840"/>
      <w:pgMar w:top="1600" w:right="280" w:bottom="280" w:left="2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group id="_x0000_s2049" o:spid="_x0000_s2049" o:spt="203" style="position:absolute;left:0pt;margin-left:0pt;margin-top:38.95pt;height:2.05pt;width:248.65pt;mso-position-horizontal-relative:page;mso-position-vertical-relative:page;z-index:-251656192;mso-width-relative:page;mso-height-relative:page;" coordorigin="0,779" coordsize="4973,41">
          <o:lock v:ext="edit"/>
          <v:shape id="_x0000_s2050" o:spid="_x0000_s2050" style="position:absolute;left:0;top:799;height:2;width:4973;" fillcolor="#D9D9D9" filled="t" stroked="f" coordorigin="0,799" coordsize="4973,2" path="m4973,801l0,799,4973,799,4973,801xe">
            <v:path arrowok="t"/>
            <v:fill on="t" focussize="0,0"/>
            <v:stroke on="f"/>
            <v:imagedata o:title=""/>
            <o:lock v:ext="edit"/>
          </v:shape>
          <v:shape id="_x0000_s2051" o:spid="_x0000_s2051" style="position:absolute;left:0;top:799;height:2;width:4858;" fillcolor="#AC002C" filled="t" stroked="f" coordorigin="0,799" coordsize="4858,2" path="m4858,801l0,799,4858,799,4858,801xe">
            <v:path arrowok="t"/>
            <v:fill on="t" focussize="0,0"/>
            <v:stroke on="f"/>
            <v:imagedata o:title=""/>
            <o:lock v:ext="edit"/>
          </v:shape>
          <v:shape id="_x0000_s2052" o:spid="_x0000_s2052" style="position:absolute;left:0;top:779;height:41;width:4878;" fillcolor="#AE761F" filled="t" stroked="f" coordorigin="0,779" coordsize="4878,41" path="m7,800l0,793,0,779,4858,779,4862,780,4858,780,4839,799,7,799,7,800xm4866,819l4858,819,4839,800,4858,780,4864,780,4866,781,4872,785,4875,788,4877,792,4878,795,4878,804,4877,808,4875,811,4869,817,4866,819xm0,806l0,793,7,800,0,806xm4862,820l0,820,0,806,7,800,7,799,4838,799,4838,800,4839,800,4858,819,4864,819,4862,820xm4839,800l4838,800,4838,799,4839,800xm4839,800l4838,799,4839,799,4839,800xe">
            <v:path arrowok="t"/>
            <v:fill on="t" focussize="0,0"/>
            <v:stroke on="f"/>
            <v:imagedata o:title=""/>
            <o:lock v:ext="edit"/>
          </v:shape>
        </v:group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group id="_x0000_s2065" o:spid="_x0000_s2065" o:spt="203" style="position:absolute;left:0pt;margin-left:0pt;margin-top:29.25pt;height:45pt;width:235pt;mso-position-horizontal-relative:page;mso-position-vertical-relative:page;z-index:-251654144;mso-width-relative:page;mso-height-relative:page;" coordorigin="0,586" coordsize="4700,900">
          <o:lock v:ext="edit"/>
          <v:shape id="_x0000_s2066" o:spid="_x0000_s2066" style="position:absolute;left:0;top:585;height:740;width:4700;" fillcolor="#B8B8B8" filled="t" stroked="f" coordorigin="0,586" coordsize="4700,740" path="m4699,586l0,586,0,758,0,1325,4699,1325,4699,758,4699,586xe">
            <v:path arrowok="t"/>
            <v:fill on="t" focussize="0,0"/>
            <v:stroke on="f"/>
            <v:imagedata o:title=""/>
            <o:lock v:ext="edit"/>
          </v:shape>
          <v:rect id="_x0000_s2067" o:spid="_x0000_s2067" o:spt="1" style="position:absolute;left:0;top:758;height:706;width:4560;" fillcolor="#AC002C" filled="t" stroked="f" coordsize="21600,21600">
            <v:path/>
            <v:fill on="t" focussize="0,0"/>
            <v:stroke on="f"/>
            <v:imagedata o:title=""/>
            <o:lock v:ext="edit"/>
          </v:rect>
          <v:shape id="_x0000_s2068" o:spid="_x0000_s2068" style="position:absolute;left:0;top:738;height:747;width:4580;" fillcolor="#254263" filled="t" stroked="f" coordorigin="0,739" coordsize="4580,747" path="m4540,779l0,779,0,739,4560,739,4563,739,4567,740,4571,742,4574,745,4576,748,4578,751,4579,755,4580,759,4540,759,4540,779xm4540,1465l4540,759,4560,779,4580,779,4580,1445,4560,1445,4540,1465xm4580,779l4560,779,4540,759,4580,759,4580,779xm4560,1485l0,1485,0,1445,4540,1445,4540,1465,4580,1465,4579,1469,4578,1473,4576,1476,4574,1479,4571,1482,4567,1483,4563,1485,4560,1485xm4580,1465l4540,1465,4560,1445,4580,1445,4580,1465xe">
            <v:path arrowok="t"/>
            <v:fill on="t" focussize="0,0"/>
            <v:stroke on="f"/>
            <v:imagedata o:title=""/>
            <o:lock v:ext="edit"/>
          </v:shape>
        </v:group>
      </w:pict>
    </w:r>
    <w:r>
      <w:pict>
        <v:shape id="_x0000_s2069" o:spid="_x0000_s2069" o:spt="202" type="#_x0000_t202" style="position:absolute;left:0pt;margin-left:5.55pt;margin-top:44pt;height:18pt;width:210.55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59" w:lineRule="exact"/>
                  <w:ind w:left="20" w:right="0" w:firstLine="0"/>
                  <w:jc w:val="left"/>
                  <w:rPr>
                    <w:rFonts w:hint="eastAsia" w:ascii="楷体" w:hAnsi="楷体" w:eastAsia="楷体"/>
                    <w:b/>
                    <w:sz w:val="32"/>
                  </w:rPr>
                </w:pPr>
                <w:r>
                  <w:rPr>
                    <w:rFonts w:hint="eastAsia" w:ascii="楷体" w:hAnsi="楷体" w:eastAsia="楷体"/>
                    <w:b/>
                    <w:color w:val="FCEEBD"/>
                    <w:sz w:val="32"/>
                  </w:rPr>
                  <w:t>部门决算</w:t>
                </w:r>
                <w:r>
                  <w:rPr>
                    <w:rFonts w:hint="eastAsia" w:ascii="Gulim" w:hAnsi="Gulim" w:eastAsia="Gulim"/>
                    <w:b/>
                    <w:color w:val="FCEEBD"/>
                    <w:sz w:val="32"/>
                  </w:rPr>
                  <w:t>☞</w:t>
                </w:r>
                <w:r>
                  <w:rPr>
                    <w:rFonts w:hint="eastAsia" w:ascii="楷体" w:hAnsi="楷体" w:eastAsia="楷体"/>
                    <w:b/>
                    <w:color w:val="FCEEBD"/>
                    <w:sz w:val="32"/>
                  </w:rPr>
                  <w:t>部门决算情况说明</w:t>
                </w:r>
              </w:p>
            </w:txbxContent>
          </v:textbox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group id="_x0000_s2070" o:spid="_x0000_s2070" o:spt="203" style="position:absolute;left:0pt;margin-left:0pt;margin-top:38.65pt;height:2.05pt;width:263.2pt;mso-position-horizontal-relative:page;mso-position-vertical-relative:page;z-index:-251653120;mso-width-relative:page;mso-height-relative:page;" coordorigin="0,773" coordsize="5264,41">
          <o:lock v:ext="edit"/>
          <v:shape id="_x0000_s2071" o:spid="_x0000_s2071" style="position:absolute;left:0;top:792;height:2;width:5264;" fillcolor="#D9D9D9" filled="t" stroked="f" coordorigin="0,792" coordsize="5264,2" path="m5264,794l0,794,0,792,5263,792,5264,794xe">
            <v:path arrowok="t"/>
            <v:fill on="t" focussize="0,0"/>
            <v:stroke on="f"/>
            <v:imagedata o:title=""/>
            <o:lock v:ext="edit"/>
          </v:shape>
          <v:shape id="_x0000_s2072" o:spid="_x0000_s2072" style="position:absolute;left:0;top:792;height:2;width:5143;" fillcolor="#AC002C" filled="t" stroked="f" coordorigin="0,792" coordsize="5143,2" path="m5142,794l0,794,0,792,5143,792,5142,794xe">
            <v:path arrowok="t"/>
            <v:fill on="t" focussize="0,0"/>
            <v:stroke on="f"/>
            <v:imagedata o:title=""/>
            <o:lock v:ext="edit"/>
          </v:shape>
          <v:shape id="_x0000_s2073" o:spid="_x0000_s2073" style="position:absolute;left:0;top:773;height:41;width:5162;" fillcolor="#AE761F" filled="t" stroked="f" coordorigin="0,773" coordsize="5162,41" path="m3,794l0,791,0,773,5142,773,5146,774,5142,774,5123,793,3,793,3,794xm5150,813l5142,813,5123,794,5142,774,5148,774,5150,775,5156,779,5159,782,5161,786,5162,789,5162,798,5161,802,5159,805,5153,811,5150,813xm0,796l0,791,3,794,0,796xm5146,814l0,814,0,796,3,794,3,793,5122,793,5122,794,5123,794,5142,813,5148,813,5146,814xm5123,794l5122,794,5122,793,5123,794xm5123,794l5122,793,5123,793,5123,794xe">
            <v:path arrowok="t"/>
            <v:fill on="t" focussize="0,0"/>
            <v:stroke on="f"/>
            <v:imagedata o:title=""/>
            <o:lock v:ext="edit"/>
          </v:shape>
          <v:shape id="_x0000_s2074" o:spid="_x0000_s2074" style="position:absolute;left:0;top:792;height:2;width:5264;" fillcolor="#D9D9D9" filled="t" stroked="f" coordorigin="0,792" coordsize="5264,2" path="m5264,794l0,794,0,792,5263,792,5264,794xe">
            <v:path arrowok="t"/>
            <v:fill on="t" focussize="0,0"/>
            <v:stroke on="f"/>
            <v:imagedata o:title=""/>
            <o:lock v:ext="edit"/>
          </v:shape>
          <v:shape id="_x0000_s2075" o:spid="_x0000_s2075" style="position:absolute;left:0;top:792;height:2;width:5143;" fillcolor="#AC002C" filled="t" stroked="f" coordorigin="0,792" coordsize="5143,2" path="m5142,794l0,794,0,792,5143,792,5142,794xe">
            <v:path arrowok="t"/>
            <v:fill on="t" focussize="0,0"/>
            <v:stroke on="f"/>
            <v:imagedata o:title=""/>
            <o:lock v:ext="edit"/>
          </v:shape>
          <v:shape id="_x0000_s2076" o:spid="_x0000_s2076" style="position:absolute;left:0;top:773;height:41;width:5162;" fillcolor="#AE761F" filled="t" stroked="f" coordorigin="0,773" coordsize="5162,41" path="m3,794l0,791,0,773,5142,773,5146,774,5142,774,5123,793,3,793,3,794xm5150,813l5142,813,5123,794,5142,774,5148,774,5150,775,5156,779,5159,782,5161,786,5162,789,5162,798,5161,802,5159,805,5153,811,5150,813xm0,796l0,791,3,794,0,796xm5146,814l0,814,0,796,3,794,3,793,5122,793,5122,794,5123,794,5142,813,5148,813,5146,814xm5123,794l5122,794,5122,793,5123,794xm5123,794l5122,793,5123,793,5123,794xe">
            <v:path arrowok="t"/>
            <v:fill on="t" focussize="0,0"/>
            <v:stroke on="f"/>
            <v:imagedata o:title=""/>
            <o:lock v:ext="edit"/>
          </v:shape>
        </v:group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group id="_x0000_s2053" o:spid="_x0000_s2053" o:spt="203" style="position:absolute;left:0pt;margin-left:0pt;margin-top:38.5pt;height:2.05pt;width:243.85pt;mso-position-horizontal-relative:page;mso-position-vertical-relative:page;z-index:-251655168;mso-width-relative:page;mso-height-relative:page;" coordorigin="0,770" coordsize="4877,41">
          <o:lock v:ext="edit"/>
          <v:shape id="_x0000_s2054" o:spid="_x0000_s2054" style="position:absolute;left:0;top:789;height:2;width:4877;" fillcolor="#D9D9D9" filled="t" stroked="f" coordorigin="0,789" coordsize="4877,2" path="m0,791l0,789,4877,789,4877,790,0,791xe">
            <v:path arrowok="t"/>
            <v:fill on="t" focussize="0,0"/>
            <v:stroke on="f"/>
            <v:imagedata o:title=""/>
            <o:lock v:ext="edit"/>
          </v:shape>
          <v:shape id="_x0000_s2055" o:spid="_x0000_s2055" style="position:absolute;left:0;top:789;height:2;width:4764;" fillcolor="#AC002C" filled="t" stroked="f" coordorigin="0,789" coordsize="4764,2" path="m0,791l0,789,4764,789,4764,790,0,791xe">
            <v:path arrowok="t"/>
            <v:fill on="t" focussize="0,0"/>
            <v:stroke on="f"/>
            <v:imagedata o:title=""/>
            <o:lock v:ext="edit"/>
          </v:shape>
          <v:shape id="_x0000_s2056" o:spid="_x0000_s2056" style="position:absolute;left:0;top:770;height:41;width:4784;" fillcolor="#AE761F" filled="t" stroked="f" coordorigin="0,770" coordsize="4784,41" path="m6,791l0,784,0,770,4764,770,4768,771,4764,771,4745,790,7,790,6,791xm4772,810l4764,810,4745,791,4744,791,4764,771,4770,771,4772,772,4778,776,4781,779,4782,783,4784,786,4784,795,4782,799,4781,802,4775,808,4772,810xm0,797l0,784,6,791,0,797xm4768,811l0,811,0,797,7,790,7,791,4744,791,4764,810,4770,810,4768,811xm4744,791l7,791,7,790,4744,790,4744,791xm4744,791l4744,790,4745,790,4744,791xe">
            <v:path arrowok="t"/>
            <v:fill on="t" focussize="0,0"/>
            <v:stroke on="f"/>
            <v:imagedata o:title=""/>
            <o:lock v:ext="edit"/>
          </v:shape>
        </v:group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group id="_x0000_s2061" o:spid="_x0000_s2061" o:spt="203" style="position:absolute;left:0pt;margin-left:0pt;margin-top:22.4pt;height:2.05pt;width:241.7pt;mso-position-horizontal-relative:page;mso-position-vertical-relative:page;z-index:-251654144;mso-width-relative:page;mso-height-relative:page;" coordorigin="0,448" coordsize="4834,41">
          <o:lock v:ext="edit"/>
          <v:shape id="_x0000_s2062" o:spid="_x0000_s2062" style="position:absolute;left:0;top:468;height:2;width:4834;" fillcolor="#D9D9D9" filled="t" stroked="f" coordorigin="0,468" coordsize="4834,0" path="m4834,468l0,468,4834,468xe">
            <v:path arrowok="t"/>
            <v:fill on="t" focussize="0,0"/>
            <v:stroke on="f"/>
            <v:imagedata o:title=""/>
            <o:lock v:ext="edit"/>
          </v:shape>
          <v:shape id="_x0000_s2063" o:spid="_x0000_s2063" style="position:absolute;left:0;top:468;height:2;width:4722;" fillcolor="#AC002C" filled="t" stroked="f" coordorigin="0,468" coordsize="4722,0" path="m4722,468l0,468,4722,468xe">
            <v:path arrowok="t"/>
            <v:fill on="t" focussize="0,0"/>
            <v:stroke on="f"/>
            <v:imagedata o:title=""/>
            <o:lock v:ext="edit"/>
          </v:shape>
          <v:shape id="_x0000_s2064" o:spid="_x0000_s2064" style="position:absolute;left:0;top:448;height:41;width:4742;" fillcolor="#AE761F" filled="t" stroked="f" coordorigin="0,448" coordsize="4742,41" path="m4,469l0,464,0,448,4726,448,4728,449,4722,449,4703,468,5,468,4,469xm4728,488l4722,488,4703,469,4702,469,4722,449,4728,449,4729,450,4733,451,4736,454,4740,460,4742,468,4742,469,4740,477,4736,483,4733,486,4729,487,4728,488xm0,473l0,464,4,469,0,473xm4726,489l0,489,0,473,5,468,5,469,4702,469,4722,488,4728,488,4726,489xm4702,469l5,469,5,468,4702,468,4702,469xm4702,469l4702,468,4703,468,4702,469xe">
            <v:path arrowok="t"/>
            <v:fill on="t" focussize="0,0"/>
            <v:stroke on="f"/>
            <v:imagedata o:title=""/>
            <o:lock v:ext="edit"/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0FD1BE"/>
    <w:multiLevelType w:val="singleLevel"/>
    <w:tmpl w:val="980FD1BE"/>
    <w:lvl w:ilvl="0" w:tentative="0">
      <w:start w:val="3"/>
      <w:numFmt w:val="chineseCounting"/>
      <w:suff w:val="nothing"/>
      <w:lvlText w:val="（%1）"/>
      <w:lvlJc w:val="left"/>
      <w:pPr>
        <w:ind w:left="125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ODE3MzdkNjM4ODgwYzA2ODU2MjM2OTJlMmM0YWU3ZDAifQ=="/>
  </w:docVars>
  <w:rsids>
    <w:rsidRoot w:val="00000000"/>
    <w:rsid w:val="0AFE70F1"/>
    <w:rsid w:val="16BF6F23"/>
    <w:rsid w:val="18214B2B"/>
    <w:rsid w:val="2F692AD6"/>
    <w:rsid w:val="3F6E6944"/>
    <w:rsid w:val="44745AA7"/>
    <w:rsid w:val="60681EE5"/>
    <w:rsid w:val="72995195"/>
    <w:rsid w:val="7896028A"/>
    <w:rsid w:val="7A7A0FB0"/>
    <w:rsid w:val="7CE05217"/>
    <w:rsid w:val="7D0514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5"/>
      <w:ind w:left="134"/>
      <w:jc w:val="center"/>
      <w:outlineLvl w:val="1"/>
    </w:pPr>
    <w:rPr>
      <w:rFonts w:ascii="黑体" w:hAnsi="黑体" w:eastAsia="黑体" w:cs="黑体"/>
      <w:sz w:val="40"/>
      <w:szCs w:val="40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ind w:left="1967"/>
      <w:outlineLvl w:val="2"/>
    </w:pPr>
    <w:rPr>
      <w:rFonts w:ascii="楷体" w:hAnsi="楷体" w:eastAsia="楷体" w:cs="楷体"/>
      <w:b/>
      <w:bCs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5.png"/><Relationship Id="rId25" Type="http://schemas.openxmlformats.org/officeDocument/2006/relationships/image" Target="media/image4.png"/><Relationship Id="rId24" Type="http://schemas.openxmlformats.org/officeDocument/2006/relationships/image" Target="media/image3.png"/><Relationship Id="rId23" Type="http://schemas.openxmlformats.org/officeDocument/2006/relationships/image" Target="media/image2.png"/><Relationship Id="rId22" Type="http://schemas.openxmlformats.org/officeDocument/2006/relationships/image" Target="media/image1.png"/><Relationship Id="rId21" Type="http://schemas.openxmlformats.org/officeDocument/2006/relationships/theme" Target="theme/theme1.xml"/><Relationship Id="rId20" Type="http://schemas.openxmlformats.org/officeDocument/2006/relationships/header" Target="header16.xml"/><Relationship Id="rId2" Type="http://schemas.openxmlformats.org/officeDocument/2006/relationships/settings" Target="settings.xml"/><Relationship Id="rId19" Type="http://schemas.openxmlformats.org/officeDocument/2006/relationships/header" Target="header15.xml"/><Relationship Id="rId18" Type="http://schemas.openxmlformats.org/officeDocument/2006/relationships/header" Target="header14.xml"/><Relationship Id="rId17" Type="http://schemas.openxmlformats.org/officeDocument/2006/relationships/header" Target="header13.xml"/><Relationship Id="rId16" Type="http://schemas.openxmlformats.org/officeDocument/2006/relationships/header" Target="header12.xml"/><Relationship Id="rId15" Type="http://schemas.openxmlformats.org/officeDocument/2006/relationships/header" Target="header11.xml"/><Relationship Id="rId14" Type="http://schemas.openxmlformats.org/officeDocument/2006/relationships/header" Target="header10.xml"/><Relationship Id="rId13" Type="http://schemas.openxmlformats.org/officeDocument/2006/relationships/header" Target="header9.xml"/><Relationship Id="rId12" Type="http://schemas.openxmlformats.org/officeDocument/2006/relationships/header" Target="header8.xml"/><Relationship Id="rId11" Type="http://schemas.openxmlformats.org/officeDocument/2006/relationships/header" Target="header7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51"/>
    <customShpInfo spid="_x0000_s2052"/>
    <customShpInfo spid="_x0000_s2049"/>
    <customShpInfo spid="_x0000_s2054"/>
    <customShpInfo spid="_x0000_s2055"/>
    <customShpInfo spid="_x0000_s2056"/>
    <customShpInfo spid="_x0000_s2053"/>
    <customShpInfo spid="_x0000_s2062"/>
    <customShpInfo spid="_x0000_s2063"/>
    <customShpInfo spid="_x0000_s2064"/>
    <customShpInfo spid="_x0000_s2061"/>
    <customShpInfo spid="_x0000_s2066"/>
    <customShpInfo spid="_x0000_s2067"/>
    <customShpInfo spid="_x0000_s2068"/>
    <customShpInfo spid="_x0000_s2065"/>
    <customShpInfo spid="_x0000_s2069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2021-05-22T02:04:00Z</dcterms:created>
  <dc:creator>User</dc:creator>
  <cp:lastModifiedBy>Administrator</cp:lastModifiedBy>
  <dcterms:modified xsi:type="dcterms:W3CDTF">2023-11-25T10:57:16Z</dcterms:modified>
  <dc:subject>石家庄市xxx部门</dc:subject>
  <dc:title>2017年度部门决算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2021-05-15T00:00:00Z</vt:filetime>
  </property>
  <property fmtid="{D5CDD505-2E9C-101B-9397-08002B2CF9AE}" pid="3" name="Creator">
    <vt:lpwstr>WPS Office</vt:lpwstr>
  </property>
  <property fmtid="{D5CDD505-2E9C-101B-9397-08002B2CF9AE}" pid="4" name="LastSaved">
    <vt:filetime>2021-05-22T00:00:00Z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8485E7BFAC0F46D8B5AB6DDCAFFD7107</vt:lpwstr>
  </property>
</Properties>
</file>