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89.35pt;margin-top:619.8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_x0000_s1046" o:spid="_x0000_s1046" o:spt="1" style="position:absolute;left:0pt;margin-left:61.9pt;margin-top:-53.75pt;height:841.15pt;width:595.1pt;mso-wrap-distance-left:9pt;mso-wrap-distance-right:9pt;z-index:-251644928;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textbox>
              <w:txbxContent>
                <w:p>
                  <w:pPr>
                    <w:rPr>
                      <w:rFonts w:hint="eastAsia" w:eastAsiaTheme="minorEastAsia"/>
                      <w:lang w:val="en-US" w:eastAsia="zh-CN"/>
                    </w:rPr>
                  </w:pPr>
                  <w:r>
                    <w:rPr>
                      <w:rFonts w:hint="eastAsia"/>
                      <w:lang w:val="en-US" w:eastAsia="zh-CN"/>
                    </w:rPr>
                    <w:t xml:space="preserve">                                         </w:t>
                  </w:r>
                </w:p>
              </w:txbxContent>
            </v:textbox>
            <w10:wrap type="through"/>
          </v:rect>
        </w:pict>
      </w:r>
      <w:r>
        <w:pict>
          <v:shape id="椭圆 8" o:spid="_x0000_s1042"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41"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0"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rPr>
                      <w:rFonts w:hint="eastAsia" w:eastAsiaTheme="minorEastAsia"/>
                      <w:sz w:val="52"/>
                      <w:szCs w:val="52"/>
                      <w:lang w:val="en-US" w:eastAsia="zh-CN"/>
                    </w:rPr>
                  </w:pPr>
                  <w:r>
                    <w:rPr>
                      <w:rFonts w:hint="eastAsia"/>
                      <w:sz w:val="52"/>
                      <w:szCs w:val="52"/>
                      <w:lang w:val="en-US" w:eastAsia="zh-CN"/>
                    </w:rPr>
                    <w:t>2019</w:t>
                  </w:r>
                </w:p>
              </w:txbxContent>
            </v:textbox>
          </v:shape>
        </w:pict>
      </w:r>
      <w:r>
        <w:pict>
          <v:group id="_x0000_s1037" o:spid="_x0000_s1037"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4" o:spid="_x0000_s1034" o:spt="203" style="position:absolute;left:0pt;margin-left:-2.5pt;margin-top:0pt;height:308.5pt;width:600.25pt;z-index:-251657216;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57.15pt;width:341.6pt;z-index:251663360;mso-width-relative:page;mso-height-relative:page;" filled="f" stroked="f" coordsize="21600,21600">
            <v:path/>
            <v:fill on="f" focussize="0,0"/>
            <v:stroke on="f"/>
            <v:imagedata o:title=""/>
            <o:lock v:ext="edit" aspectratio="f"/>
            <v:textbox>
              <w:txbxContent>
                <w:p>
                  <w:pPr>
                    <w:rPr>
                      <w:rFonts w:hint="eastAsia" w:eastAsiaTheme="minorEastAsia"/>
                      <w:sz w:val="52"/>
                      <w:szCs w:val="52"/>
                      <w:lang w:eastAsia="zh-CN"/>
                    </w:rPr>
                  </w:pPr>
                  <w:r>
                    <w:rPr>
                      <w:rFonts w:hint="eastAsia"/>
                      <w:sz w:val="52"/>
                      <w:szCs w:val="52"/>
                      <w:lang w:eastAsia="zh-CN"/>
                    </w:rPr>
                    <w:t>馆陶县档案馆部门决算公开</w:t>
                  </w:r>
                </w:p>
              </w:txbxContent>
            </v:textbox>
          </v:rect>
        </w:pict>
      </w:r>
    </w:p>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kern w:val="0"/>
          <w:sz w:val="44"/>
          <w:szCs w:val="44"/>
        </w:rPr>
      </w:pPr>
      <w:r>
        <w:rPr>
          <w:rFonts w:hint="eastAsia" w:ascii="楷体_GB2312" w:hAnsi="楷体_GB2312" w:eastAsia="楷体_GB2312" w:cs="楷体_GB2312"/>
          <w:kern w:val="0"/>
          <w:sz w:val="44"/>
          <w:szCs w:val="44"/>
        </w:rPr>
        <w:t>馆陶县档案馆</w:t>
      </w:r>
    </w:p>
    <w:p>
      <w:pPr>
        <w:snapToGrid w:val="0"/>
        <w:jc w:val="center"/>
        <w:rPr>
          <w:rFonts w:ascii="楷体_GB2312" w:hAnsi="楷体_GB2312" w:eastAsia="楷体_GB2312" w:cs="楷体_GB2312"/>
          <w:color w:val="000000" w:themeColor="text1"/>
          <w:kern w:val="0"/>
          <w:sz w:val="44"/>
          <w:szCs w:val="44"/>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666432;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o:title="image1" focussize="0,0" r:id="rId27"/>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（一）对全县档案事业实行宏观管理；编制档案事业中长期发展规划、年度工作要点并监督实施；指导、检查、协调档案业务工作。</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（二）依据有关法律、法规进行档案行政执法和监督。</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（三）组织档案科学技术和理论研究，推进全县档案工作的科学化、标准化与现代化建设。</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（四）制定全县档案工作人员队伍建设规划，组织档案专业教育和档案干部培训工作，协助做好档案专业技术职务评聘有关工作。</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（五）负责档案宣传工作，统一管理全县档案资料对外交流；协调全县档案工作中的外事活动。</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（六）集中统一管理县直机关的档案资料，保守党和国家机密，维护档案完整，确保档案资料安全。</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（七）负责接收县直机关档案并进行系统化整理；调查、征集与我县有关的档案资料和我县重大活动形成的文件资料。</w:t>
      </w:r>
    </w:p>
    <w:p>
      <w:pPr>
        <w:widowControl/>
        <w:spacing w:before="68" w:after="68" w:line="245" w:lineRule="atLeast"/>
        <w:ind w:firstLine="600"/>
        <w:jc w:val="left"/>
        <w:rPr>
          <w:rFonts w:ascii="仿宋" w:hAnsi="仿宋" w:eastAsia="仿宋" w:cs="Tahoma"/>
          <w:color w:val="000000"/>
          <w:kern w:val="0"/>
          <w:sz w:val="32"/>
          <w:szCs w:val="32"/>
        </w:rPr>
      </w:pPr>
      <w:r>
        <w:rPr>
          <w:rFonts w:ascii="仿宋" w:hAnsi="仿宋" w:eastAsia="仿宋" w:cs="Tahoma"/>
          <w:color w:val="000000"/>
          <w:kern w:val="0"/>
          <w:sz w:val="32"/>
          <w:szCs w:val="32"/>
        </w:rPr>
        <w:t>（八）负责全县档案信息开发、编辑出版、开放规划与管理，发挥档案信息资源作用，为社会各方面提供服务。</w:t>
      </w:r>
    </w:p>
    <w:p>
      <w:pPr>
        <w:widowControl/>
        <w:spacing w:before="68" w:after="68" w:line="245" w:lineRule="atLeast"/>
        <w:ind w:firstLine="600"/>
        <w:jc w:val="left"/>
        <w:rPr>
          <w:rFonts w:ascii="Tahoma" w:hAnsi="Tahoma" w:cs="Tahoma"/>
          <w:color w:val="000000"/>
          <w:kern w:val="0"/>
          <w:sz w:val="28"/>
          <w:szCs w:val="28"/>
        </w:rPr>
      </w:pPr>
      <w:r>
        <w:rPr>
          <w:rFonts w:ascii="Tahoma" w:hAnsi="Tahoma" w:cs="Tahoma"/>
          <w:color w:val="000000"/>
          <w:kern w:val="0"/>
          <w:sz w:val="28"/>
          <w:szCs w:val="28"/>
        </w:rPr>
        <w:t>（九）承办县委、县政府交办的其他事项。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馆陶县档案馆</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财政补助事业单位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251668480;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本部门2019年度收支总计（含结转和结余）166.39万元。与2018年度决算相比，收支各增加72.23万元，增长43.41%，主要原因是增加了馆内安装电梯费用和退休人员抚恤金.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本部门2019年度本年收入合计166.39万元，其中：财政拨款收入166.39万元，占100%；事业收入0万元，占0%；经营收入0万元，占0%；其他收入0万元，占0%。</w:t>
      </w: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本部门2019年度本年支出合计166.39万元，其中：基本支出116.7万元，占70.13%；项目支出49.69万元，占29.87%；经营支出0万元，占0%。</w:t>
      </w:r>
    </w:p>
    <w:p>
      <w:pPr>
        <w:keepNext/>
        <w:keepLines/>
        <w:snapToGrid w:val="0"/>
        <w:spacing w:line="580" w:lineRule="exact"/>
        <w:ind w:firstLine="960" w:firstLineChars="3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166.39万元,比2018年度增加72.23万元，增长43.41%，主要是增加了馆内安装电梯费用和退休人员抚恤金；本年支出166.39万元，增加72.23万元，增长43.41%，主要</w:t>
      </w:r>
      <w:bookmarkStart w:id="0" w:name="_GoBack"/>
      <w:bookmarkEnd w:id="0"/>
      <w:r>
        <w:rPr>
          <w:rFonts w:hint="eastAsia" w:ascii="仿宋_GB2312" w:hAnsi="Times New Roman" w:eastAsia="仿宋_GB2312" w:cs="DengXian-Regular"/>
          <w:sz w:val="32"/>
          <w:szCs w:val="32"/>
        </w:rPr>
        <w:t>是增加了馆内安装电梯费用和退休人员抚恤金。</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本部门2019年度一般公共预算财政拨款收入166.39万元，完成年初预算的100%,比年初预算增加0万元；本年支出166.39万元，完成年初预算的100%,比年初预算增加0万元，与年初预算持平。</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年度财政拨款支出166.39万元，主要用于以下方面:一般公共服务（类）支出142.95万元，占85.91%，；社会保就业（类）支出21.89万元，占13.15%；卫生健康（类）支出1.55万元，占0.94%。</w:t>
      </w:r>
    </w:p>
    <w:p>
      <w:pPr>
        <w:tabs>
          <w:tab w:val="left" w:pos="7313"/>
        </w:tabs>
        <w:adjustRightInd w:val="0"/>
        <w:snapToGrid w:val="0"/>
        <w:spacing w:line="580" w:lineRule="exact"/>
        <w:ind w:firstLine="321" w:firstLineChars="1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年度财政拨款基本支出166.39万元，其中：人员经费 128.85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37.54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numPr>
          <w:ilvl w:val="0"/>
          <w:numId w:val="2"/>
        </w:num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本部门2019年度公务用车购置及运行维护费较预算持平,主要是未发生此项支出；较上年持平,主要是未发生此项支出。</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本部门2019年度公务用车购置量x辆，发生“公务用车购置”经费支出0万元。公务用车购置费支出较预算持平,主要是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本部门2019年度单位公务用车保有量0辆。公车运行维护费支出较预算持平,主要是</w:t>
      </w:r>
      <w:r>
        <w:rPr>
          <w:rFonts w:hint="eastAsia" w:ascii="仿宋_GB2312" w:hAnsi="Times New Roman" w:eastAsia="仿宋_GB2312" w:cs="DengXian-Regular"/>
          <w:color w:val="000000"/>
          <w:sz w:val="32"/>
          <w:szCs w:val="32"/>
        </w:rPr>
        <w:t>未发生“公务用车运行维护”经费支出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发生“公务用车运行维护”经费支出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本部门2019年度公务接待共0批次、0人次。公务接待费支出较预算持平,主要是为发生此项业务支出；较上年度持平,主要是未发生此项业务支出。</w:t>
      </w:r>
    </w:p>
    <w:p>
      <w:pPr>
        <w:rPr>
          <w:sz w:val="18"/>
          <w:szCs w:val="20"/>
        </w:rPr>
      </w:pPr>
    </w:p>
    <w:p>
      <w:pPr>
        <w:keepNext/>
        <w:keepLines/>
        <w:snapToGrid w:val="0"/>
        <w:spacing w:line="580" w:lineRule="exact"/>
        <w:ind w:firstLine="640" w:firstLineChars="200"/>
        <w:outlineLvl w:val="1"/>
        <w:rPr>
          <w:rFonts w:ascii="黑体" w:hAnsi="Calibri" w:eastAsia="黑体" w:cs="Times New Roman"/>
          <w:sz w:val="32"/>
          <w:szCs w:val="32"/>
        </w:rPr>
      </w:pP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共涉及资金31万元，占一般公共预算项目支出总额的21.68%。从评价情况来看，达到了年初设定的绩效目标。</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本部门在今年部门决算公开中反映“档案日常管理费”1个项目自评结果。</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“档案日常管理费”项目自评综述：根据年初设定的绩效目标，“档案日常管理费”项目绩效自评得分为90分（绩效自评表附后）。全年预算数为2万元，执行数为2万元，完成预算的100%。项目绩效目标完成情况：</w:t>
      </w:r>
      <w:r>
        <w:rPr>
          <w:rFonts w:hint="eastAsia" w:ascii="仿宋_GB2312" w:eastAsia="仿宋_GB2312"/>
          <w:sz w:val="32"/>
          <w:szCs w:val="32"/>
        </w:rPr>
        <w:t>通过日常的管理，以维护档案不被虫咬不被侵蚀，以更好的提供查阅和保管工作。为维护日常工作需要，发挥档案信息资源作用，为社会各方面提供服务。</w:t>
      </w:r>
    </w:p>
    <w:p>
      <w:pPr>
        <w:adjustRightInd w:val="0"/>
        <w:snapToGrid w:val="0"/>
        <w:spacing w:line="580" w:lineRule="exact"/>
        <w:ind w:left="420" w:leftChars="200" w:firstLine="960" w:firstLineChars="300"/>
        <w:rPr>
          <w:rFonts w:ascii="仿宋_GB2312" w:eastAsia="仿宋_GB2312"/>
          <w:sz w:val="32"/>
          <w:szCs w:val="32"/>
        </w:rPr>
      </w:pPr>
      <w:r>
        <w:rPr>
          <w:rFonts w:hint="eastAsia" w:ascii="仿宋_GB2312" w:hAnsi="仿宋_GB2312" w:eastAsia="仿宋_GB2312" w:cs="仿宋_GB2312"/>
          <w:sz w:val="32"/>
          <w:szCs w:val="32"/>
        </w:rPr>
        <w:t>下一步改进措施：</w:t>
      </w:r>
      <w:r>
        <w:rPr>
          <w:rFonts w:hint="eastAsia" w:ascii="仿宋_GB2312" w:eastAsia="仿宋_GB2312"/>
          <w:sz w:val="32"/>
          <w:szCs w:val="32"/>
        </w:rPr>
        <w:t>保存老旧档案中存在一定的漏洞问题，在今后的工作中会进一步加强档案安全的管理工作，切实做到提高档案保存的安全。</w:t>
      </w:r>
    </w:p>
    <w:tbl>
      <w:tblPr>
        <w:tblStyle w:val="6"/>
        <w:tblW w:w="10050" w:type="dxa"/>
        <w:tblInd w:w="0" w:type="dxa"/>
        <w:tblLayout w:type="fixed"/>
        <w:tblCellMar>
          <w:top w:w="0" w:type="dxa"/>
          <w:left w:w="0" w:type="dxa"/>
          <w:bottom w:w="0" w:type="dxa"/>
          <w:right w:w="0" w:type="dxa"/>
        </w:tblCellMar>
      </w:tblPr>
      <w:tblGrid>
        <w:gridCol w:w="1080"/>
        <w:gridCol w:w="1080"/>
        <w:gridCol w:w="990"/>
        <w:gridCol w:w="1080"/>
        <w:gridCol w:w="1080"/>
        <w:gridCol w:w="840"/>
        <w:gridCol w:w="855"/>
        <w:gridCol w:w="795"/>
        <w:gridCol w:w="840"/>
        <w:gridCol w:w="1410"/>
      </w:tblGrid>
      <w:tr>
        <w:tblPrEx>
          <w:tblCellMar>
            <w:top w:w="0" w:type="dxa"/>
            <w:left w:w="0" w:type="dxa"/>
            <w:bottom w:w="0" w:type="dxa"/>
            <w:right w:w="0" w:type="dxa"/>
          </w:tblCellMar>
        </w:tblPrEx>
        <w:trPr>
          <w:trHeight w:val="540" w:hRule="atLeast"/>
        </w:trPr>
        <w:tc>
          <w:tcPr>
            <w:tcW w:w="1005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kern w:val="0"/>
                <w:sz w:val="28"/>
                <w:szCs w:val="28"/>
              </w:rPr>
              <w:t>档案管理经费项目支出绩效自评表</w:t>
            </w:r>
          </w:p>
        </w:tc>
      </w:tr>
      <w:tr>
        <w:tblPrEx>
          <w:tblCellMar>
            <w:top w:w="0" w:type="dxa"/>
            <w:left w:w="0" w:type="dxa"/>
            <w:bottom w:w="0" w:type="dxa"/>
            <w:right w:w="0" w:type="dxa"/>
          </w:tblCellMar>
        </w:tblPrEx>
        <w:trPr>
          <w:trHeight w:val="420" w:hRule="atLeast"/>
        </w:trPr>
        <w:tc>
          <w:tcPr>
            <w:tcW w:w="1005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（2019年度）</w:t>
            </w:r>
          </w:p>
        </w:tc>
      </w:tr>
      <w:tr>
        <w:tblPrEx>
          <w:tblCellMar>
            <w:top w:w="0" w:type="dxa"/>
            <w:left w:w="0" w:type="dxa"/>
            <w:bottom w:w="0" w:type="dxa"/>
            <w:right w:w="0" w:type="dxa"/>
          </w:tblCellMar>
        </w:tblPrEx>
        <w:trPr>
          <w:trHeight w:val="380" w:hRule="atLeast"/>
        </w:trPr>
        <w:tc>
          <w:tcPr>
            <w:tcW w:w="108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填报单位：</w:t>
            </w:r>
          </w:p>
        </w:tc>
        <w:tc>
          <w:tcPr>
            <w:tcW w:w="2070"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馆陶县档案馆</w:t>
            </w:r>
          </w:p>
        </w:tc>
        <w:tc>
          <w:tcPr>
            <w:tcW w:w="108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金额单位：万元</w:t>
            </w:r>
          </w:p>
        </w:tc>
      </w:tr>
      <w:tr>
        <w:tblPrEx>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8970" w:type="dxa"/>
            <w:gridSpan w:val="9"/>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档案日常管理经费</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馆陶县县委办公室</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w:t>
            </w:r>
          </w:p>
        </w:tc>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馆陶县档案馆</w:t>
            </w:r>
          </w:p>
        </w:tc>
      </w:tr>
      <w:tr>
        <w:tblPrEx>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项目资金</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全年预算数</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全年执行数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执行率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年度资金总额</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其中：当年财政拨款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6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35"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上年结转资金</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9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63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40"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年度总体目标</w:t>
            </w:r>
          </w:p>
        </w:tc>
        <w:tc>
          <w:tcPr>
            <w:tcW w:w="31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预期目标</w:t>
            </w:r>
          </w:p>
        </w:tc>
        <w:tc>
          <w:tcPr>
            <w:tcW w:w="582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实际完成情况</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目标：通过日常的管理，以维护档案不被虫咬不被侵蚀，以更好的提供查阅和保管工作。</w:t>
            </w:r>
          </w:p>
        </w:tc>
        <w:tc>
          <w:tcPr>
            <w:tcW w:w="5820" w:type="dxa"/>
            <w:gridSpan w:val="6"/>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馆藏档案资料的保管、整理、统计、鉴定和定期检查工作，负责档案的开放、公布和资料的提供利用工作，负责馆藏档案资料检索工具的编制、管理和使用工作；负责档案库房的统一管理，确保档案资料的安全。</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582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582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50"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实际完成值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偏差原因分析及改进措施</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１</w:t>
            </w:r>
            <w:r>
              <w:rPr>
                <w:rStyle w:val="17"/>
                <w:rFonts w:hint="default"/>
              </w:rPr>
              <w:t>利用档案人次(人)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85%</w:t>
            </w: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1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２档案利用情况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4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１档案完整率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≥87%</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２档案查阅率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１</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１</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１</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１档案利用率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≥87%</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１</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１档案安全率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≥90%</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指标</w:t>
            </w:r>
            <w:r>
              <w:rPr>
                <w:rStyle w:val="18"/>
                <w:rFonts w:hint="default"/>
              </w:rPr>
              <w:t>２</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8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9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１查询档案满意度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95%</w:t>
            </w: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指标</w:t>
            </w:r>
            <w:r>
              <w:rPr>
                <w:rStyle w:val="16"/>
              </w:rPr>
              <w:t>２被查询档案利用率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90%</w:t>
            </w: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840" w:hRule="atLeast"/>
        </w:trPr>
        <w:tc>
          <w:tcPr>
            <w:tcW w:w="70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18"/>
                <w:szCs w:val="18"/>
              </w:rPr>
            </w:pPr>
          </w:p>
        </w:tc>
      </w:tr>
    </w:tbl>
    <w:p>
      <w:pPr>
        <w:adjustRightInd w:val="0"/>
        <w:snapToGrid w:val="0"/>
        <w:spacing w:line="580" w:lineRule="exact"/>
        <w:ind w:left="420" w:leftChars="200" w:firstLine="960" w:firstLineChars="300"/>
        <w:rPr>
          <w:rFonts w:ascii="仿宋_GB2312" w:eastAsia="仿宋_GB2312"/>
          <w:sz w:val="32"/>
          <w:szCs w:val="32"/>
        </w:rPr>
      </w:pPr>
    </w:p>
    <w:p>
      <w:pPr>
        <w:keepNext/>
        <w:keepLines/>
        <w:numPr>
          <w:ilvl w:val="0"/>
          <w:numId w:val="3"/>
        </w:numPr>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本部门2019年度机关运行经费支出0万元，与2018年度持平。主要原因是我单位是财政补助事业单位，无机关运行经费。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截至2019年12月31日，本部门共有车辆0辆，与上年持平。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widowControl/>
        <w:ind w:firstLine="930" w:firstLineChars="300"/>
        <w:jc w:val="left"/>
      </w:pPr>
      <w:r>
        <w:rPr>
          <w:rFonts w:ascii="仿宋" w:hAnsi="仿宋" w:eastAsia="仿宋" w:cs="仿宋"/>
          <w:color w:val="000000"/>
          <w:kern w:val="0"/>
          <w:sz w:val="31"/>
          <w:szCs w:val="31"/>
        </w:rPr>
        <w:t>1、本部门 2019 年度政府性基金预算财政拨款、国有资本经</w:t>
      </w:r>
      <w:r>
        <w:rPr>
          <w:rFonts w:hint="eastAsia" w:ascii="仿宋" w:hAnsi="仿宋" w:eastAsia="仿宋" w:cs="仿宋"/>
          <w:color w:val="000000"/>
          <w:kern w:val="0"/>
          <w:sz w:val="31"/>
          <w:szCs w:val="31"/>
        </w:rPr>
        <w:t xml:space="preserve">营预算、三公经费预算支出、财政拨款无收支及结转和结余情况、故政府性基金预算财政拨款收入支出决算表、国有资本经营预算财政拨款支出决算表 、“三公经费”支出表，以空表列示。 </w:t>
      </w:r>
    </w:p>
    <w:p>
      <w:pPr>
        <w:widowControl/>
        <w:ind w:firstLine="620" w:firstLineChars="200"/>
        <w:jc w:val="left"/>
      </w:pPr>
      <w:r>
        <w:rPr>
          <w:rFonts w:hint="eastAsia" w:ascii="仿宋" w:hAnsi="仿宋" w:eastAsia="仿宋" w:cs="仿宋"/>
          <w:color w:val="000000"/>
          <w:kern w:val="0"/>
          <w:sz w:val="31"/>
          <w:szCs w:val="31"/>
        </w:rPr>
        <w:t xml:space="preserve">2、由于决算公开表格中金额数值应当保留两位小数，公开 </w:t>
      </w:r>
    </w:p>
    <w:p>
      <w:pPr>
        <w:widowControl/>
        <w:jc w:val="left"/>
      </w:pPr>
      <w:r>
        <w:rPr>
          <w:rFonts w:hint="eastAsia" w:ascii="仿宋" w:hAnsi="仿宋" w:eastAsia="仿宋" w:cs="仿宋"/>
          <w:color w:val="000000"/>
          <w:kern w:val="0"/>
          <w:sz w:val="31"/>
          <w:szCs w:val="31"/>
        </w:rPr>
        <w:t xml:space="preserve">数据为四舍五入计算结果，个别数据合计项与分项之和存在小数 </w:t>
      </w:r>
    </w:p>
    <w:p>
      <w:pPr>
        <w:widowControl/>
        <w:jc w:val="left"/>
      </w:pPr>
      <w:r>
        <w:rPr>
          <w:rFonts w:hint="eastAsia" w:ascii="仿宋" w:hAnsi="仿宋" w:eastAsia="仿宋" w:cs="仿宋"/>
          <w:color w:val="000000"/>
          <w:kern w:val="0"/>
          <w:sz w:val="31"/>
          <w:szCs w:val="31"/>
        </w:rPr>
        <w:t xml:space="preserve">点后差额，特此说明。 </w:t>
      </w:r>
    </w:p>
    <w:p>
      <w:pPr>
        <w:keepNext/>
        <w:keepLines/>
        <w:snapToGrid w:val="0"/>
        <w:spacing w:line="580" w:lineRule="exact"/>
        <w:outlineLvl w:val="1"/>
        <w:rPr>
          <w:rFonts w:ascii="黑体" w:hAnsi="Calibri" w:eastAsia="黑体" w:cs="Times New Roman"/>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9504;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o:title="image1" focussize="0,0" r:id="rId27"/>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部门：馆陶县档案馆</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166.39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142.95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166.39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166.39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166.39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166.39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755" w:type="dxa"/>
        <w:jc w:val="center"/>
        <w:tblLayout w:type="fixed"/>
        <w:tblCellMar>
          <w:top w:w="0" w:type="dxa"/>
          <w:left w:w="0" w:type="dxa"/>
          <w:bottom w:w="0" w:type="dxa"/>
          <w:right w:w="0" w:type="dxa"/>
        </w:tblCellMar>
      </w:tblPr>
      <w:tblGrid>
        <w:gridCol w:w="916"/>
        <w:gridCol w:w="52"/>
        <w:gridCol w:w="52"/>
        <w:gridCol w:w="2707"/>
        <w:gridCol w:w="1211"/>
        <w:gridCol w:w="1211"/>
        <w:gridCol w:w="721"/>
        <w:gridCol w:w="721"/>
        <w:gridCol w:w="721"/>
        <w:gridCol w:w="721"/>
        <w:gridCol w:w="722"/>
      </w:tblGrid>
      <w:tr>
        <w:tblPrEx>
          <w:tblCellMar>
            <w:top w:w="0" w:type="dxa"/>
            <w:left w:w="0" w:type="dxa"/>
            <w:bottom w:w="0" w:type="dxa"/>
            <w:right w:w="0" w:type="dxa"/>
          </w:tblCellMar>
        </w:tblPrEx>
        <w:trPr>
          <w:trHeight w:val="670" w:hRule="atLeast"/>
          <w:jc w:val="center"/>
        </w:trPr>
        <w:tc>
          <w:tcPr>
            <w:tcW w:w="9755"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4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12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6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7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2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72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72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990" w:type="dxa"/>
              <w:tblInd w:w="0" w:type="dxa"/>
              <w:tblLayout w:type="fixed"/>
              <w:tblCellMar>
                <w:top w:w="0" w:type="dxa"/>
                <w:left w:w="0" w:type="dxa"/>
                <w:bottom w:w="0" w:type="dxa"/>
                <w:right w:w="0" w:type="dxa"/>
              </w:tblCellMar>
            </w:tblPr>
            <w:tblGrid>
              <w:gridCol w:w="990"/>
            </w:tblGrid>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20126</w:t>
                  </w:r>
                </w:p>
              </w:tc>
            </w:tr>
          </w:tbl>
          <w:p>
            <w:pPr>
              <w:jc w:val="left"/>
              <w:rPr>
                <w:rFonts w:ascii="宋体" w:hAnsi="宋体" w:eastAsia="宋体" w:cs="宋体"/>
                <w:color w:val="000000"/>
                <w:sz w:val="22"/>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档案事务</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2012601</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2012604</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档案馆</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2080502</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事业单位离退休</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机关事业单位基本养老保险缴费支出</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12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755"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r>
        <w:tblPrEx>
          <w:tblCellMar>
            <w:top w:w="0" w:type="dxa"/>
            <w:left w:w="0" w:type="dxa"/>
            <w:bottom w:w="0" w:type="dxa"/>
            <w:right w:w="0" w:type="dxa"/>
          </w:tblCellMar>
        </w:tblPrEx>
        <w:trPr>
          <w:trHeight w:val="385" w:hRule="atLeast"/>
          <w:jc w:val="center"/>
        </w:trPr>
        <w:tc>
          <w:tcPr>
            <w:tcW w:w="9755"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990" w:type="dxa"/>
              <w:tblInd w:w="0" w:type="dxa"/>
              <w:tblLayout w:type="fixed"/>
              <w:tblCellMar>
                <w:top w:w="0" w:type="dxa"/>
                <w:left w:w="0" w:type="dxa"/>
                <w:bottom w:w="0" w:type="dxa"/>
                <w:right w:w="0" w:type="dxa"/>
              </w:tblCellMar>
            </w:tblPr>
            <w:tblGrid>
              <w:gridCol w:w="990"/>
            </w:tblGrid>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20126</w:t>
                  </w:r>
                </w:p>
              </w:tc>
            </w:tr>
          </w:tbl>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档案事务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档案馆</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部门：馆陶县档案馆</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166.39</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424" w:type="dxa"/>
        <w:jc w:val="center"/>
        <w:tblLayout w:type="fixed"/>
        <w:tblCellMar>
          <w:top w:w="0" w:type="dxa"/>
          <w:left w:w="0" w:type="dxa"/>
          <w:bottom w:w="0" w:type="dxa"/>
          <w:right w:w="0" w:type="dxa"/>
        </w:tblCellMar>
      </w:tblPr>
      <w:tblGrid>
        <w:gridCol w:w="916"/>
        <w:gridCol w:w="52"/>
        <w:gridCol w:w="52"/>
        <w:gridCol w:w="4718"/>
        <w:gridCol w:w="1949"/>
        <w:gridCol w:w="1512"/>
        <w:gridCol w:w="1225"/>
      </w:tblGrid>
      <w:tr>
        <w:tblPrEx>
          <w:tblCellMar>
            <w:top w:w="0" w:type="dxa"/>
            <w:left w:w="0" w:type="dxa"/>
            <w:bottom w:w="0" w:type="dxa"/>
            <w:right w:w="0" w:type="dxa"/>
          </w:tblCellMar>
        </w:tblPrEx>
        <w:trPr>
          <w:trHeight w:val="600" w:hRule="atLeast"/>
          <w:jc w:val="center"/>
        </w:trPr>
        <w:tc>
          <w:tcPr>
            <w:tcW w:w="1042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3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9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194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3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7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6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73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73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166.39</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990" w:type="dxa"/>
              <w:tblInd w:w="0" w:type="dxa"/>
              <w:tblLayout w:type="fixed"/>
              <w:tblCellMar>
                <w:top w:w="0" w:type="dxa"/>
                <w:left w:w="0" w:type="dxa"/>
                <w:bottom w:w="0" w:type="dxa"/>
                <w:right w:w="0" w:type="dxa"/>
              </w:tblCellMar>
            </w:tblPr>
            <w:tblGrid>
              <w:gridCol w:w="990"/>
            </w:tblGrid>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20126</w:t>
                  </w:r>
                </w:p>
              </w:tc>
            </w:tr>
          </w:tbl>
          <w:p>
            <w:pPr>
              <w:jc w:val="left"/>
              <w:rPr>
                <w:rFonts w:ascii="宋体" w:hAnsi="宋体" w:eastAsia="宋体" w:cs="宋体"/>
                <w:color w:val="000000"/>
                <w:sz w:val="22"/>
              </w:rPr>
            </w:pP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档案事务</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142.95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2012601</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53.65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2012604</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档案馆</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89.3</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21.89</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2080502</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事业单位离退休</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17.69</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机关事业单位基本养老保险缴费支出</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0.65</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w:t>
            </w: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718" w:type="dxa"/>
            <w:tcBorders>
              <w:top w:val="nil"/>
              <w:left w:val="nil"/>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49"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2"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25"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718" w:type="dxa"/>
            <w:tcBorders>
              <w:top w:val="nil"/>
              <w:left w:val="nil"/>
              <w:bottom w:val="nil"/>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49"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2"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25" w:type="dxa"/>
            <w:tcBorders>
              <w:top w:val="nil"/>
              <w:left w:val="nil"/>
              <w:bottom w:val="nil"/>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7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111.16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64.80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8.74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0.50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3.85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17.69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17.69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128.85</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37.54</w:t>
            </w:r>
          </w:p>
        </w:tc>
      </w:tr>
    </w:tbl>
    <w:p>
      <w:r>
        <w:rPr>
          <w:rFonts w:hint="eastAsia"/>
        </w:rP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本部门本年度无“三公”经费支出预决算情况，按要求以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w:t>
      </w:r>
      <w:r>
        <w:t>本部门本年度无“</w:t>
      </w:r>
      <w:r>
        <w:rPr>
          <w:rFonts w:hint="eastAsia"/>
        </w:rPr>
        <w:t>政府性基金预算财政拨款收入</w:t>
      </w:r>
      <w:r>
        <w:t>”预决算情况，按要求以空表列示。</w:t>
      </w:r>
      <w:r>
        <w:br w:type="page"/>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馆陶县档案馆</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w:t>
      </w:r>
      <w:r>
        <w:t>本部门本年度无“</w:t>
      </w:r>
      <w:r>
        <w:rPr>
          <w:rFonts w:hint="eastAsia"/>
        </w:rPr>
        <w:t>国有资本经营预算</w:t>
      </w:r>
      <w:r>
        <w:t>”</w:t>
      </w:r>
      <w:r>
        <w:rPr>
          <w:rFonts w:hint="eastAsia"/>
        </w:rPr>
        <w:t>财政拨款支出</w:t>
      </w:r>
      <w:r>
        <w:t>情况，按要求以空表列示。</w:t>
      </w:r>
      <w:r>
        <w:br w:type="page"/>
      </w:r>
    </w:p>
    <w:p>
      <w:r>
        <w:pict>
          <v:rect id="_x0000_s1027" o:spid="_x0000_s1027" o:spt="1" style="position:absolute;left:0pt;margin-left:-70.5pt;margin-top:-85.25pt;height:841.15pt;width:595.1pt;z-index:2516705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6432;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2"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5408;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769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667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7936;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78720;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7974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0"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2576;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3600;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4624;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5648;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5515A"/>
    <w:multiLevelType w:val="singleLevel"/>
    <w:tmpl w:val="D345515A"/>
    <w:lvl w:ilvl="0" w:tentative="0">
      <w:start w:val="7"/>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78F9E0F"/>
    <w:multiLevelType w:val="singleLevel"/>
    <w:tmpl w:val="478F9E0F"/>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90C92"/>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6C5FCB"/>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BF6CA2"/>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C1DB1"/>
    <w:rsid w:val="00EE4E36"/>
    <w:rsid w:val="00F665F4"/>
    <w:rsid w:val="00FD225F"/>
    <w:rsid w:val="01220264"/>
    <w:rsid w:val="053C2207"/>
    <w:rsid w:val="05F70ACE"/>
    <w:rsid w:val="0B506081"/>
    <w:rsid w:val="0F8E2FFD"/>
    <w:rsid w:val="108C0AED"/>
    <w:rsid w:val="11F04258"/>
    <w:rsid w:val="12A25F78"/>
    <w:rsid w:val="16CB602A"/>
    <w:rsid w:val="1C2D3A2A"/>
    <w:rsid w:val="1C7B0F55"/>
    <w:rsid w:val="1D092B48"/>
    <w:rsid w:val="1DBF4034"/>
    <w:rsid w:val="1E0030A9"/>
    <w:rsid w:val="1FD124EF"/>
    <w:rsid w:val="208F6487"/>
    <w:rsid w:val="2A377D2E"/>
    <w:rsid w:val="2A600C30"/>
    <w:rsid w:val="2EAC0BAE"/>
    <w:rsid w:val="30CE0CD7"/>
    <w:rsid w:val="31C2036A"/>
    <w:rsid w:val="320D02A5"/>
    <w:rsid w:val="348E566F"/>
    <w:rsid w:val="35D20C85"/>
    <w:rsid w:val="396306ED"/>
    <w:rsid w:val="39A479D2"/>
    <w:rsid w:val="3A1E0681"/>
    <w:rsid w:val="3A226944"/>
    <w:rsid w:val="3AEE6A48"/>
    <w:rsid w:val="3C1620AA"/>
    <w:rsid w:val="3D8F080F"/>
    <w:rsid w:val="3E0A2325"/>
    <w:rsid w:val="3E311C0D"/>
    <w:rsid w:val="41892D4D"/>
    <w:rsid w:val="43F86ADF"/>
    <w:rsid w:val="44CE1FA4"/>
    <w:rsid w:val="44CF3586"/>
    <w:rsid w:val="487F73ED"/>
    <w:rsid w:val="4A347EAE"/>
    <w:rsid w:val="4A367E57"/>
    <w:rsid w:val="4B836910"/>
    <w:rsid w:val="4D1807D7"/>
    <w:rsid w:val="4EEC654B"/>
    <w:rsid w:val="519C0CBA"/>
    <w:rsid w:val="52600405"/>
    <w:rsid w:val="529B4319"/>
    <w:rsid w:val="535368A8"/>
    <w:rsid w:val="57773DD6"/>
    <w:rsid w:val="578B79AB"/>
    <w:rsid w:val="58257CEA"/>
    <w:rsid w:val="591523FA"/>
    <w:rsid w:val="5A546B6D"/>
    <w:rsid w:val="5B697756"/>
    <w:rsid w:val="5CCD3FD5"/>
    <w:rsid w:val="5D426045"/>
    <w:rsid w:val="5E28626F"/>
    <w:rsid w:val="60B55131"/>
    <w:rsid w:val="61203A4A"/>
    <w:rsid w:val="6162106A"/>
    <w:rsid w:val="61FA5F9D"/>
    <w:rsid w:val="63DB49DB"/>
    <w:rsid w:val="646B2227"/>
    <w:rsid w:val="64CD6910"/>
    <w:rsid w:val="65065784"/>
    <w:rsid w:val="6789158D"/>
    <w:rsid w:val="67D81BA4"/>
    <w:rsid w:val="68196325"/>
    <w:rsid w:val="69E27726"/>
    <w:rsid w:val="6AAF1C96"/>
    <w:rsid w:val="6DBC7712"/>
    <w:rsid w:val="6EB85B1A"/>
    <w:rsid w:val="6F8C57DC"/>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2">
    <w:name w:val="font01"/>
    <w:basedOn w:val="8"/>
    <w:uiPriority w:val="0"/>
    <w:rPr>
      <w:rFonts w:ascii="Calibri" w:hAnsi="Calibri" w:cs="Calibri"/>
      <w:color w:val="000000"/>
      <w:sz w:val="16"/>
      <w:szCs w:val="16"/>
      <w:u w:val="none"/>
    </w:rPr>
  </w:style>
  <w:style w:type="character" w:customStyle="1" w:styleId="13">
    <w:name w:val="font91"/>
    <w:basedOn w:val="8"/>
    <w:qFormat/>
    <w:uiPriority w:val="0"/>
    <w:rPr>
      <w:rFonts w:hint="eastAsia" w:ascii="宋体" w:hAnsi="宋体" w:eastAsia="宋体" w:cs="宋体"/>
      <w:color w:val="000000"/>
      <w:sz w:val="16"/>
      <w:szCs w:val="16"/>
      <w:u w:val="none"/>
    </w:rPr>
  </w:style>
  <w:style w:type="character" w:customStyle="1" w:styleId="14">
    <w:name w:val="font51"/>
    <w:basedOn w:val="8"/>
    <w:qFormat/>
    <w:uiPriority w:val="0"/>
    <w:rPr>
      <w:rFonts w:ascii="Arial Unicode MS" w:hAnsi="Arial Unicode MS" w:eastAsia="Arial Unicode MS" w:cs="Arial Unicode MS"/>
      <w:color w:val="000000"/>
      <w:sz w:val="16"/>
      <w:szCs w:val="16"/>
      <w:u w:val="none"/>
    </w:rPr>
  </w:style>
  <w:style w:type="character" w:customStyle="1" w:styleId="15">
    <w:name w:val="font41"/>
    <w:basedOn w:val="8"/>
    <w:qFormat/>
    <w:uiPriority w:val="0"/>
    <w:rPr>
      <w:rFonts w:hint="eastAsia" w:ascii="宋体" w:hAnsi="宋体" w:eastAsia="宋体" w:cs="宋体"/>
      <w:color w:val="000000"/>
      <w:sz w:val="16"/>
      <w:szCs w:val="16"/>
      <w:u w:val="none"/>
    </w:rPr>
  </w:style>
  <w:style w:type="character" w:customStyle="1" w:styleId="16">
    <w:name w:val="font61"/>
    <w:basedOn w:val="8"/>
    <w:qFormat/>
    <w:uiPriority w:val="0"/>
    <w:rPr>
      <w:rFonts w:ascii="Arial Unicode MS" w:hAnsi="Arial Unicode MS" w:eastAsia="Arial Unicode MS" w:cs="Arial Unicode MS"/>
      <w:color w:val="000000"/>
      <w:sz w:val="16"/>
      <w:szCs w:val="16"/>
      <w:u w:val="none"/>
    </w:rPr>
  </w:style>
  <w:style w:type="character" w:customStyle="1" w:styleId="17">
    <w:name w:val="font101"/>
    <w:basedOn w:val="8"/>
    <w:qFormat/>
    <w:uiPriority w:val="0"/>
    <w:rPr>
      <w:rFonts w:hint="eastAsia" w:ascii="宋体" w:hAnsi="宋体" w:eastAsia="宋体" w:cs="宋体"/>
      <w:color w:val="000000"/>
      <w:sz w:val="16"/>
      <w:szCs w:val="16"/>
      <w:u w:val="none"/>
    </w:rPr>
  </w:style>
  <w:style w:type="character" w:customStyle="1" w:styleId="18">
    <w:name w:val="font11"/>
    <w:basedOn w:val="8"/>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GIF"/><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4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33</Pages>
  <Words>1676</Words>
  <Characters>9554</Characters>
  <Lines>79</Lines>
  <Paragraphs>22</Paragraphs>
  <TotalTime>0</TotalTime>
  <ScaleCrop>false</ScaleCrop>
  <LinksUpToDate>false</LinksUpToDate>
  <CharactersWithSpaces>11208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2021-05-22T06:15:00Z</dcterms:created>
  <dc:creator>王明新TIAD</dc:creator>
  <cp:lastModifiedBy>Administrator</cp:lastModifiedBy>
  <cp:lastPrinted>2020-07-30T02:37:00Z</cp:lastPrinted>
  <dcterms:modified xsi:type="dcterms:W3CDTF">2023-11-25T12:25:54Z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83C9636230C24AFDADF8D19C1F54B820_12</vt:lpwstr>
  </property>
</Properties>
</file>