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19.85pt;height:112.1pt;width:404.15pt;z-index:251664384;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rect id="_x0000_s1043" o:spid="_x0000_s1043" o:spt="1" style="position:absolute;left:0pt;margin-left:0.6pt;margin-top:-158.75pt;height:841.15pt;width:595.1pt;mso-wrap-distance-left:9pt;mso-wrap-distance-right:9pt;z-index:-251644928;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ight"/>
          </v:rect>
        </w:pict>
      </w:r>
      <w:r>
        <w:pict>
          <v:rect id="矩形 11" o:spid="_x0000_s1033" o:spt="1" style="position:absolute;left:0pt;margin-left:184.75pt;margin-top:262.9pt;height:103.95pt;width:367.1pt;z-index:251663360;mso-width-relative:page;mso-height-relative:page;" filled="f" stroked="f" coordsize="21600,21600">
            <v:path/>
            <v:fill on="f" focussize="0,0"/>
            <v:stroke on="f"/>
            <v:imagedata o:title=""/>
            <o:lock v:ext="edit" aspectratio="f"/>
            <v:textbox>
              <w:txbxContent>
                <w:p>
                  <w:pPr>
                    <w:rPr>
                      <w:rFonts w:hint="eastAsia" w:eastAsiaTheme="minorEastAsia"/>
                      <w:sz w:val="52"/>
                      <w:szCs w:val="52"/>
                      <w:lang w:eastAsia="zh-CN"/>
                    </w:rPr>
                  </w:pPr>
                  <w:r>
                    <w:rPr>
                      <w:rFonts w:hint="eastAsia"/>
                      <w:sz w:val="52"/>
                      <w:szCs w:val="52"/>
                      <w:lang w:eastAsia="zh-CN"/>
                    </w:rPr>
                    <w:t>馆陶县商务局部门决算公开</w:t>
                  </w:r>
                </w:p>
              </w:txbxContent>
            </v:textbox>
          </v:rect>
        </w:pict>
      </w:r>
      <w:r>
        <w:pict>
          <v:shape id="椭圆 8" o:spid="_x0000_s1042"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41"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0"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rPr>
                      <w:rFonts w:hint="eastAsia" w:eastAsiaTheme="minorEastAsia"/>
                      <w:sz w:val="52"/>
                      <w:szCs w:val="52"/>
                      <w:lang w:val="en-US" w:eastAsia="zh-CN"/>
                    </w:rPr>
                  </w:pPr>
                  <w:r>
                    <w:rPr>
                      <w:rFonts w:hint="eastAsia"/>
                      <w:sz w:val="52"/>
                      <w:szCs w:val="52"/>
                      <w:lang w:val="en-US" w:eastAsia="zh-CN"/>
                    </w:rPr>
                    <w:t>2019</w:t>
                  </w:r>
                </w:p>
              </w:txbxContent>
            </v:textbox>
          </v:shape>
        </w:pict>
      </w:r>
      <w:r>
        <w:pict>
          <v:group id="_x0000_s1037" o:spid="_x0000_s1037"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9"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8"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4" o:spid="_x0000_s1034" o:spt="203" style="position:absolute;left:0pt;margin-left:-2.5pt;margin-top:0pt;height:308.5pt;width:600.25pt;z-index:-251657216;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5" o:spid="_x0000_s1035"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36"/>
          <w:szCs w:val="36"/>
        </w:rPr>
      </w:pPr>
    </w:p>
    <w:p>
      <w:pPr>
        <w:snapToGrid w:val="0"/>
        <w:spacing w:line="480" w:lineRule="auto"/>
        <w:jc w:val="center"/>
        <w:rPr>
          <w:rFonts w:ascii="黑体" w:hAnsi="黑体" w:eastAsia="黑体" w:cs="黑体"/>
          <w:sz w:val="36"/>
          <w:szCs w:val="36"/>
        </w:rPr>
      </w:pPr>
      <w:r>
        <w:rPr>
          <w:rFonts w:hint="eastAsia" w:ascii="黑体" w:hAnsi="黑体" w:eastAsia="黑体" w:cs="黑体"/>
          <w:sz w:val="36"/>
          <w:szCs w:val="36"/>
        </w:rPr>
        <w:t>馆陶县商务局</w:t>
      </w:r>
    </w:p>
    <w:p>
      <w:pPr>
        <w:snapToGrid w:val="0"/>
        <w:spacing w:line="480" w:lineRule="auto"/>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2" o:spid="_x0000_s1032" o:spt="202" type="#_x0000_t202" style="position:absolute;left:0pt;margin-left:-85.7pt;margin-top:80.7pt;height:263.1pt;width:613.65pt;z-index:251666432;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p>
    <w:p>
      <w:pPr>
        <w:widowControl/>
        <w:ind w:firstLine="480"/>
        <w:jc w:val="center"/>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rPr>
        <w:t>部门主要职责、机构设置等基本情况</w:t>
      </w:r>
    </w:p>
    <w:p>
      <w:pPr>
        <w:widowControl/>
        <w:spacing w:line="288" w:lineRule="atLeast"/>
        <w:ind w:hanging="420"/>
        <w:jc w:val="left"/>
        <w:rPr>
          <w:rFonts w:ascii="仿宋" w:hAnsi="仿宋" w:eastAsia="仿宋"/>
          <w:color w:val="000000"/>
          <w:kern w:val="0"/>
          <w:sz w:val="32"/>
          <w:szCs w:val="32"/>
        </w:rPr>
      </w:pPr>
    </w:p>
    <w:p>
      <w:pPr>
        <w:widowControl/>
        <w:spacing w:line="288" w:lineRule="atLeast"/>
        <w:ind w:left="210" w:leftChars="100" w:firstLine="321" w:firstLineChars="100"/>
        <w:jc w:val="left"/>
        <w:rPr>
          <w:rFonts w:ascii="仿宋" w:hAnsi="仿宋" w:eastAsia="仿宋" w:cs="宋体"/>
          <w:b/>
          <w:color w:val="000000"/>
          <w:kern w:val="0"/>
          <w:sz w:val="32"/>
          <w:szCs w:val="32"/>
        </w:rPr>
      </w:pPr>
      <w:r>
        <w:rPr>
          <w:rFonts w:ascii="仿宋" w:hAnsi="仿宋" w:eastAsia="仿宋"/>
          <w:b/>
          <w:color w:val="000000"/>
          <w:kern w:val="0"/>
          <w:sz w:val="32"/>
          <w:szCs w:val="32"/>
        </w:rPr>
        <w:t>一</w:t>
      </w:r>
      <w:r>
        <w:rPr>
          <w:rFonts w:hint="eastAsia" w:ascii="仿宋" w:hAnsi="仿宋" w:eastAsia="仿宋"/>
          <w:b/>
          <w:color w:val="000000"/>
          <w:kern w:val="0"/>
          <w:sz w:val="32"/>
          <w:szCs w:val="32"/>
        </w:rPr>
        <w:t>：</w:t>
      </w:r>
      <w:r>
        <w:rPr>
          <w:rFonts w:ascii="仿宋" w:hAnsi="仿宋" w:eastAsia="仿宋" w:cs="宋体"/>
          <w:b/>
          <w:color w:val="000000"/>
          <w:kern w:val="0"/>
          <w:sz w:val="32"/>
          <w:szCs w:val="32"/>
        </w:rPr>
        <w:t>部门职责</w:t>
      </w:r>
    </w:p>
    <w:p>
      <w:pPr>
        <w:autoSpaceDE w:val="0"/>
        <w:autoSpaceDN w:val="0"/>
        <w:adjustRightInd w:val="0"/>
        <w:snapToGrid w:val="0"/>
        <w:spacing w:line="560" w:lineRule="exact"/>
        <w:ind w:firstLine="640" w:firstLineChars="200"/>
        <w:jc w:val="left"/>
        <w:rPr>
          <w:rFonts w:ascii="仿宋" w:hAnsi="仿宋" w:eastAsia="仿宋" w:cs="ArialUnicodeMS"/>
          <w:kern w:val="0"/>
          <w:sz w:val="32"/>
          <w:szCs w:val="32"/>
        </w:rPr>
      </w:pPr>
      <w:r>
        <w:rPr>
          <w:rFonts w:hint="eastAsia" w:ascii="仿宋" w:hAnsi="仿宋" w:eastAsia="仿宋" w:cs="ArialUnicodeMS"/>
          <w:kern w:val="0"/>
          <w:sz w:val="32"/>
          <w:szCs w:val="32"/>
        </w:rPr>
        <w:t>根据《馆陶县人民政府办公室关于馆陶县商务局主要职责内设机构和人员编制规定的通知》(馆政字</w:t>
      </w:r>
      <w:r>
        <w:rPr>
          <w:rFonts w:hint="eastAsia" w:ascii="仿宋" w:hAnsi="仿宋" w:eastAsia="仿宋" w:cs="宋体"/>
          <w:kern w:val="0"/>
          <w:sz w:val="32"/>
          <w:szCs w:val="32"/>
        </w:rPr>
        <w:t>[</w:t>
      </w:r>
      <w:r>
        <w:rPr>
          <w:rFonts w:hint="eastAsia" w:ascii="仿宋" w:hAnsi="仿宋" w:eastAsia="仿宋" w:cs="ArialUnicodeMS"/>
          <w:kern w:val="0"/>
          <w:sz w:val="32"/>
          <w:szCs w:val="32"/>
        </w:rPr>
        <w:t>2010</w:t>
      </w:r>
      <w:r>
        <w:rPr>
          <w:rFonts w:hint="eastAsia" w:ascii="仿宋" w:hAnsi="仿宋" w:eastAsia="仿宋" w:cs="宋体"/>
          <w:kern w:val="0"/>
          <w:sz w:val="32"/>
          <w:szCs w:val="32"/>
        </w:rPr>
        <w:t>]</w:t>
      </w:r>
      <w:r>
        <w:rPr>
          <w:rFonts w:hint="eastAsia" w:ascii="仿宋" w:hAnsi="仿宋" w:eastAsia="仿宋" w:cs="ArialUnicodeMS"/>
          <w:kern w:val="0"/>
          <w:sz w:val="32"/>
          <w:szCs w:val="32"/>
        </w:rPr>
        <w:t>60号)规定，商务局的主要职责是：</w:t>
      </w:r>
    </w:p>
    <w:p>
      <w:pPr>
        <w:widowControl/>
        <w:ind w:firstLine="640" w:firstLineChars="200"/>
        <w:jc w:val="left"/>
        <w:rPr>
          <w:rFonts w:ascii="仿宋" w:hAnsi="仿宋" w:eastAsia="仿宋" w:cs="微软雅黑"/>
          <w:color w:val="000000"/>
          <w:sz w:val="32"/>
          <w:szCs w:val="32"/>
        </w:rPr>
      </w:pPr>
      <w:r>
        <w:rPr>
          <w:rFonts w:ascii="仿宋" w:hAnsi="仿宋" w:eastAsia="仿宋" w:cs="宋体"/>
          <w:color w:val="000000"/>
          <w:kern w:val="0"/>
          <w:sz w:val="32"/>
          <w:szCs w:val="32"/>
        </w:rPr>
        <w:t>（一）贯彻落实国家和省有关内外贸易、国际经济合作和招商引资的发展战略、方针、政策；拟订全县相应的发展规划以及规定、办法和措施。</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（二）研究提出流通体制改革意见，培育发展城乡市场，推进流通产业结构调整和连锁经营、物流配送、电子商务等现代流通方式。</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三）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四）起草全县商品流通、物资流通和餐饮服务业的有关地方性法规、规章，制定实施细则和市场准则；调查研究流通行业重大问题，提出政策建议；负责成品油、酒类等主要生活用品的流通和拍卖、典当等行业的监控管理。</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（五）执行国家和省制定的进出口商品管理办法、进出口商品目录和进出口商品配额招标政策；负责进出口配额计划的编报、下达和组织实施及配额、许可证管理工作。</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六）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七）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八）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 xml:space="preserve"> （九）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十）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（十一）审核或核准县内企业对外投资开办企业（金融企业除外）和境外带料加工贸易项目并实施监督管理；负责外国和香港、澳门特别行政区及台湾常驻我市商务代表机构的设立和管理工作。</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（十二）指导监督以馆陶县名义在境内举办各种外经贸交易会、展览会、展销会等活动；拟订并实施赴境外举办上述活动的管理办法。</w:t>
      </w:r>
      <w:r>
        <w:rPr>
          <w:rFonts w:ascii="仿宋" w:hAnsi="仿宋" w:eastAsia="仿宋" w:cs="宋体"/>
          <w:color w:val="000000"/>
          <w:kern w:val="0"/>
          <w:sz w:val="32"/>
          <w:szCs w:val="32"/>
        </w:rPr>
        <w:br w:type="textWrapping"/>
      </w:r>
      <w:r>
        <w:rPr>
          <w:rFonts w:ascii="宋体" w:hAnsi="宋体" w:eastAsia="仿宋" w:cs="宋体"/>
          <w:color w:val="000000"/>
          <w:kern w:val="0"/>
          <w:sz w:val="32"/>
          <w:szCs w:val="32"/>
        </w:rPr>
        <w:t>  </w:t>
      </w:r>
      <w:r>
        <w:rPr>
          <w:rFonts w:ascii="仿宋" w:hAnsi="仿宋" w:eastAsia="仿宋" w:cs="宋体"/>
          <w:color w:val="000000"/>
          <w:kern w:val="0"/>
          <w:sz w:val="32"/>
          <w:szCs w:val="32"/>
        </w:rPr>
        <w:t>（十三）负责全县内外贸易新闻发布会、宣传工作和提供信息咨询服务；指导全县流通领域信息网络和电子商务建设。</w:t>
      </w:r>
      <w:r>
        <w:rPr>
          <w:rFonts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内设机构：办公室、财务审计科、市场体系建设与商务服务管理科、市场运行调节与市场正规科、对外贸易科。</w:t>
      </w:r>
    </w:p>
    <w:p>
      <w:pPr>
        <w:pStyle w:val="2"/>
        <w:spacing w:before="0" w:after="0" w:line="60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line="560" w:lineRule="exact"/>
        <w:ind w:firstLine="640" w:firstLineChars="200"/>
        <w:rPr>
          <w:rFonts w:ascii="仿宋" w:hAnsi="仿宋" w:eastAsia="仿宋" w:cs="ArialUnicodeMS"/>
          <w:kern w:val="0"/>
          <w:sz w:val="32"/>
          <w:szCs w:val="32"/>
        </w:rPr>
      </w:pPr>
      <w:r>
        <w:rPr>
          <w:rFonts w:hint="eastAsia" w:ascii="仿宋" w:hAnsi="仿宋" w:eastAsia="仿宋" w:cs="ArialUnicodeMS"/>
          <w:kern w:val="0"/>
          <w:sz w:val="32"/>
          <w:szCs w:val="32"/>
        </w:rPr>
        <w:t>从决算编报单位构成看，纳入2018 年度本部门决算汇编范围的独立核算单位（以下简称“单位”）共一个，具体情况如下：</w:t>
      </w:r>
    </w:p>
    <w:tbl>
      <w:tblPr>
        <w:tblStyle w:val="8"/>
        <w:tblpPr w:leftFromText="180" w:rightFromText="180" w:vertAnchor="text" w:horzAnchor="page" w:tblpXSpec="center" w:tblpY="10"/>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25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pPr>
              <w:adjustRightInd w:val="0"/>
              <w:snapToGrid w:val="0"/>
              <w:spacing w:line="420" w:lineRule="atLeas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序号</w:t>
            </w:r>
          </w:p>
        </w:tc>
        <w:tc>
          <w:tcPr>
            <w:tcW w:w="3969" w:type="dxa"/>
            <w:vAlign w:val="center"/>
          </w:tcPr>
          <w:p>
            <w:pPr>
              <w:adjustRightInd w:val="0"/>
              <w:snapToGrid w:val="0"/>
              <w:spacing w:line="420" w:lineRule="atLeas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单位名称</w:t>
            </w:r>
          </w:p>
        </w:tc>
        <w:tc>
          <w:tcPr>
            <w:tcW w:w="2552" w:type="dxa"/>
            <w:vAlign w:val="center"/>
          </w:tcPr>
          <w:p>
            <w:pPr>
              <w:adjustRightInd w:val="0"/>
              <w:snapToGrid w:val="0"/>
              <w:spacing w:line="420" w:lineRule="atLeas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单位基本性质</w:t>
            </w:r>
          </w:p>
        </w:tc>
        <w:tc>
          <w:tcPr>
            <w:tcW w:w="1559" w:type="dxa"/>
            <w:vAlign w:val="center"/>
          </w:tcPr>
          <w:p>
            <w:pPr>
              <w:adjustRightInd w:val="0"/>
              <w:snapToGrid w:val="0"/>
              <w:spacing w:line="420" w:lineRule="atLeast"/>
              <w:jc w:val="center"/>
              <w:rPr>
                <w:rFonts w:ascii="仿宋" w:hAnsi="仿宋" w:eastAsia="仿宋" w:cs="ArialUnicodeMS"/>
                <w:b/>
                <w:bCs/>
                <w:kern w:val="0"/>
                <w:sz w:val="28"/>
                <w:szCs w:val="28"/>
              </w:rPr>
            </w:pPr>
            <w:r>
              <w:rPr>
                <w:rFonts w:hint="eastAsia" w:ascii="仿宋" w:hAnsi="仿宋" w:eastAsia="仿宋"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1</w:t>
            </w:r>
          </w:p>
        </w:tc>
        <w:tc>
          <w:tcPr>
            <w:tcW w:w="3969" w:type="dxa"/>
          </w:tcPr>
          <w:p>
            <w:pPr>
              <w:adjustRightInd w:val="0"/>
              <w:snapToGrid w:val="0"/>
              <w:spacing w:line="420" w:lineRule="atLeast"/>
              <w:rPr>
                <w:rFonts w:ascii="仿宋" w:hAnsi="仿宋" w:eastAsia="仿宋" w:cs="ArialUnicodeMS"/>
                <w:kern w:val="0"/>
                <w:sz w:val="28"/>
                <w:szCs w:val="28"/>
              </w:rPr>
            </w:pPr>
            <w:r>
              <w:rPr>
                <w:rFonts w:hint="eastAsia" w:ascii="仿宋" w:hAnsi="仿宋" w:eastAsia="仿宋" w:cs="宋体"/>
                <w:kern w:val="0"/>
                <w:sz w:val="28"/>
                <w:szCs w:val="28"/>
              </w:rPr>
              <w:t>馆陶县商务局</w:t>
            </w:r>
          </w:p>
        </w:tc>
        <w:tc>
          <w:tcPr>
            <w:tcW w:w="2552"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行政单位</w:t>
            </w:r>
          </w:p>
        </w:tc>
        <w:tc>
          <w:tcPr>
            <w:tcW w:w="1559"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2</w:t>
            </w:r>
          </w:p>
        </w:tc>
        <w:tc>
          <w:tcPr>
            <w:tcW w:w="3969" w:type="dxa"/>
          </w:tcPr>
          <w:p>
            <w:pPr>
              <w:adjustRightInd w:val="0"/>
              <w:snapToGrid w:val="0"/>
              <w:spacing w:line="420" w:lineRule="atLeast"/>
              <w:rPr>
                <w:rFonts w:ascii="仿宋" w:hAnsi="仿宋" w:eastAsia="仿宋" w:cs="ArialUnicodeMS"/>
                <w:kern w:val="0"/>
                <w:sz w:val="28"/>
                <w:szCs w:val="28"/>
              </w:rPr>
            </w:pPr>
            <w:r>
              <w:rPr>
                <w:rFonts w:hint="eastAsia" w:ascii="仿宋" w:hAnsi="仿宋" w:eastAsia="仿宋" w:cs="ArialUnicodeMS"/>
                <w:kern w:val="0"/>
                <w:sz w:val="28"/>
                <w:szCs w:val="28"/>
              </w:rPr>
              <w:t>馆陶县商务局（本级）</w:t>
            </w:r>
          </w:p>
        </w:tc>
        <w:tc>
          <w:tcPr>
            <w:tcW w:w="2552"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行政单位</w:t>
            </w:r>
          </w:p>
        </w:tc>
        <w:tc>
          <w:tcPr>
            <w:tcW w:w="1559" w:type="dxa"/>
          </w:tcPr>
          <w:p>
            <w:pPr>
              <w:adjustRightInd w:val="0"/>
              <w:snapToGrid w:val="0"/>
              <w:spacing w:line="420" w:lineRule="atLeast"/>
              <w:jc w:val="center"/>
              <w:rPr>
                <w:rFonts w:ascii="仿宋" w:hAnsi="仿宋" w:eastAsia="仿宋" w:cs="ArialUnicodeMS"/>
                <w:kern w:val="0"/>
                <w:sz w:val="28"/>
                <w:szCs w:val="28"/>
              </w:rPr>
            </w:pPr>
            <w:r>
              <w:rPr>
                <w:rFonts w:hint="eastAsia" w:ascii="仿宋" w:hAnsi="仿宋" w:eastAsia="仿宋" w:cs="ArialUnicodeMS"/>
                <w:kern w:val="0"/>
                <w:sz w:val="28"/>
                <w:szCs w:val="28"/>
              </w:rPr>
              <w:t>财政拨款</w:t>
            </w:r>
          </w:p>
        </w:tc>
      </w:tr>
    </w:tbl>
    <w:p>
      <w:pPr>
        <w:widowControl/>
        <w:spacing w:line="560" w:lineRule="exact"/>
        <w:jc w:val="center"/>
        <w:rPr>
          <w:rFonts w:ascii="黑体" w:eastAsia="黑体" w:cs="MS-UIGothic,Bold"/>
          <w:bCs/>
          <w:kern w:val="0"/>
          <w:sz w:val="52"/>
          <w:szCs w:val="5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1" o:spid="_x0000_s1031"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0" o:spid="_x0000_s1030" o:spt="202" type="#_x0000_t202" style="position:absolute;left:0pt;margin-left:-90.8pt;margin-top:4.35pt;height:263.1pt;width:613.65pt;z-index:251668480;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本部门2019年度收支总计（含结转和结余）716.15万元。与2018年度决算相比，收支减少1285.31万元，下降279.47%，主要原因是2018年国家电子商务示范县项目国家拨入资金1285.31万元，使资金收支增加。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本部门2019年度本年收入合计716.15万元，其中：财政拨款收入716.15万元，占100%；事业收入0万元，占0%；经营收入0万元，占0%；其他收入0万元，占0%。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本部门2019年度本年支出合计716.15万元，其中：基本支出156.15万元，占21.8%；项目支出560万元，占78.2%；经营支出0万元，占0%。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716.15万元,比2018年度减少1285.31万元，降低279.47%，主要是2018年国家电子商务示范县项目建设资金；本年支出716.15万元，减少761.31万元，降低206.3%，主要是2019年国家电子商务示范县项目已实施完毕，减少了项目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716.15万元,比2018年度减少1285.31万元，降低279.47%，主要是2018年国家电子商务示范县项目实施增加了财政收入；本年支出716.15万元，减少761.31万元，降低206.3%，主要是2019年国家电子商务示范县项目已实施完毕，减少了项目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一般公共预算财政拨款本年收入656.15万元，比上年增减少1285.31万元；主要是2019年国家电子商务示范县项目已实施完毕，减少了预算收入；本年支出716.15万元，比减少761.31万元，降低206.3%，主要是</w:t>
      </w:r>
      <w:bookmarkStart w:id="0" w:name="_GoBack"/>
      <w:bookmarkEnd w:id="0"/>
      <w:r>
        <w:rPr>
          <w:rFonts w:hint="eastAsia" w:ascii="仿宋_GB2312" w:hAnsi="Times New Roman" w:eastAsia="仿宋_GB2312" w:cs="DengXian-Regular"/>
          <w:sz w:val="32"/>
          <w:szCs w:val="32"/>
        </w:rPr>
        <w:t>2019年国家电子商务示范县项目已实施完毕，减少了项目支出。</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政府性基金预算财政拨款本年收入60万元，比上年持平，本年支出60万元，比上年持平。</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716.15万元，完成年初预算的166.43%,比年初预算增加285.87万元，决算数大于预算数主要原因是打造淘宝村和电商小镇增加了预算收入；本年支出716.15万元，完成年初预算的166.43%,比年初预算增加285.87万元，决算数大于预算数主要原因是主要是打造淘宝村和电商小镇增加了预算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166.43%，比年初预算增加285.87万元，主要原因是打造淘宝村和电商小镇增加了预算收入；本年支出716.15万元，完成年初预算的166.43%,比年初预算增加285.87万元，决算数大于预算数主要原因是主要是打造淘宝村和电商小镇增加了预算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2.政府性基金预算财政拨款本年收入完成年初预算100%，比年初持平，支出完成年初预算100%，比年初预算持平</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716.15万元，主要用于以下方面：一般公共服务（类）支出20万元，占2.7%，；卫生健康支出8.8万元，占1.2%；城乡社区支出60万元，占8.3%；农林水支出50万元，占6.98%；商业服务业支出544.16万元,z占76%社会保障和就业（类）支出 33.19万元，占4.6%；</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年度财政拨款基本支出156.15万元，其中：人员经费 62.45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76.45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本部门2019年度“三公”经费支出共计0.2万元，完成预算的100%,比2018年持平，具体情况如下：</w:t>
      </w:r>
    </w:p>
    <w:p>
      <w:pPr>
        <w:numPr>
          <w:ilvl w:val="0"/>
          <w:numId w:val="3"/>
        </w:num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本部门2019年度因公出国（境）团组0个、共0人/参加其他单位组织的因公出国（境）团组0个、共0人/无本单位组织的出国（境）团组。因公出国（境）费支出较预算增加0万元，</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（三）公务接待费支出0.2万元。</w:t>
      </w:r>
      <w:r>
        <w:rPr>
          <w:rFonts w:hint="eastAsia" w:ascii="仿宋_GB2312" w:hAnsi="Times New Roman" w:eastAsia="仿宋_GB2312" w:cs="DengXian-Regular"/>
          <w:sz w:val="32"/>
          <w:szCs w:val="32"/>
        </w:rPr>
        <w:t>本部门2019年度公务接待共11批次、62人次。公务接待费与同期持平。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 2019年，根据财政部《财政支出绩效评价管理暂行办法》（财预[2011]285号）的规定，对纳入年度绩效评价范围的项目，围绕“预算编制有目标、预算执行有监控、预算完成有评价、评价结果有反馈，反馈结果有应用”的绩效目标要求，认真开展绩效评价，促进提高项目资金使用绩效。</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（一）总体要求</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深入学习贯彻习近平总书记系列</w:t>
      </w:r>
      <w:r>
        <w:rPr>
          <w:rFonts w:hint="eastAsia" w:ascii="仿宋_GB2312" w:hAnsi="Times New Roman" w:eastAsia="仿宋_GB2312" w:cs="DengXian-Regular"/>
          <w:sz w:val="32"/>
          <w:szCs w:val="32"/>
          <w:lang w:eastAsia="zh-CN"/>
        </w:rPr>
        <w:t>重要重要讲话精神</w:t>
      </w:r>
      <w:r>
        <w:rPr>
          <w:rFonts w:hint="eastAsia" w:ascii="仿宋_GB2312" w:hAnsi="Times New Roman" w:eastAsia="仿宋_GB2312" w:cs="DengXian-Regular"/>
          <w:sz w:val="32"/>
          <w:szCs w:val="32"/>
        </w:rPr>
        <w:t>及省、市委全会精神，通过建立科学的目标绩效管理和考核制度，把忠诚、干净、担当、实干转化为具体目标和绩效要求，使夙兴夜寐、激情工作成为常态，让干事创业、奋勇争先蔚然成风，为创新发展商务工作、建设幸福石家庄提供有力保证。</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(二）目标绩效管理原则</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目标绩效管理工作遵循激励与约束相结合、过程管理与结果考评相结合、年终考核与平时督查相结合、领导评价与民主测评相结合、精神鼓励与物质奖励相结合的原则，遵循一级管理带动二级管理，形成统一领导、广泛参与、规范有序、良性循环的工作机制。</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（三）目标绩效管理对象和范围</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1、管理对象。机关各处室、局属各事业单位。</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2、管理范围。科级及其以下在职在编工作人员。</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（四）目标绩效管理内容</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1，绩效目标内容。绩效目标主要有职能绩效目标、机关建设目标、专项工作目标构成。</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（1）职能绩效目标。根据市委、市政府和上级主管部门下达的工作任务，结合工作实际，按照职能职责筛选的重点工作，要明确具体内容和绩效要求。</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（2）机关建设目标。市委、市政府提出的共性要求，主要是党的建设、机关作风建设等。</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（3）专项工作目标。需要纳入目标绩效管理的专项工作任务，以文件（批转）形式下达。</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绩效目标制定。目标体系以年度为周期，按照年初拟订、适时修订、分级审定方式执行。目标体系分三个层次：全局绩效目标（一级目标）、单位绩效目标（二级目标，单位是指局机关各处室和直属各事业单位，下同）、个人绩效目标（三级目标）</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（1）全局职能绩效目标。年初，由局研究室牵头，有关处室配合，根据我局承担的职能任务提出，提交党组会（局务会）研究同意后，上报市直目标绩效办审定。</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单位绩效目标。市直目标绩效办下达我局绩效目标后，研究室、直属单位党委（机关党委）、办公室要分别及时将职能绩效目标、机关建设目标、专项工作目标分解至各单位。各单位在5日内，要结合落实全局绩效目标和自身职责承担的重点工作提出本单位绩效目标。单位绩效目标经局分管领导同意后报局主要领导审定，并送交局目标绩效办备案。各单位根据年度工作进展情况和局务会等要求，及时提出增改意见，经审批后送交局目标绩效办备案。</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3）个人绩效目标。单位绩效目标确定后，各工作人员5日内提出个人绩效目标，由所在单位主要负责人审定。个人应根据工作进展情况及时进行增改，报本单位主要负责人审定。个人目标绩效管理由各单位结合局日常考核工作进行。</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(五)目标绩效管理考核评价</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考评分级和方式。对全市目标绩效考核工作，由局目标绩效考核办协调，各相关单位按要求分别落实；对局内各单位目标绩效考核工作，由局目标绩效考核办统一组织，有关单位按分工具体组织落实；对工作人员目标绩效考核，由所在单位参照相关要求自行组织落实。对单位考核，采取日常“负面清单”管理办法，通过年终单位总结自评、领导评价、民主测评等相结合方式进行。</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单位目标绩效考核权重及分工。单位目标绩效考核总分设100分。其中：职能绩效目标占40分，由局人事处会同研究室牵头负责考核；机关建设目标占30分，由直属单位党委（机关党委）牵头负责考核；专项工作目标占20分（未承担专项工作的单位，15分计入职能绩效目标，5分计入机关建设目标），由办公室会同研究室、直属单位党委（机关党委）负责考核；分管局领导评价占10分，由人事处负责考核；“负面清单”记录和民主测评情况视情加减1至5分，分别由纪检（监察室）、人事处制定具体办法。</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3，考核方法和程序</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职能绩效考核。结合每年初组织的年度考核述职测评大会进行。人事处会同研究室等单位通过查看核实各单位职能绩效目标、年终工作总结、单位负责人述职报告及核对有关证明资料，了解各单位职能绩效目标任务完成情况，并作出评价，向局目标绩效办提出量化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机关建设考核。直属单位党委（机关党委）按照市直机关工委要求，规定党建工作责任、思想建设、作风建设、党风廉政建设等项目，制定具体评分标准，结合平时掌握情况，作出评价，向局目标绩效办提出量化考核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（3）专项工作考核。办公室等单位组织实施对专项工作目标管理、责任分工、督查和考评，并作出评价，向局目标绩效办提出量化考核结果。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（4）分管领导评价。分管局领导对所分管单位目标绩效总体情况进行评价。分管局领导评价情况，由人事处向局目标绩效办提出量化考核结果。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5）综合考核等次评价。局目标绩效办对考核指标进行量化汇总，根据综合量化结果和加减分情况，提出各单位考核等次建议。考核结果分为“优秀”、“较好”、“一般”三个等次，“优秀”单位比例掌握在30%以内。对发生违法违规违纪突出问题的单位，单位考核结果降低一个等次。</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（6）确定单位考核结果。局目标绩效办将各单位目标绩效考核结果等次建议，报局党组会研究审定。同时，研究议定各单位个人目标绩效“优秀”等次分配名额。</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7）确定个人考核结果。各单位按照局党组议定的“优秀”比例和名额，根据个人年度绩效考评结果，研究提出个人年度绩效考评等次建议（发生违法违规违纪问题突出人员不得评为“较好”及以上等次），经分管领导同意后，送局目标绩效办汇总，报局目标绩效小组审定，以适当方式进行公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4，考核结果运用</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1）与年度综合考核结合。各单位目标绩效管理考核结果，作为单位工作人员的年度综合考核评价的重要依据。“优秀”单位负责人一般确定为年度综合考核“优秀”等次，“优秀”个人优先评定年度综合考核“优秀”等次；“一般”单位全体人员原则上取消评定年度综合考核“优秀”等次资格。</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（2）与奖金挂钩。落实目标绩效奖，具体奖励标准和实施工作按照市目标绩效办和财政局要求，由局党组研究落实。</w:t>
      </w:r>
    </w:p>
    <w:p>
      <w:pPr>
        <w:pStyle w:val="6"/>
        <w:shd w:val="clear" w:color="auto" w:fill="FFFFFF"/>
        <w:spacing w:before="0" w:beforeAutospacing="0" w:after="0" w:afterAutospacing="0"/>
        <w:rPr>
          <w:rFonts w:asciiTheme="minorEastAsia" w:hAnsiTheme="minorEastAsia"/>
          <w:b/>
          <w:color w:val="000000"/>
          <w:sz w:val="32"/>
          <w:szCs w:val="32"/>
        </w:rPr>
      </w:pPr>
      <w:r>
        <w:rPr>
          <w:rFonts w:hint="eastAsia" w:eastAsia="仿宋"/>
          <w:color w:val="000000"/>
          <w:sz w:val="32"/>
          <w:szCs w:val="32"/>
        </w:rPr>
        <w:t>  </w:t>
      </w:r>
      <w:r>
        <w:rPr>
          <w:rFonts w:hint="eastAsia" w:asciiTheme="minorEastAsia" w:hAnsiTheme="minorEastAsia"/>
          <w:b/>
          <w:color w:val="000000"/>
          <w:sz w:val="32"/>
          <w:szCs w:val="32"/>
        </w:rPr>
        <w:t>（六）目标绩效管理机构和要求</w:t>
      </w:r>
    </w:p>
    <w:p>
      <w:pPr>
        <w:pStyle w:val="6"/>
        <w:shd w:val="clear" w:color="auto" w:fill="FFFFFF"/>
        <w:spacing w:before="0" w:beforeAutospacing="0" w:after="0" w:afterAutospacing="0"/>
        <w:rPr>
          <w:rFonts w:ascii="仿宋_GB2312" w:hAnsi="Times New Roman" w:eastAsia="仿宋_GB2312" w:cs="DengXian-Regular"/>
          <w:kern w:val="2"/>
          <w:sz w:val="32"/>
          <w:szCs w:val="32"/>
        </w:rPr>
      </w:pPr>
      <w:r>
        <w:rPr>
          <w:rFonts w:hint="eastAsia" w:eastAsia="仿宋"/>
          <w:color w:val="000000"/>
          <w:sz w:val="32"/>
          <w:szCs w:val="32"/>
        </w:rPr>
        <w:t>  </w:t>
      </w:r>
      <w:r>
        <w:rPr>
          <w:rFonts w:hint="eastAsia" w:ascii="仿宋_GB2312" w:hAnsi="Times New Roman" w:eastAsia="仿宋_GB2312" w:cs="DengXian-Regular"/>
          <w:kern w:val="2"/>
          <w:sz w:val="32"/>
          <w:szCs w:val="32"/>
        </w:rPr>
        <w:t xml:space="preserve"> 1，成立局目标绩效管理领导小组。党组书记、局长任组长，党组副书记、副局长和纪检组长任副组长，人事科、办公室、纪检（监察）室主要负责人为成员。领导小组在局党组领导下，负责领导和组织局目标绩效管理工作，研究和决定工作中的重大问题。</w:t>
      </w:r>
    </w:p>
    <w:p>
      <w:pPr>
        <w:pStyle w:val="6"/>
        <w:shd w:val="clear" w:color="auto" w:fill="FFFFFF"/>
        <w:spacing w:before="0" w:beforeAutospacing="0" w:after="0" w:afterAutospacing="0"/>
        <w:rPr>
          <w:rFonts w:ascii="仿宋_GB2312" w:hAnsi="Times New Roman" w:eastAsia="仿宋_GB2312" w:cs="DengXian-Regular"/>
          <w:kern w:val="2"/>
          <w:sz w:val="32"/>
          <w:szCs w:val="32"/>
        </w:rPr>
      </w:pPr>
      <w:r>
        <w:rPr>
          <w:rFonts w:hint="eastAsia" w:ascii="仿宋_GB2312" w:hAnsi="Times New Roman" w:eastAsia="仿宋_GB2312" w:cs="DengXian-Regular"/>
          <w:kern w:val="2"/>
          <w:sz w:val="32"/>
          <w:szCs w:val="32"/>
        </w:rPr>
        <w:t>    2，目标绩效管理领导小组下设办公室。办公室设在局人事处，人事处处长兼任主任，人事处、研究室、直属单位党委（机关党委）、办公室、纪检（监察）室有关人员为成员。目标绩效办负责目标绩效管理日常工作，负责具体事项的组织协调工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分工协作、各负其责。局目标绩效管理具体工作在目标绩效办统一组织协调下，各成员单位要分工协作，各司其职、各负其责，其他单位要积极响应、全力配合。目标绩效管理工作人员要坚持公道正派、实事求是，不得伪造或擅自更改考核等相关结果。对违反工作纪律等行为，情节严重的按有关规定给予党纪政纪处分。</w:t>
      </w:r>
      <w:r>
        <w:rPr>
          <w:rFonts w:hint="eastAsia" w:ascii="仿宋_GB2312" w:hAnsi="Times New Roman" w:eastAsia="仿宋_GB2312" w:cs="DengXian-Regular"/>
          <w:sz w:val="32"/>
          <w:szCs w:val="32"/>
        </w:rPr>
        <w:br w:type="textWrapping"/>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5个，二级项目3个，共涉及资金560万元，占一般公共预算项目支出总额的78.19%。组织对2019年度农村淘宝、出口创汇扶持资金等8个政府性基金预算项目支出开展绩效自评，共涉及资金560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农村淘宝、出口创汇项目及 招商引资 项目等8个项目绩效自评结果。</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本部门2019年度机关运行经费支出76.45万元，比2018年度增加53.45万元，增长232%。主要原因是单位的政府购买服务人员增加，增加了办公经费。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截至2019年12月31日，本部门共有车辆0辆，</w:t>
      </w:r>
      <w:r>
        <w:rPr>
          <w:rFonts w:hint="eastAsia" w:ascii="仿宋_GB2312" w:hAnsi="Times New Roman" w:eastAsia="仿宋_GB2312" w:cs="DengXian-Regular"/>
          <w:sz w:val="32"/>
          <w:szCs w:val="32"/>
          <w:lang w:eastAsia="zh-CN"/>
        </w:rPr>
        <w:t>与上年持平。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widowControl/>
        <w:ind w:firstLine="960" w:firstLineChars="300"/>
        <w:jc w:val="left"/>
      </w:pPr>
      <w:r>
        <w:rPr>
          <w:rFonts w:hint="eastAsia" w:ascii="仿宋_GB2312" w:hAnsi="Times New Roman" w:eastAsia="仿宋_GB2312" w:cs="DengXian-Regular"/>
          <w:sz w:val="32"/>
          <w:szCs w:val="32"/>
        </w:rPr>
        <w:t>1.</w:t>
      </w:r>
      <w:r>
        <w:rPr>
          <w:rFonts w:ascii="仿宋" w:hAnsi="仿宋" w:eastAsia="仿宋" w:cs="仿宋"/>
          <w:color w:val="000000"/>
          <w:kern w:val="0"/>
          <w:sz w:val="31"/>
          <w:szCs w:val="31"/>
        </w:rPr>
        <w:t>本部门 2019 年度国有资本经</w:t>
      </w:r>
      <w:r>
        <w:rPr>
          <w:rFonts w:hint="eastAsia" w:ascii="仿宋" w:hAnsi="仿宋" w:eastAsia="仿宋" w:cs="仿宋"/>
          <w:color w:val="000000"/>
          <w:kern w:val="0"/>
          <w:sz w:val="31"/>
          <w:szCs w:val="31"/>
        </w:rPr>
        <w:t xml:space="preserve">营预算财政拨款无收支及结转和结余情况、国有资本经营预算财政拨款支出决算表以空表列示。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9504;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656.15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20.00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33.19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544.16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716.15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681" w:type="dxa"/>
        <w:jc w:val="center"/>
        <w:tblLayout w:type="fixed"/>
        <w:tblCellMar>
          <w:top w:w="0" w:type="dxa"/>
          <w:left w:w="0" w:type="dxa"/>
          <w:bottom w:w="0" w:type="dxa"/>
          <w:right w:w="0" w:type="dxa"/>
        </w:tblCellMar>
      </w:tblPr>
      <w:tblGrid>
        <w:gridCol w:w="716"/>
        <w:gridCol w:w="50"/>
        <w:gridCol w:w="50"/>
        <w:gridCol w:w="2883"/>
        <w:gridCol w:w="997"/>
        <w:gridCol w:w="997"/>
        <w:gridCol w:w="797"/>
        <w:gridCol w:w="797"/>
        <w:gridCol w:w="797"/>
        <w:gridCol w:w="797"/>
        <w:gridCol w:w="800"/>
      </w:tblGrid>
      <w:tr>
        <w:tblPrEx>
          <w:tblCellMar>
            <w:top w:w="0" w:type="dxa"/>
            <w:left w:w="0" w:type="dxa"/>
            <w:bottom w:w="0" w:type="dxa"/>
            <w:right w:w="0" w:type="dxa"/>
          </w:tblCellMar>
        </w:tblPrEx>
        <w:trPr>
          <w:trHeight w:val="670" w:hRule="atLeast"/>
          <w:jc w:val="center"/>
        </w:trPr>
        <w:tc>
          <w:tcPr>
            <w:tcW w:w="9681"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7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3699"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9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7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7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7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1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8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1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6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6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716.15</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716.15</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2011308</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招商引资</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行政单位离退休</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其他国有土地使用权出让收入</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1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2160299</w:t>
            </w:r>
          </w:p>
        </w:tc>
        <w:tc>
          <w:tcPr>
            <w:tcW w:w="2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其他商业流通事务支出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68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716.15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156.15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2011308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招商引资</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2020899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其他国有土地出让支出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2160299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商业服务业支出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662"/>
        <w:gridCol w:w="2946"/>
        <w:gridCol w:w="507"/>
        <w:gridCol w:w="748"/>
        <w:gridCol w:w="713"/>
        <w:gridCol w:w="59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656.15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716.15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716.15</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656.15</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716.15</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716.15</w:t>
            </w:r>
          </w:p>
        </w:tc>
        <w:tc>
          <w:tcPr>
            <w:tcW w:w="7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656.15</w:t>
            </w:r>
          </w:p>
        </w:tc>
        <w:tc>
          <w:tcPr>
            <w:tcW w:w="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0830" w:type="dxa"/>
        <w:jc w:val="center"/>
        <w:tblLayout w:type="fixed"/>
        <w:tblCellMar>
          <w:top w:w="0" w:type="dxa"/>
          <w:left w:w="0" w:type="dxa"/>
          <w:bottom w:w="0" w:type="dxa"/>
          <w:right w:w="0" w:type="dxa"/>
        </w:tblCellMar>
      </w:tblPr>
      <w:tblGrid>
        <w:gridCol w:w="1210"/>
        <w:gridCol w:w="68"/>
        <w:gridCol w:w="68"/>
        <w:gridCol w:w="2014"/>
        <w:gridCol w:w="2489"/>
        <w:gridCol w:w="2489"/>
        <w:gridCol w:w="2492"/>
      </w:tblGrid>
      <w:tr>
        <w:tblPrEx>
          <w:tblCellMar>
            <w:top w:w="0" w:type="dxa"/>
            <w:left w:w="0" w:type="dxa"/>
            <w:bottom w:w="0" w:type="dxa"/>
            <w:right w:w="0" w:type="dxa"/>
          </w:tblCellMar>
        </w:tblPrEx>
        <w:trPr>
          <w:trHeight w:val="600" w:hRule="atLeast"/>
          <w:jc w:val="center"/>
        </w:trPr>
        <w:tc>
          <w:tcPr>
            <w:tcW w:w="1083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2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9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3360"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2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98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47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4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4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4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36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36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716.15</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156.15</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560</w:t>
            </w: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2011308</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招商引资</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33.19</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8.80</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2020899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其他国有土地出让支出</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4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2160299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商业服务业支出</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544.16</w:t>
            </w:r>
          </w:p>
        </w:tc>
        <w:tc>
          <w:tcPr>
            <w:tcW w:w="2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44.16</w:t>
            </w:r>
          </w:p>
        </w:tc>
        <w:tc>
          <w:tcPr>
            <w:tcW w:w="2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r>
    </w:tbl>
    <w:p>
      <w:r>
        <w:rPr>
          <w:rFonts w:hint="eastAsia"/>
        </w:rPr>
        <w:t>注：本表反映部门本年度一般公共预算财政拨款支出情况。</w:t>
      </w:r>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4266"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62.45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76.45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24.16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7.78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16.89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8.80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17.25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22.07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nil"/>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79.7</w:t>
            </w:r>
          </w:p>
        </w:tc>
        <w:tc>
          <w:tcPr>
            <w:tcW w:w="5657" w:type="dxa"/>
            <w:gridSpan w:val="5"/>
            <w:tcBorders>
              <w:top w:val="nil"/>
              <w:left w:val="nil"/>
              <w:bottom w:val="nil"/>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nil"/>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76.45</w:t>
            </w:r>
          </w:p>
        </w:tc>
      </w:tr>
      <w:tr>
        <w:tblPrEx>
          <w:tblCellMar>
            <w:top w:w="0" w:type="dxa"/>
            <w:left w:w="0" w:type="dxa"/>
            <w:bottom w:w="0" w:type="dxa"/>
            <w:right w:w="0" w:type="dxa"/>
          </w:tblCellMar>
        </w:tblPrEx>
        <w:trPr>
          <w:trHeight w:val="317" w:hRule="atLeast"/>
          <w:jc w:val="center"/>
        </w:trPr>
        <w:tc>
          <w:tcPr>
            <w:tcW w:w="9268"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注：本表反映部门本年度一般公共预算财政拨款基本支出明细情况。</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hint="eastAsia" w:ascii="宋体" w:hAnsi="宋体" w:eastAsia="宋体" w:cs="宋体"/>
                <w:color w:val="000000"/>
                <w:sz w:val="20"/>
                <w:szCs w:val="20"/>
              </w:rPr>
            </w:pPr>
          </w:p>
        </w:tc>
      </w:tr>
    </w:tbl>
    <w:p>
      <w:r>
        <w:br w:type="page"/>
      </w: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0.2</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rPr>
        <w:t>本部门本年度无相关收入（或支出、收支及结转结余等）情况，按要求空表列示。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652" w:type="dxa"/>
        <w:jc w:val="center"/>
        <w:tblLayout w:type="fixed"/>
        <w:tblCellMar>
          <w:top w:w="0" w:type="dxa"/>
          <w:left w:w="0" w:type="dxa"/>
          <w:bottom w:w="0" w:type="dxa"/>
          <w:right w:w="0" w:type="dxa"/>
        </w:tblCellMar>
      </w:tblPr>
      <w:tblGrid>
        <w:gridCol w:w="1019"/>
        <w:gridCol w:w="58"/>
        <w:gridCol w:w="59"/>
        <w:gridCol w:w="2088"/>
        <w:gridCol w:w="1006"/>
        <w:gridCol w:w="1164"/>
        <w:gridCol w:w="1006"/>
        <w:gridCol w:w="1006"/>
        <w:gridCol w:w="1240"/>
        <w:gridCol w:w="1006"/>
      </w:tblGrid>
      <w:tr>
        <w:tblPrEx>
          <w:tblCellMar>
            <w:top w:w="0" w:type="dxa"/>
            <w:left w:w="0" w:type="dxa"/>
            <w:bottom w:w="0" w:type="dxa"/>
            <w:right w:w="0" w:type="dxa"/>
          </w:tblCellMar>
        </w:tblPrEx>
        <w:trPr>
          <w:trHeight w:val="780" w:hRule="atLeast"/>
          <w:jc w:val="center"/>
        </w:trPr>
        <w:tc>
          <w:tcPr>
            <w:tcW w:w="965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4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23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116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4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2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0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22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22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60.0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60.0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60.00</w:t>
            </w: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注：本表反映部门本年度政府性基金预算财政拨款收入、支出及结转和结余情况。</w:t>
      </w:r>
      <w:r>
        <w:br w:type="page"/>
      </w:r>
    </w:p>
    <w:tbl>
      <w:tblPr>
        <w:tblStyle w:val="7"/>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仿宋" w:hAnsi="仿宋" w:eastAsia="仿宋" w:cs="宋体"/>
                <w:kern w:val="0"/>
                <w:sz w:val="28"/>
                <w:szCs w:val="28"/>
              </w:rPr>
              <w:t>馆陶县商务局</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t>注：本表反映部门本年度国有资本经营预算财政拨款支出情况。本部门本年度无相关支出情况，按要求以空表列示。</w:t>
      </w:r>
      <w:r>
        <w:br w:type="page"/>
      </w:r>
    </w:p>
    <w:p>
      <w:r>
        <w:pict>
          <v:rect id="_x0000_s1027" o:spid="_x0000_s1027" o:spt="1" style="position:absolute;left:0pt;margin-left:-70.5pt;margin-top:-85.25pt;height:841.15pt;width:595.1pt;z-index:2516705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- 37 -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6432;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2"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5408;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4624;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5648;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769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667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7936;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78720;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7974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0"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2576;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3600;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213E88"/>
    <w:multiLevelType w:val="singleLevel"/>
    <w:tmpl w:val="48213E88"/>
    <w:lvl w:ilvl="0" w:tentative="0">
      <w:start w:val="1"/>
      <w:numFmt w:val="chineseCounting"/>
      <w:suff w:val="nothing"/>
      <w:lvlText w:val="（%1）"/>
      <w:lvlJc w:val="left"/>
      <w:rPr>
        <w:rFonts w:hint="eastAsia"/>
      </w:rPr>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80A18"/>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578B4"/>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C0E8F"/>
    <w:rsid w:val="009D271F"/>
    <w:rsid w:val="00A929C2"/>
    <w:rsid w:val="00AC3EB0"/>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B57387"/>
    <w:rsid w:val="05BC603B"/>
    <w:rsid w:val="05D746C6"/>
    <w:rsid w:val="10F62B5F"/>
    <w:rsid w:val="12F26D05"/>
    <w:rsid w:val="1C22645D"/>
    <w:rsid w:val="1D7072B2"/>
    <w:rsid w:val="2EB45A54"/>
    <w:rsid w:val="31C2036A"/>
    <w:rsid w:val="320D02A5"/>
    <w:rsid w:val="348E566F"/>
    <w:rsid w:val="35A833B6"/>
    <w:rsid w:val="379D0B9A"/>
    <w:rsid w:val="3A226944"/>
    <w:rsid w:val="3AEE6A48"/>
    <w:rsid w:val="3C1620AA"/>
    <w:rsid w:val="3D8F080F"/>
    <w:rsid w:val="44CE1FA4"/>
    <w:rsid w:val="45165864"/>
    <w:rsid w:val="453C2535"/>
    <w:rsid w:val="487F73ED"/>
    <w:rsid w:val="4A347EAE"/>
    <w:rsid w:val="4D506B0A"/>
    <w:rsid w:val="50AB574E"/>
    <w:rsid w:val="52600405"/>
    <w:rsid w:val="529B4319"/>
    <w:rsid w:val="57773DD6"/>
    <w:rsid w:val="578B79AB"/>
    <w:rsid w:val="5CCD3FD5"/>
    <w:rsid w:val="5E8C6377"/>
    <w:rsid w:val="5EB1077B"/>
    <w:rsid w:val="61FA5F9D"/>
    <w:rsid w:val="64382C0C"/>
    <w:rsid w:val="64CD6910"/>
    <w:rsid w:val="67700259"/>
    <w:rsid w:val="6789158D"/>
    <w:rsid w:val="67D81BA4"/>
    <w:rsid w:val="6AAF1C96"/>
    <w:rsid w:val="6D6745A3"/>
    <w:rsid w:val="74A30C12"/>
    <w:rsid w:val="75681757"/>
    <w:rsid w:val="75A346A8"/>
    <w:rsid w:val="79B9382C"/>
    <w:rsid w:val="7B043B76"/>
    <w:rsid w:val="7B6C407F"/>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sz w:val="18"/>
      <w:szCs w:val="18"/>
    </w:rPr>
  </w:style>
  <w:style w:type="character" w:customStyle="1" w:styleId="11">
    <w:name w:val="页脚 Char"/>
    <w:basedOn w:val="9"/>
    <w:link w:val="4"/>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43"/>
    <customShpInfo spid="_x0000_s103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40</Pages>
  <Words>2168</Words>
  <Characters>12363</Characters>
  <Lines>103</Lines>
  <Paragraphs>29</Paragraphs>
  <TotalTime>2</TotalTime>
  <ScaleCrop>false</ScaleCrop>
  <LinksUpToDate>false</LinksUpToDate>
  <CharactersWithSpaces>14502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2023-11-16T08:12:53Z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3DE848835EBD42069D41A95BF13005F0_12</vt:lpwstr>
  </property>
</Properties>
</file>