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8588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DDPXo+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bcOnnDlhaUW7Xz93v//u/jyyKuszeKwp7cFTYhyvYaQ9J92S&#10;H8mZxh51sOmkgRjFSentUV01RibJOavOphfljDNJsaqsZmfns4RTnMp9wPhZgWXp0vBA68uqis0X&#10;jPvU55TUzcGt6fvkP3FJtzguxwPBJbRb4j3QhhuOP9YiKM5C7D9B/hAJBf3VOhJSbpDK9zUHVNI9&#10;Uzz8kbTYl++cdfrJi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MM9ej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679450</wp:posOffset>
                </wp:positionH>
                <wp:positionV relativeFrom="paragraph">
                  <wp:posOffset>2952115</wp:posOffset>
                </wp:positionV>
                <wp:extent cx="1548765" cy="1548765"/>
                <wp:effectExtent l="0" t="0" r="5715" b="5715"/>
                <wp:wrapNone/>
                <wp:docPr id="3"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8281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KmFaFX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8793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IGcZdmVAQAA+A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aNLSiw3OKKXx5/PTz/IfJHC6T3UiLn3d2HaAZbJ6aCCSV/0&#10;QAZGF9XqvMKET4yeVavyvFqO2cohEoH9qlyU1RIvEYhYr88+IxgZizciHyB+lc6QVDAacHY5Un68&#10;hjhCf0PwXBI2SklVHHbDpG/nmhNa6nGmjML3Aw8pQo7gL4fornSmSmdG4ESF8WYx01NI83u/z6i3&#10;B7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pVqbnZAAAACgEAAA8AAAAAAAAAAQAgAAAAIgAA&#10;AGRycy9kb3ducmV2LnhtbFBLAQIUABQAAAAIAIdO4kCBnGXZlQEAAPgCAAAOAAAAAAAAAAEAIAAA&#10;ACgBAABkcnMvZTJvRG9jLnhtbFBLBQYAAAAABgAGAFkBAAAv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789940</wp:posOffset>
                </wp:positionH>
                <wp:positionV relativeFrom="paragraph">
                  <wp:posOffset>3082925</wp:posOffset>
                </wp:positionV>
                <wp:extent cx="1313815" cy="1313815"/>
                <wp:effectExtent l="0" t="0" r="12065" b="12065"/>
                <wp:wrapNone/>
                <wp:docPr id="14"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8691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AoYLtgAAAALAQAA&#10;DwAAAAAAAAABACAAAAAiAAAAZHJzL2Rvd25yZXYueG1sUEsBAhQAFAAAAAgAh07iQKXubY/gAQAA&#10;iAMAAA4AAAAAAAAAAQAgAAAAJwEAAGRycy9lMm9Eb2MueG1sUEsFBgAAAAAGAAYAWQEAAHkFAAAA&#10;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83840" behindDoc="0" locked="0" layoutInCell="1" allowOverlap="1">
                <wp:simplePos x="0" y="0"/>
                <wp:positionH relativeFrom="column">
                  <wp:posOffset>15875</wp:posOffset>
                </wp:positionH>
                <wp:positionV relativeFrom="paragraph">
                  <wp:posOffset>10435590</wp:posOffset>
                </wp:positionV>
                <wp:extent cx="7559675" cy="272415"/>
                <wp:effectExtent l="0" t="0" r="14605" b="1905"/>
                <wp:wrapNone/>
                <wp:docPr id="23" name="组合 2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24"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83840;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&#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TXJ8l2gAAAAwBAAAPAAAAAAAAAAEAIAAAACIAAABk&#10;cnMvZG93bnJldi54bWxQSwECFAAUAAAACACHTuJAhoYAqnYCAACYBgAADgAAAAAAAAABACAAAAAp&#10;AQAAZHJzL2Uyb0RvYy54bWxQSwUGAAAAAAYABgBZAQAAEQYAAAAA&#10;">
                <o:lock v:ext="edit" aspectratio="f"/>
                <v:rect id="矩形 6" o:spid="_x0000_s1026" o:spt="1" style="position:absolute;left:1483;top:16692;height:428;width:1125;v-text-anchor:middle;" fillcolor="#FDBC11" filled="t" stroked="f" coordsize="21600,21600" o:gfxdata="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TWw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p1dVlbgAAADb&#10;AAAADwAAAGRycy9kb3ducmV2LnhtbEWPSwvCMBCE74L/IazgTVMFRapRUBQ8ePEBXpdm+9BkU5pY&#10;9d8bQfA4zHwzzGL1ska01PjKsYLRMAFBnDldcaHgct4NZiB8QNZoHJOCN3lYLbudBabaPflI7SkU&#10;IpawT1FBGUKdSumzkiz6oauJo5e7xmKIsimkbvAZy62R4ySZSosVx4USa9qUlN1PD6tgHGaP9a26&#10;vk1tbi3mk/xw30ql+r1RMgcR6BX+4R+915GbwP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1dVlbgAAADb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8960" behindDoc="1" locked="0" layoutInCell="1" allowOverlap="1">
                <wp:simplePos x="0" y="0"/>
                <wp:positionH relativeFrom="column">
                  <wp:posOffset>-31750</wp:posOffset>
                </wp:positionH>
                <wp:positionV relativeFrom="paragraph">
                  <wp:posOffset>0</wp:posOffset>
                </wp:positionV>
                <wp:extent cx="7623175" cy="4614545"/>
                <wp:effectExtent l="0" t="0" r="15875" b="0"/>
                <wp:wrapNone/>
                <wp:docPr id="26" name="组合 26"/>
                <wp:cNvGraphicFramePr/>
                <a:graphic xmlns:a="http://schemas.openxmlformats.org/drawingml/2006/main">
                  <a:graphicData uri="http://schemas.microsoft.com/office/word/2010/wordprocessingGroup">
                    <wpg:wgp>
                      <wpg:cNvGrpSpPr/>
                      <wpg:grpSpPr>
                        <a:xfrm>
                          <a:off x="0" y="0"/>
                          <a:ext cx="7623175" cy="4614545"/>
                          <a:chOff x="13622" y="283"/>
                          <a:chExt cx="12005" cy="7267"/>
                        </a:xfrm>
                      </wpg:grpSpPr>
                      <wps:wsp>
                        <wps:cNvPr id="27"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文本框 10"/>
                        <wps:cNvSpPr txBox="1"/>
                        <wps:spPr>
                          <a:xfrm>
                            <a:off x="17192" y="5534"/>
                            <a:ext cx="8083" cy="2016"/>
                          </a:xfrm>
                          <a:prstGeom prst="rect">
                            <a:avLst/>
                          </a:prstGeom>
                          <a:noFill/>
                        </wps:spPr>
                        <wps:txbx>
                          <w:txbxContent>
                            <w:p>
                              <w:pPr>
                                <w:jc w:val="center"/>
                                <w:rPr>
                                  <w:color w:val="000000" w:themeColor="text1"/>
                                  <w:kern w:val="0"/>
                                  <w:sz w:val="52"/>
                                  <w:szCs w:val="5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52"/>
                                  <w:szCs w:val="5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邯郸市生态环境保护局馆陶分局</w:t>
                              </w:r>
                              <w:r>
                                <w:rPr>
                                  <w:rFonts w:hint="eastAsia" w:ascii="思源黑体 HW Bold" w:hAnsi="思源黑体 HW Bold" w:eastAsia="思源黑体 HW Bold"/>
                                  <w:color w:val="000000" w:themeColor="text1"/>
                                  <w:kern w:val="24"/>
                                  <w:sz w:val="52"/>
                                  <w:szCs w:val="5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w:t>
                              </w:r>
                            </w:p>
                          </w:txbxContent>
                        </wps:txbx>
                        <wps:bodyPr wrap="square" rtlCol="0">
                          <a:spAutoFit/>
                        </wps:bodyPr>
                      </wps:wsp>
                    </wpg:wgp>
                  </a:graphicData>
                </a:graphic>
              </wp:anchor>
            </w:drawing>
          </mc:Choice>
          <mc:Fallback>
            <w:pict>
              <v:group id="_x0000_s1026" o:spid="_x0000_s1026" o:spt="203" style="position:absolute;left:0pt;margin-left:-2.5pt;margin-top:0pt;height:363.35pt;width:600.25pt;z-index:-251627520;mso-width-relative:page;mso-height-relative:page;" coordorigin="13622,283" coordsize="12005,7267" o:gfxdata="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TeLMLZAAAACAEAAA8AAAAAAAAAAQAgAAAAIgAAAGRy&#10;cy9kb3ducmV2LnhtbFBLAQIUABQAAAAIAIdO4kD8EU+crwIAADIGAAAOAAAAAAAAAAEAIAAAACgB&#10;AABkcnMvZTJvRG9jLnhtbFBLBQYAAAAABgAGAFkBAABJBgAAAAA=&#10;">
                <o:lock v:ext="edit" aspectratio="f"/>
                <v:rect id="矩形 5" o:spid="_x0000_s1026" o:spt="1" style="position:absolute;left:13622;top:283;height:6170;width:12005;v-text-anchor:middle;" fillcolor="#FDBC11" filled="t" stroked="f" coordsize="21600,21600" o:gfxdata="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ZIt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文本框 10" o:spid="_x0000_s1026" o:spt="202" type="#_x0000_t202" style="position:absolute;left:17192;top:5534;height:2016;width:8083;" filled="f" stroked="f" coordsize="21600,21600" o:gfxdata="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aryjL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jc w:val="center"/>
                          <w:rPr>
                            <w:color w:val="000000" w:themeColor="text1"/>
                            <w:kern w:val="0"/>
                            <w:sz w:val="52"/>
                            <w:szCs w:val="5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52"/>
                            <w:szCs w:val="5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邯郸市生态环境保护局馆陶分局</w:t>
                        </w:r>
                        <w:r>
                          <w:rPr>
                            <w:rFonts w:hint="eastAsia" w:ascii="思源黑体 HW Bold" w:hAnsi="思源黑体 HW Bold" w:eastAsia="思源黑体 HW Bold"/>
                            <w:color w:val="000000" w:themeColor="text1"/>
                            <w:kern w:val="24"/>
                            <w:sz w:val="52"/>
                            <w:szCs w:val="5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w:t>
                        </w:r>
                      </w:p>
                    </w:txbxContent>
                  </v:textbox>
                </v:shape>
              </v:group>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29"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848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leTd5YU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FXS0Rklhmnc0fvTy9vrM8nzqE7roMCie3fn+wjQjVQ76XU8kQTp&#10;kqLbvaKiC4Tj5fE4H08mE0o45sZnJ9PTSQTNvrqdh3AlrCbRKanHjSUh2eYawq70swT74jS796MX&#10;umXXD7W01RaJtLjJkhr8agkE3MU62EuVgGLHrqwHQknTKP36486+x6nq65PO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WZBfR2wAAAAwBAAAPAAAAAAAAAAEAIAAAACIAAABkcnMvZG93bnJldi54&#10;bWxQSwECFAAUAAAACACHTuJAleTd5YUBAADsAgAADgAAAAAAAAABACAAAAAqAQAAZHJzL2Uyb0Rv&#10;Yy54bWxQSwUGAAAAAAYABgBZAQAAIQU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yellow"/>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yellow"/>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邯郸市生态环境局馆陶县分局</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92032" behindDoc="0" locked="0" layoutInCell="1" allowOverlap="1">
                <wp:simplePos x="0" y="0"/>
                <wp:positionH relativeFrom="column">
                  <wp:posOffset>-1088390</wp:posOffset>
                </wp:positionH>
                <wp:positionV relativeFrom="paragraph">
                  <wp:posOffset>987425</wp:posOffset>
                </wp:positionV>
                <wp:extent cx="8606155" cy="3378835"/>
                <wp:effectExtent l="6350" t="6350" r="13335" b="13335"/>
                <wp:wrapNone/>
                <wp:docPr id="143" name="文本框 143"/>
                <wp:cNvGraphicFramePr/>
                <a:graphic xmlns:a="http://schemas.openxmlformats.org/drawingml/2006/main">
                  <a:graphicData uri="http://schemas.microsoft.com/office/word/2010/wordprocessingShape">
                    <wps:wsp>
                      <wps:cNvSpPr txBox="1"/>
                      <wps:spPr>
                        <a:xfrm>
                          <a:off x="0" y="0"/>
                          <a:ext cx="8606155" cy="3378835"/>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77.75pt;height:266.05pt;width:677.65pt;z-index:251692032;v-text-anchor:middle;mso-width-relative:page;mso-height-relative:page;" fillcolor="#FFD966" filled="t" stroked="t" coordsize="21600,21600" o:gfxdata="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J+Qj33AAAAA0BAAAPAAAAAAAAAAEAIAAAACIAAABkcnMvZG93bnJl&#10;di54bWxQSwECFAAUAAAACACHTuJAJp3/DWsCAADfBAAADgAAAAAAAAABACAAAAArAQAAZHJzL2Uy&#10;b0RvYy54bWxQSwUGAAAAAAYABgBZAQAACAYAAAAA&#10;">
                <v:fill type="pattern" on="t" color2="#FFFFFF [3212]" focussize="0,0" r:id="rId32"/>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2240" w:firstLineChars="7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pStyle w:val="3"/>
        <w:spacing w:before="11"/>
        <w:rPr>
          <w:rFonts w:hint="eastAsia" w:ascii="仿宋_GB2312" w:hAnsi="仿宋_GB2312" w:eastAsia="仿宋_GB2312" w:cs="仿宋_GB2312"/>
          <w:sz w:val="32"/>
          <w:szCs w:val="32"/>
        </w:rPr>
      </w:pPr>
    </w:p>
    <w:p>
      <w:pPr>
        <w:pStyle w:val="3"/>
        <w:numPr>
          <w:ilvl w:val="0"/>
          <w:numId w:val="1"/>
        </w:numPr>
        <w:spacing w:line="364" w:lineRule="auto"/>
        <w:ind w:left="1588" w:right="973" w:firstLine="480"/>
        <w:jc w:val="both"/>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8"/>
          <w:w w:val="95"/>
          <w:sz w:val="32"/>
          <w:szCs w:val="32"/>
        </w:rPr>
        <w:t xml:space="preserve">监督检查国家、省、市环境保护法律、法规、标准的贯 </w:t>
      </w:r>
      <w:r>
        <w:rPr>
          <w:rFonts w:hint="eastAsia" w:ascii="仿宋_GB2312" w:hAnsi="仿宋_GB2312" w:eastAsia="仿宋_GB2312" w:cs="仿宋_GB2312"/>
          <w:spacing w:val="-13"/>
          <w:w w:val="95"/>
          <w:sz w:val="32"/>
          <w:szCs w:val="32"/>
        </w:rPr>
        <w:t xml:space="preserve">彻落实；配合市环保局对重大经济和技术政策、发展规划以及重 </w:t>
      </w:r>
      <w:r>
        <w:rPr>
          <w:rFonts w:hint="eastAsia" w:ascii="仿宋_GB2312" w:hAnsi="仿宋_GB2312" w:eastAsia="仿宋_GB2312" w:cs="仿宋_GB2312"/>
          <w:spacing w:val="-18"/>
          <w:w w:val="95"/>
          <w:sz w:val="32"/>
          <w:szCs w:val="32"/>
        </w:rPr>
        <w:t xml:space="preserve">大经济开发计划进行环境影响评价工作；拟定全县环境规划；组 织拟定和监督实施国家、省、市、县确定的重点区域、重点流域 </w:t>
      </w:r>
      <w:r>
        <w:rPr>
          <w:rFonts w:hint="eastAsia" w:ascii="仿宋_GB2312" w:hAnsi="仿宋_GB2312" w:eastAsia="仿宋_GB2312" w:cs="仿宋_GB2312"/>
          <w:spacing w:val="-18"/>
          <w:sz w:val="32"/>
          <w:szCs w:val="32"/>
        </w:rPr>
        <w:t>污染防治规划和生态保护规划；组织编制环境功能区划。</w:t>
      </w:r>
    </w:p>
    <w:p>
      <w:pPr>
        <w:pStyle w:val="3"/>
        <w:numPr>
          <w:ilvl w:val="0"/>
          <w:numId w:val="2"/>
        </w:numPr>
        <w:spacing w:line="364" w:lineRule="auto"/>
        <w:ind w:left="2068" w:leftChars="0" w:right="973" w:righ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组织实施全县大气、水体、土壤、噪声、固体废物</w:t>
      </w:r>
    </w:p>
    <w:p>
      <w:pPr>
        <w:pStyle w:val="3"/>
        <w:numPr>
          <w:ilvl w:val="0"/>
          <w:numId w:val="0"/>
        </w:numPr>
        <w:spacing w:line="364" w:lineRule="auto"/>
        <w:ind w:right="973" w:rightChars="0" w:firstLine="141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1"/>
          <w:w w:val="95"/>
          <w:sz w:val="32"/>
          <w:szCs w:val="32"/>
        </w:rPr>
        <w:t xml:space="preserve">有毒化学品、机动车等污染防治及自然生态保护法规、规章和办 </w:t>
      </w:r>
      <w:r>
        <w:rPr>
          <w:rFonts w:hint="eastAsia" w:ascii="仿宋_GB2312" w:hAnsi="仿宋_GB2312" w:eastAsia="仿宋_GB2312" w:cs="仿宋_GB2312"/>
          <w:spacing w:val="-11"/>
          <w:sz w:val="32"/>
          <w:szCs w:val="32"/>
        </w:rPr>
        <w:t>法。</w:t>
      </w:r>
    </w:p>
    <w:p>
      <w:pPr>
        <w:pStyle w:val="3"/>
        <w:spacing w:before="160" w:line="364" w:lineRule="auto"/>
        <w:ind w:left="1588" w:right="814"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15"/>
          <w:sz w:val="32"/>
          <w:szCs w:val="32"/>
        </w:rPr>
        <w:t>）</w:t>
      </w:r>
      <w:r>
        <w:rPr>
          <w:rFonts w:hint="eastAsia" w:ascii="仿宋_GB2312" w:hAnsi="仿宋_GB2312" w:eastAsia="仿宋_GB2312" w:cs="仿宋_GB2312"/>
          <w:spacing w:val="-1"/>
          <w:sz w:val="32"/>
          <w:szCs w:val="32"/>
        </w:rPr>
        <w:t>监督全县对生态环境有影响的自然资源开发利用活动、</w:t>
      </w:r>
      <w:r>
        <w:rPr>
          <w:rFonts w:hint="eastAsia" w:ascii="仿宋_GB2312" w:hAnsi="仿宋_GB2312" w:eastAsia="仿宋_GB2312" w:cs="仿宋_GB2312"/>
          <w:sz w:val="32"/>
          <w:szCs w:val="32"/>
        </w:rPr>
        <w:t>重要的生态环境建设和生态破坏恢复工作。</w:t>
      </w:r>
    </w:p>
    <w:p>
      <w:pPr>
        <w:pStyle w:val="3"/>
        <w:spacing w:before="160" w:line="364" w:lineRule="auto"/>
        <w:ind w:left="1588" w:right="814"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（四）指导和协调解决全县、各部门以及跨区域、流域的重</w:t>
      </w:r>
      <w:r>
        <w:rPr>
          <w:rFonts w:hint="eastAsia" w:ascii="仿宋_GB2312" w:hAnsi="仿宋_GB2312" w:eastAsia="仿宋_GB2312" w:cs="仿宋_GB2312"/>
          <w:spacing w:val="-10"/>
          <w:sz w:val="32"/>
          <w:szCs w:val="32"/>
        </w:rPr>
        <w:t>大环境问题；调查处理重大环境污染事故和生态破坏事件；协调</w:t>
      </w:r>
      <w:r>
        <w:rPr>
          <w:rFonts w:hint="eastAsia" w:ascii="仿宋_GB2312" w:hAnsi="仿宋_GB2312" w:eastAsia="仿宋_GB2312" w:cs="仿宋_GB2312"/>
          <w:spacing w:val="-16"/>
          <w:sz w:val="32"/>
          <w:szCs w:val="32"/>
        </w:rPr>
        <w:t>全县跨区域的环境污染纠纷；组织和协调全县重点流域水污染防</w:t>
      </w:r>
      <w:r>
        <w:rPr>
          <w:rFonts w:hint="eastAsia" w:ascii="仿宋_GB2312" w:hAnsi="仿宋_GB2312" w:eastAsia="仿宋_GB2312" w:cs="仿宋_GB2312"/>
          <w:spacing w:val="-14"/>
          <w:sz w:val="32"/>
          <w:szCs w:val="32"/>
        </w:rPr>
        <w:t>治工作；负责环境监察和环境保护行政稽查；组织开展全县保护执法检查工作。</w:t>
      </w:r>
    </w:p>
    <w:p>
      <w:pPr>
        <w:spacing w:after="0" w:line="364" w:lineRule="auto"/>
        <w:jc w:val="both"/>
        <w:rPr>
          <w:rFonts w:hint="eastAsia" w:ascii="仿宋_GB2312" w:hAnsi="仿宋_GB2312" w:eastAsia="仿宋_GB2312" w:cs="仿宋_GB2312"/>
          <w:sz w:val="32"/>
          <w:szCs w:val="32"/>
        </w:rPr>
        <w:sectPr>
          <w:headerReference r:id="rId13" w:type="default"/>
          <w:footerReference r:id="rId14" w:type="default"/>
          <w:pgSz w:w="11910" w:h="16840"/>
          <w:pgMar w:top="1580" w:right="500" w:bottom="280" w:left="0" w:header="720" w:footer="720" w:gutter="0"/>
        </w:sectPr>
      </w:pPr>
    </w:p>
    <w:p>
      <w:pPr>
        <w:pStyle w:val="3"/>
        <w:spacing w:before="55" w:line="364" w:lineRule="auto"/>
        <w:ind w:left="1218" w:leftChars="580" w:right="1017"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（五）审核全县总体规划中的环境保护内容；参与编制全县可持续发展规划。</w:t>
      </w:r>
    </w:p>
    <w:p>
      <w:pPr>
        <w:pStyle w:val="3"/>
        <w:spacing w:before="162" w:line="364" w:lineRule="auto"/>
        <w:ind w:left="1588" w:right="971"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（六）制定并组织实施各项环境管理制度；按有关规定审定</w:t>
      </w:r>
      <w:r>
        <w:rPr>
          <w:rFonts w:hint="eastAsia" w:ascii="仿宋_GB2312" w:hAnsi="仿宋_GB2312" w:eastAsia="仿宋_GB2312" w:cs="仿宋_GB2312"/>
          <w:spacing w:val="-9"/>
          <w:sz w:val="32"/>
          <w:szCs w:val="32"/>
        </w:rPr>
        <w:t>开发见者活动环境影响报告书；指导乡镇企业污染防治和城乡环</w:t>
      </w:r>
      <w:r>
        <w:rPr>
          <w:rFonts w:hint="eastAsia" w:ascii="仿宋_GB2312" w:hAnsi="仿宋_GB2312" w:eastAsia="仿宋_GB2312" w:cs="仿宋_GB2312"/>
          <w:spacing w:val="-14"/>
          <w:w w:val="95"/>
          <w:sz w:val="32"/>
          <w:szCs w:val="32"/>
        </w:rPr>
        <w:t xml:space="preserve">境综合整治；管理农村生态环境保护工作；指导全县生态示范区 </w:t>
      </w:r>
      <w:r>
        <w:rPr>
          <w:rFonts w:hint="eastAsia" w:ascii="仿宋_GB2312" w:hAnsi="仿宋_GB2312" w:eastAsia="仿宋_GB2312" w:cs="仿宋_GB2312"/>
          <w:spacing w:val="-14"/>
          <w:sz w:val="32"/>
          <w:szCs w:val="32"/>
        </w:rPr>
        <w:t>建设和生态农业建设。</w:t>
      </w:r>
    </w:p>
    <w:p>
      <w:pPr>
        <w:pStyle w:val="3"/>
        <w:spacing w:before="162" w:line="364" w:lineRule="auto"/>
        <w:ind w:left="1588" w:right="973"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（七）组织拟定全县环境保护科技政策、发展规划；组织环</w:t>
      </w:r>
      <w:r>
        <w:rPr>
          <w:rFonts w:hint="eastAsia" w:ascii="仿宋_GB2312" w:hAnsi="仿宋_GB2312" w:eastAsia="仿宋_GB2312" w:cs="仿宋_GB2312"/>
          <w:spacing w:val="-11"/>
          <w:w w:val="95"/>
          <w:sz w:val="32"/>
          <w:szCs w:val="32"/>
        </w:rPr>
        <w:t xml:space="preserve">境保护科技发展、科学研究和技术示范工程；组织全县环境和管 </w:t>
      </w:r>
      <w:r>
        <w:rPr>
          <w:rFonts w:hint="eastAsia" w:ascii="仿宋_GB2312" w:hAnsi="仿宋_GB2312" w:eastAsia="仿宋_GB2312" w:cs="仿宋_GB2312"/>
          <w:spacing w:val="-14"/>
          <w:w w:val="95"/>
          <w:sz w:val="32"/>
          <w:szCs w:val="32"/>
        </w:rPr>
        <w:t xml:space="preserve">理体系、环境标志、环境产品认证上报工作；组织实施环境保护 </w:t>
      </w:r>
      <w:r>
        <w:rPr>
          <w:rFonts w:hint="eastAsia" w:ascii="仿宋_GB2312" w:hAnsi="仿宋_GB2312" w:eastAsia="仿宋_GB2312" w:cs="仿宋_GB2312"/>
          <w:spacing w:val="-16"/>
          <w:w w:val="95"/>
          <w:sz w:val="32"/>
          <w:szCs w:val="32"/>
        </w:rPr>
        <w:t xml:space="preserve">资质认可制度；监督管理环境保护产业市场、指导和推动环境保 </w:t>
      </w:r>
      <w:r>
        <w:rPr>
          <w:rFonts w:hint="eastAsia" w:ascii="仿宋_GB2312" w:hAnsi="仿宋_GB2312" w:eastAsia="仿宋_GB2312" w:cs="仿宋_GB2312"/>
          <w:spacing w:val="-16"/>
          <w:sz w:val="32"/>
          <w:szCs w:val="32"/>
        </w:rPr>
        <w:t>护产业发展。</w:t>
      </w:r>
    </w:p>
    <w:p>
      <w:pPr>
        <w:pStyle w:val="3"/>
        <w:spacing w:before="164" w:line="364" w:lineRule="auto"/>
        <w:ind w:left="1588" w:right="971"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（八）负责全县环境监测、统计、信息工作；组织建设和管</w:t>
      </w:r>
      <w:r>
        <w:rPr>
          <w:rFonts w:hint="eastAsia" w:ascii="仿宋_GB2312" w:hAnsi="仿宋_GB2312" w:eastAsia="仿宋_GB2312" w:cs="仿宋_GB2312"/>
          <w:spacing w:val="-8"/>
          <w:sz w:val="32"/>
          <w:szCs w:val="32"/>
        </w:rPr>
        <w:t>理全县环境监测全县环境信息网；组织对全县环境质量监测和污</w:t>
      </w:r>
      <w:r>
        <w:rPr>
          <w:rFonts w:hint="eastAsia" w:ascii="仿宋_GB2312" w:hAnsi="仿宋_GB2312" w:eastAsia="仿宋_GB2312" w:cs="仿宋_GB2312"/>
          <w:spacing w:val="-13"/>
          <w:w w:val="95"/>
          <w:sz w:val="32"/>
          <w:szCs w:val="32"/>
        </w:rPr>
        <w:t xml:space="preserve">染源监督性监测；组织、指导和协调环境保护宣传工作；引导公 </w:t>
      </w:r>
      <w:r>
        <w:rPr>
          <w:rFonts w:hint="eastAsia" w:ascii="仿宋_GB2312" w:hAnsi="仿宋_GB2312" w:eastAsia="仿宋_GB2312" w:cs="仿宋_GB2312"/>
          <w:spacing w:val="-18"/>
          <w:sz w:val="32"/>
          <w:szCs w:val="32"/>
        </w:rPr>
        <w:t>众和非政府组织参与环境保护工作；组织管理全县环境保护系统对外经济合作。</w:t>
      </w:r>
    </w:p>
    <w:p>
      <w:pPr>
        <w:pStyle w:val="3"/>
        <w:spacing w:before="165" w:line="364" w:lineRule="auto"/>
        <w:ind w:left="1588" w:right="1017"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（九）对全县电磁辐射、伴有放射性矿产资源开发利用中的污染防治工作实施统一监督管理。</w:t>
      </w:r>
    </w:p>
    <w:p>
      <w:pPr>
        <w:spacing w:after="0" w:line="364" w:lineRule="auto"/>
        <w:rPr>
          <w:rFonts w:hint="eastAsia" w:ascii="仿宋_GB2312" w:hAnsi="仿宋_GB2312" w:eastAsia="仿宋_GB2312" w:cs="仿宋_GB2312"/>
          <w:sz w:val="32"/>
          <w:szCs w:val="32"/>
        </w:rPr>
        <w:sectPr>
          <w:pgSz w:w="11910" w:h="16840"/>
          <w:pgMar w:top="1580" w:right="500" w:bottom="280" w:left="0" w:header="720" w:footer="720" w:gutter="0"/>
        </w:sectPr>
      </w:pPr>
    </w:p>
    <w:p>
      <w:pPr>
        <w:pStyle w:val="3"/>
        <w:rPr>
          <w:rFonts w:hint="eastAsia" w:ascii="仿宋_GB2312" w:hAnsi="仿宋_GB2312" w:eastAsia="仿宋_GB2312" w:cs="仿宋_GB2312"/>
          <w:sz w:val="32"/>
          <w:szCs w:val="32"/>
        </w:rPr>
      </w:pPr>
    </w:p>
    <w:p>
      <w:pPr>
        <w:pStyle w:val="3"/>
        <w:spacing w:before="55" w:line="364" w:lineRule="auto"/>
        <w:ind w:left="1538" w:leftChars="580" w:right="973"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18"/>
          <w:sz w:val="32"/>
          <w:szCs w:val="32"/>
        </w:rPr>
        <w:t>依法监督管理环境建设项目、对行政审批事项实行“窗口”式办公制度。</w:t>
      </w:r>
    </w:p>
    <w:p>
      <w:pPr>
        <w:pStyle w:val="3"/>
        <w:spacing w:before="162" w:line="364" w:lineRule="auto"/>
        <w:ind w:left="1588" w:right="1017"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（十一）负责本部门机构编制、人事、老干部和党群工作； 抓好系统内党风廉政建设和精神文明建设。</w:t>
      </w:r>
    </w:p>
    <w:p>
      <w:pPr>
        <w:pStyle w:val="3"/>
        <w:spacing w:before="160" w:line="364" w:lineRule="auto"/>
        <w:ind w:left="1588" w:right="1017"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（十二）承办县委、县政府交办的其他事项，承办人大、政协建设、提案事宜。</w:t>
      </w:r>
    </w:p>
    <w:p>
      <w:pPr>
        <w:pStyle w:val="3"/>
        <w:spacing w:before="162"/>
        <w:ind w:left="20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3"/>
        <w:spacing w:before="3"/>
        <w:rPr>
          <w:rFonts w:hint="eastAsia" w:ascii="仿宋_GB2312" w:hAnsi="仿宋_GB2312" w:eastAsia="仿宋_GB2312" w:cs="仿宋_GB2312"/>
          <w:sz w:val="32"/>
          <w:szCs w:val="32"/>
        </w:rPr>
      </w:pPr>
    </w:p>
    <w:p>
      <w:pPr>
        <w:pStyle w:val="3"/>
        <w:spacing w:before="1"/>
        <w:ind w:left="20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根据上述职责，馆陶县环境保护局设 4 个内设机构：</w:t>
      </w:r>
    </w:p>
    <w:p>
      <w:pPr>
        <w:pStyle w:val="3"/>
        <w:rPr>
          <w:rFonts w:hint="eastAsia" w:ascii="仿宋_GB2312" w:hAnsi="仿宋_GB2312" w:eastAsia="仿宋_GB2312" w:cs="仿宋_GB2312"/>
          <w:sz w:val="32"/>
          <w:szCs w:val="32"/>
        </w:rPr>
      </w:pPr>
    </w:p>
    <w:p>
      <w:pPr>
        <w:pStyle w:val="3"/>
        <w:ind w:left="20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（一）办公室</w:t>
      </w:r>
    </w:p>
    <w:p>
      <w:pPr>
        <w:pStyle w:val="3"/>
        <w:spacing w:before="3"/>
        <w:rPr>
          <w:rFonts w:hint="eastAsia" w:ascii="仿宋_GB2312" w:hAnsi="仿宋_GB2312" w:eastAsia="仿宋_GB2312" w:cs="仿宋_GB2312"/>
          <w:sz w:val="32"/>
          <w:szCs w:val="32"/>
        </w:rPr>
      </w:pPr>
    </w:p>
    <w:p>
      <w:pPr>
        <w:pStyle w:val="3"/>
        <w:spacing w:before="1" w:line="364" w:lineRule="auto"/>
        <w:ind w:left="1588" w:right="652" w:firstLine="63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协助局领导组织协调机关工作；负责综合性文字材料的起草、</w:t>
      </w:r>
      <w:r>
        <w:rPr>
          <w:rFonts w:hint="eastAsia" w:ascii="仿宋_GB2312" w:hAnsi="仿宋_GB2312" w:eastAsia="仿宋_GB2312" w:cs="仿宋_GB2312"/>
          <w:spacing w:val="-13"/>
          <w:sz w:val="32"/>
          <w:szCs w:val="32"/>
        </w:rPr>
        <w:t xml:space="preserve">把关；负责本部门的党群、人事和老干部工作；负责重大环境污 </w:t>
      </w:r>
      <w:r>
        <w:rPr>
          <w:rFonts w:hint="eastAsia" w:ascii="仿宋_GB2312" w:hAnsi="仿宋_GB2312" w:eastAsia="仿宋_GB2312" w:cs="仿宋_GB2312"/>
          <w:spacing w:val="-18"/>
          <w:sz w:val="32"/>
          <w:szCs w:val="32"/>
        </w:rPr>
        <w:t xml:space="preserve">染事故和环境污染纠纷情况通报及有关联络工作；负责文电、信 </w:t>
      </w:r>
      <w:r>
        <w:rPr>
          <w:rFonts w:hint="eastAsia" w:ascii="仿宋_GB2312" w:hAnsi="仿宋_GB2312" w:eastAsia="仿宋_GB2312" w:cs="仿宋_GB2312"/>
          <w:spacing w:val="-15"/>
          <w:sz w:val="32"/>
          <w:szCs w:val="32"/>
        </w:rPr>
        <w:t xml:space="preserve">息网络、保密、社会治安综合治理和车辆等管理工作；指导和协 </w:t>
      </w:r>
      <w:r>
        <w:rPr>
          <w:rFonts w:hint="eastAsia" w:ascii="仿宋_GB2312" w:hAnsi="仿宋_GB2312" w:eastAsia="仿宋_GB2312" w:cs="仿宋_GB2312"/>
          <w:spacing w:val="-18"/>
          <w:w w:val="95"/>
          <w:sz w:val="32"/>
          <w:szCs w:val="32"/>
        </w:rPr>
        <w:t xml:space="preserve">调环境保护宣传教育工作；引导公众和非政府组织参与环境保护； </w:t>
      </w:r>
      <w:r>
        <w:rPr>
          <w:rFonts w:hint="eastAsia" w:ascii="仿宋_GB2312" w:hAnsi="仿宋_GB2312" w:eastAsia="仿宋_GB2312" w:cs="仿宋_GB2312"/>
          <w:spacing w:val="-18"/>
          <w:sz w:val="32"/>
          <w:szCs w:val="32"/>
        </w:rPr>
        <w:t>承办环境保护社会表彰等工作。</w:t>
      </w:r>
    </w:p>
    <w:p>
      <w:pPr>
        <w:pStyle w:val="3"/>
        <w:spacing w:before="165" w:line="364" w:lineRule="auto"/>
        <w:ind w:left="1588" w:right="973" w:firstLine="638"/>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拟定全县环境保护规划；参与编制全县可持续发展规划；指</w:t>
      </w:r>
      <w:r>
        <w:rPr>
          <w:rFonts w:hint="eastAsia" w:ascii="仿宋_GB2312" w:hAnsi="仿宋_GB2312" w:eastAsia="仿宋_GB2312" w:cs="仿宋_GB2312"/>
          <w:spacing w:val="-15"/>
          <w:w w:val="95"/>
          <w:sz w:val="32"/>
          <w:szCs w:val="32"/>
        </w:rPr>
        <w:t xml:space="preserve">导协调全县环境保护系统对外经济合作；参与审查全县总体规划 </w:t>
      </w:r>
      <w:r>
        <w:rPr>
          <w:rFonts w:hint="eastAsia" w:ascii="仿宋_GB2312" w:hAnsi="仿宋_GB2312" w:eastAsia="仿宋_GB2312" w:cs="仿宋_GB2312"/>
          <w:spacing w:val="-17"/>
          <w:w w:val="95"/>
          <w:sz w:val="32"/>
          <w:szCs w:val="32"/>
        </w:rPr>
        <w:t>中的环境保护内容；拟定环境保护补助资金和污染治理专项资金</w:t>
      </w:r>
    </w:p>
    <w:p>
      <w:pPr>
        <w:spacing w:after="0" w:line="364" w:lineRule="auto"/>
        <w:jc w:val="both"/>
        <w:rPr>
          <w:rFonts w:hint="eastAsia" w:ascii="仿宋_GB2312" w:hAnsi="仿宋_GB2312" w:eastAsia="仿宋_GB2312" w:cs="仿宋_GB2312"/>
          <w:sz w:val="32"/>
          <w:szCs w:val="32"/>
        </w:rPr>
        <w:sectPr>
          <w:pgSz w:w="11910" w:h="16840"/>
          <w:pgMar w:top="1580" w:right="500" w:bottom="280" w:left="0" w:header="720" w:footer="720" w:gutter="0"/>
        </w:sectPr>
      </w:pPr>
    </w:p>
    <w:p>
      <w:pPr>
        <w:pStyle w:val="3"/>
        <w:rPr>
          <w:rFonts w:hint="eastAsia" w:ascii="仿宋_GB2312" w:hAnsi="仿宋_GB2312" w:eastAsia="仿宋_GB2312" w:cs="仿宋_GB2312"/>
          <w:sz w:val="32"/>
          <w:szCs w:val="32"/>
        </w:rPr>
      </w:pPr>
    </w:p>
    <w:p>
      <w:pPr>
        <w:pStyle w:val="3"/>
        <w:spacing w:before="2"/>
        <w:rPr>
          <w:rFonts w:hint="eastAsia" w:ascii="仿宋_GB2312" w:hAnsi="仿宋_GB2312" w:eastAsia="仿宋_GB2312" w:cs="仿宋_GB2312"/>
          <w:sz w:val="32"/>
          <w:szCs w:val="32"/>
        </w:rPr>
      </w:pPr>
    </w:p>
    <w:p>
      <w:pPr>
        <w:pStyle w:val="3"/>
        <w:spacing w:before="55" w:line="364" w:lineRule="auto"/>
        <w:ind w:left="1588" w:right="971"/>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w w:val="95"/>
          <w:sz w:val="32"/>
          <w:szCs w:val="32"/>
        </w:rPr>
        <w:t xml:space="preserve">使用计划；负责局财务管理、机关财务支出和局机关国有资产管 </w:t>
      </w:r>
      <w:r>
        <w:rPr>
          <w:rFonts w:hint="eastAsia" w:ascii="仿宋_GB2312" w:hAnsi="仿宋_GB2312" w:eastAsia="仿宋_GB2312" w:cs="仿宋_GB2312"/>
          <w:spacing w:val="-13"/>
          <w:sz w:val="32"/>
          <w:szCs w:val="32"/>
        </w:rPr>
        <w:t>理、固定资产投资工资；协调审核县级财政性资金安排意见，配</w:t>
      </w:r>
      <w:r>
        <w:rPr>
          <w:rFonts w:hint="eastAsia" w:ascii="仿宋_GB2312" w:hAnsi="仿宋_GB2312" w:eastAsia="仿宋_GB2312" w:cs="仿宋_GB2312"/>
          <w:spacing w:val="-17"/>
          <w:sz w:val="32"/>
          <w:szCs w:val="32"/>
        </w:rPr>
        <w:t>合有关部门做好实施和监督；指导下属单位财务管理和国有资产管理工作；组织开展内部审计工作。</w:t>
      </w:r>
    </w:p>
    <w:p>
      <w:pPr>
        <w:pStyle w:val="3"/>
        <w:spacing w:before="164"/>
        <w:ind w:left="20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（二）监督管理科</w:t>
      </w:r>
    </w:p>
    <w:p>
      <w:pPr>
        <w:pStyle w:val="3"/>
        <w:rPr>
          <w:rFonts w:hint="eastAsia" w:ascii="仿宋_GB2312" w:hAnsi="仿宋_GB2312" w:eastAsia="仿宋_GB2312" w:cs="仿宋_GB2312"/>
          <w:sz w:val="32"/>
          <w:szCs w:val="32"/>
        </w:rPr>
      </w:pPr>
    </w:p>
    <w:p>
      <w:pPr>
        <w:pStyle w:val="3"/>
        <w:spacing w:before="1" w:line="364" w:lineRule="auto"/>
        <w:ind w:left="1588" w:right="652" w:firstLine="638"/>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9"/>
          <w:sz w:val="32"/>
          <w:szCs w:val="32"/>
        </w:rPr>
        <w:t>组织拟定全县环境保护规范性文件；负责组织环境保护行政处罚、行政复议和环境业务范围内的性政应诉工作；组织全县环境保护执法检查；组织重大环境保护问题的调查研究工作。组织协调环境保护科学研究和技术引进； 组织环境保护科技攻关和技术示范工程；管理环境保科技成果；组织全县环境管理体系、环境标志、环保产品认证上报工作；管理环境保护统计工作；负责环境保护资质让可制度管理工作；监督管理环境保护产业市场、指导和推动环境保护产业发展；协同有关部门制定全县限期淘汰浪费资金、能源严重的落 后工艺、设备和产品的名单。根据国家、省、市有关规定和政策规定，拟订全县环境建项目环境管理实施办法，综合管理全县建设项目环境保护和“三同时”管理；参与审查城市总体规划和工业布局；监督管理全县重大经济政策的环境影响评价工作</w:t>
      </w:r>
      <w:r>
        <w:rPr>
          <w:rFonts w:hint="eastAsia" w:ascii="仿宋_GB2312" w:hAnsi="仿宋_GB2312" w:eastAsia="仿宋_GB2312" w:cs="仿宋_GB2312"/>
          <w:spacing w:val="-7"/>
          <w:sz w:val="32"/>
          <w:szCs w:val="32"/>
        </w:rPr>
        <w:t>负责本部门的行政审批制度改革工作；负责直接办理环保部门职能范围内的行政审批事项；负责</w:t>
      </w:r>
      <w:r>
        <w:rPr>
          <w:rFonts w:hint="eastAsia" w:ascii="仿宋_GB2312" w:hAnsi="仿宋_GB2312" w:eastAsia="仿宋_GB2312" w:cs="仿宋_GB2312"/>
          <w:spacing w:val="-4"/>
          <w:sz w:val="32"/>
          <w:szCs w:val="32"/>
        </w:rPr>
        <w:t>受理并全程跟踪建设项目环境影响报告书</w:t>
      </w:r>
      <w:r>
        <w:rPr>
          <w:rFonts w:hint="eastAsia" w:ascii="仿宋_GB2312" w:hAnsi="仿宋_GB2312" w:eastAsia="仿宋_GB2312" w:cs="仿宋_GB2312"/>
          <w:sz w:val="32"/>
          <w:szCs w:val="32"/>
        </w:rPr>
        <w:t>（表</w:t>
      </w:r>
      <w:r>
        <w:rPr>
          <w:rFonts w:hint="eastAsia" w:ascii="仿宋_GB2312" w:hAnsi="仿宋_GB2312" w:eastAsia="仿宋_GB2312" w:cs="仿宋_GB2312"/>
          <w:spacing w:val="-58"/>
          <w:sz w:val="32"/>
          <w:szCs w:val="32"/>
        </w:rPr>
        <w:t>）</w:t>
      </w:r>
      <w:r>
        <w:rPr>
          <w:rFonts w:hint="eastAsia" w:ascii="仿宋_GB2312" w:hAnsi="仿宋_GB2312" w:eastAsia="仿宋_GB2312" w:cs="仿宋_GB2312"/>
          <w:sz w:val="32"/>
          <w:szCs w:val="32"/>
        </w:rPr>
        <w:t>各环节的办理情</w:t>
      </w:r>
      <w:r>
        <w:rPr>
          <w:rFonts w:hint="eastAsia" w:ascii="仿宋_GB2312" w:hAnsi="仿宋_GB2312" w:eastAsia="仿宋_GB2312" w:cs="仿宋_GB2312"/>
          <w:spacing w:val="-12"/>
          <w:sz w:val="32"/>
          <w:szCs w:val="32"/>
        </w:rPr>
        <w:t>况；为申报人提供咨询服务、答复申报人的咨询；对文件的办理</w:t>
      </w:r>
      <w:r>
        <w:rPr>
          <w:rFonts w:hint="eastAsia" w:ascii="仿宋_GB2312" w:hAnsi="仿宋_GB2312" w:eastAsia="仿宋_GB2312" w:cs="仿宋_GB2312"/>
          <w:spacing w:val="-13"/>
          <w:sz w:val="32"/>
          <w:szCs w:val="32"/>
        </w:rPr>
        <w:t>时限负责；研究拟订环保部门行政审批事项的审批技术规范、监</w:t>
      </w:r>
      <w:r>
        <w:rPr>
          <w:rFonts w:hint="eastAsia" w:ascii="仿宋_GB2312" w:hAnsi="仿宋_GB2312" w:eastAsia="仿宋_GB2312" w:cs="仿宋_GB2312"/>
          <w:spacing w:val="-16"/>
          <w:sz w:val="32"/>
          <w:szCs w:val="32"/>
        </w:rPr>
        <w:t>管办法并组织实施、规范行政审批行为；协调处理本部门行政审批项目运行中有关问题，协调主管领导组织召开联合审批会议， 确保本部门相关工作高效、有序进行。</w:t>
      </w:r>
    </w:p>
    <w:p>
      <w:pPr>
        <w:pStyle w:val="3"/>
        <w:spacing w:before="163"/>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（三）污染控制科</w:t>
      </w:r>
    </w:p>
    <w:p>
      <w:pPr>
        <w:pStyle w:val="3"/>
        <w:spacing w:before="1" w:line="364" w:lineRule="auto"/>
        <w:ind w:left="1588" w:right="652" w:firstLine="638"/>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负责拟订全县有关环境污染防治专项政策和规范性文件并监督实施；负责全县大气、水体等环境保护监督管理及废气、废水噪声、振动、固体废物、有毒化学品、电磁辐射污染、光污染以及机动车污染防治工作；组织全县环境 目标责任制、排污申报登记、排污许可证、污染源限期治理与达 标排放的协调与管理；拟订并组织实施全县污染物排放总量控制、 排污费征收和环境监测计划；管理监测工作；对电磁辐射、伴有 放射性矿产资源开发利用中的污染防治工作实施统一监督管理； 组织编制环境功能区划；负责环境综合整治定量考核工作；组织 拟订和监督实施重点流域、区域污染防治规划；组织、参与调查处理环境污染事故和纠纷，负责重大环境污染事故和环境污染纠 纷情况通报及有关联络工作。</w:t>
      </w:r>
    </w:p>
    <w:p>
      <w:pPr>
        <w:pStyle w:val="3"/>
        <w:spacing w:before="162"/>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（四）生态管理科</w:t>
      </w:r>
    </w:p>
    <w:p>
      <w:pPr>
        <w:pStyle w:val="3"/>
        <w:spacing w:before="1" w:line="364" w:lineRule="auto"/>
        <w:ind w:left="1588" w:right="652" w:firstLine="638"/>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负责监督管理全县自然环境保护工作；监督实施自然生态环境保护、乡镇企业环境环保专项法规和政策；组织编制全县自然保护区规划和区划；拟订生物多样性 保护计划；拟订乡镇环境保护、企业污染防治规划；监督自然资 源开发活动中的环境保护；指导和监督生态破坏恢复整治、荒漠 化防治工作；管理生物技术环境安全；监督农村生态环境保护工 作；指导全县生态示范区建设和生态农业建设；监督管理农村规 模化畜禽养殖；负责农村环境综合整治工作。按规定设置机关党组织。</w:t>
      </w:r>
    </w:p>
    <w:p>
      <w:pPr>
        <w:pStyle w:val="3"/>
        <w:spacing w:before="1"/>
        <w:ind w:firstLine="1600" w:firstLineChars="500"/>
        <w:jc w:val="left"/>
        <w:rPr>
          <w:rFonts w:hint="eastAsia" w:ascii="仿宋_GB2312" w:hAnsi="仿宋_GB2312" w:eastAsia="仿宋_GB2312" w:cs="仿宋_GB2312"/>
          <w:sz w:val="32"/>
          <w:szCs w:val="32"/>
          <w:lang w:eastAsia="zh-CN"/>
        </w:rPr>
      </w:pPr>
      <w:r>
        <w:rPr>
          <w:rFonts w:hint="eastAsia" w:cs="仿宋_GB2312"/>
          <w:sz w:val="32"/>
          <w:szCs w:val="32"/>
          <w:lang w:eastAsia="zh-CN"/>
        </w:rPr>
        <w:t>三领导职务和编制</w:t>
      </w:r>
    </w:p>
    <w:p>
      <w:pPr>
        <w:pStyle w:val="3"/>
        <w:spacing w:before="1"/>
        <w:ind w:left="958" w:leftChars="456"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馆陶县环境保护局机关行政编制 6 名。其中：局长 1 名，副局长 2 名。股级领导职数 4 名。机关工勤人员编制 1 名。</w:t>
      </w:r>
    </w:p>
    <w:p>
      <w:pPr>
        <w:pStyle w:val="3"/>
        <w:spacing w:before="3"/>
        <w:jc w:val="left"/>
        <w:rPr>
          <w:rFonts w:hint="eastAsia" w:ascii="仿宋_GB2312" w:hAnsi="仿宋_GB2312" w:eastAsia="仿宋_GB2312" w:cs="仿宋_GB2312"/>
          <w:sz w:val="32"/>
          <w:szCs w:val="32"/>
        </w:rPr>
      </w:pPr>
    </w:p>
    <w:p>
      <w:pPr>
        <w:pStyle w:val="3"/>
        <w:spacing w:before="1" w:line="364" w:lineRule="auto"/>
        <w:ind w:left="1588" w:right="652" w:firstLine="638"/>
        <w:rPr>
          <w:rFonts w:hint="eastAsia" w:ascii="仿宋_GB2312" w:hAnsi="仿宋_GB2312" w:eastAsia="仿宋_GB2312" w:cs="仿宋_GB2312"/>
          <w:spacing w:val="-9"/>
          <w:sz w:val="32"/>
          <w:szCs w:val="32"/>
        </w:rPr>
      </w:pPr>
    </w:p>
    <w:p>
      <w:r>
        <w:rPr/>
        <w:br w:type="textWrapping" w:clear="all"/>
      </w:r>
    </w:p>
    <w:tbl>
      <w:tblPr>
        <w:tblStyle w:val="7"/>
        <w:tblpPr w:leftFromText="180" w:rightFromText="180" w:vertAnchor="text" w:horzAnchor="page" w:tblpX="1112" w:tblpY="638"/>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42" w:hRule="atLeast"/>
        </w:trPr>
        <w:tc>
          <w:tcPr>
            <w:tcW w:w="4417"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邯郸市生态环境局馆陶县分局</w:t>
            </w:r>
          </w:p>
        </w:tc>
        <w:tc>
          <w:tcPr>
            <w:tcW w:w="1134"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行政</w:t>
            </w:r>
          </w:p>
        </w:tc>
        <w:tc>
          <w:tcPr>
            <w:tcW w:w="1276"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正科级</w:t>
            </w: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财政拨款</w:t>
            </w:r>
          </w:p>
        </w:tc>
      </w:tr>
    </w:tbl>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p>
      <w:pPr>
        <w:pStyle w:val="3"/>
        <w:spacing w:before="1" w:line="364" w:lineRule="auto"/>
        <w:ind w:left="1588" w:right="652" w:firstLine="638"/>
        <w:rPr>
          <w:rFonts w:hint="eastAsia" w:ascii="仿宋_GB2312" w:hAnsi="仿宋_GB2312" w:eastAsia="仿宋_GB2312" w:cs="仿宋_GB2312"/>
          <w:spacing w:val="-9"/>
          <w:sz w:val="32"/>
          <w:szCs w:val="32"/>
        </w:rPr>
        <w:sectPr>
          <w:pgSz w:w="11910" w:h="16840"/>
          <w:pgMar w:top="1580" w:right="500" w:bottom="280" w:left="0" w:header="720" w:footer="720" w:gutter="0"/>
        </w:sectPr>
      </w:pPr>
    </w:p>
    <w:p>
      <w:pPr>
        <w:widowControl/>
        <w:spacing w:after="160" w:line="580" w:lineRule="exact"/>
        <w:ind w:firstLine="1440" w:firstLineChars="200"/>
        <w:rPr>
          <w:rFonts w:ascii="Times New Roman" w:hAnsi="Times New Roman" w:eastAsia="黑体" w:cs="Times New Roman"/>
          <w:sz w:val="32"/>
          <w:szCs w:val="32"/>
        </w:rPr>
        <w:sectPr>
          <w:footerReference r:id="rId17" w:type="first"/>
          <w:headerReference r:id="rId15" w:type="default"/>
          <w:footerReference r:id="rId16" w:type="default"/>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9612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9612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710464" behindDoc="0" locked="0" layoutInCell="1" allowOverlap="1">
                <wp:simplePos x="0" y="0"/>
                <wp:positionH relativeFrom="column">
                  <wp:posOffset>-1153160</wp:posOffset>
                </wp:positionH>
                <wp:positionV relativeFrom="paragraph">
                  <wp:posOffset>55245</wp:posOffset>
                </wp:positionV>
                <wp:extent cx="7793355" cy="3341370"/>
                <wp:effectExtent l="4445" t="4445" r="508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710464;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32"/>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numPr>
          <w:ilvl w:val="0"/>
          <w:numId w:val="3"/>
        </w:numPr>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pStyle w:val="3"/>
        <w:spacing w:before="170" w:line="338" w:lineRule="auto"/>
        <w:ind w:right="814" w:firstLine="640" w:firstLineChars="200"/>
        <w:rPr>
          <w:rFonts w:hint="eastAsia" w:ascii="仿宋_GB2312" w:hAnsi="仿宋_GB2312" w:eastAsia="仿宋_GB2312" w:cs="仿宋_GB2312"/>
          <w:sz w:val="32"/>
          <w:szCs w:val="32"/>
        </w:rPr>
      </w:pPr>
      <w:r>
        <w:rPr>
          <w:rFonts w:hint="eastAsia" w:ascii="黑体" w:hAnsi="Calibri" w:eastAsia="黑体" w:cs="Times New Roman"/>
          <w:sz w:val="32"/>
          <w:szCs w:val="32"/>
          <w:lang w:val="en-US" w:eastAsia="zh-CN"/>
        </w:rPr>
        <w:t xml:space="preserve">  </w:t>
      </w:r>
      <w:r>
        <w:rPr>
          <w:spacing w:val="-21"/>
        </w:rPr>
        <w:t xml:space="preserve">本部门 </w:t>
      </w:r>
      <w:r>
        <w:t>201</w:t>
      </w:r>
      <w:r>
        <w:rPr>
          <w:rFonts w:hint="eastAsia"/>
          <w:lang w:val="en-US" w:eastAsia="zh-CN"/>
        </w:rPr>
        <w:t>9</w:t>
      </w:r>
      <w:r>
        <w:rPr>
          <w:spacing w:val="-16"/>
        </w:rPr>
        <w:t>年度收支总计</w:t>
      </w:r>
      <w:r>
        <w:t>（含结转和结余</w:t>
      </w:r>
      <w:r>
        <w:rPr>
          <w:spacing w:val="-3"/>
        </w:rPr>
        <w:t>）</w:t>
      </w:r>
      <w:r>
        <w:rPr>
          <w:rFonts w:hint="eastAsia"/>
          <w:spacing w:val="-3"/>
          <w:lang w:val="en-US" w:eastAsia="zh-CN"/>
        </w:rPr>
        <w:t>2742.65</w:t>
      </w:r>
      <w:r>
        <w:rPr>
          <w:spacing w:val="-21"/>
        </w:rPr>
        <w:t xml:space="preserve"> 万元。</w:t>
      </w:r>
      <w:r>
        <w:rPr>
          <w:spacing w:val="-53"/>
        </w:rPr>
        <w:t xml:space="preserve">与 </w:t>
      </w:r>
      <w:r>
        <w:t>201</w:t>
      </w:r>
      <w:r>
        <w:rPr>
          <w:rFonts w:hint="eastAsia"/>
          <w:lang w:val="en-US" w:eastAsia="zh-CN"/>
        </w:rPr>
        <w:t>8</w:t>
      </w:r>
      <w:r>
        <w:rPr>
          <w:spacing w:val="-16"/>
        </w:rPr>
        <w:t>年度决算相比，</w:t>
      </w:r>
      <w:r>
        <w:rPr>
          <w:rFonts w:hint="eastAsia"/>
          <w:spacing w:val="-16"/>
          <w:lang w:val="en-US" w:eastAsia="zh-CN"/>
        </w:rPr>
        <w:t>收支增加212.65</w:t>
      </w:r>
      <w:r>
        <w:rPr>
          <w:spacing w:val="-25"/>
        </w:rPr>
        <w:t xml:space="preserve"> 万元，增长 </w:t>
      </w:r>
      <w:r>
        <w:rPr>
          <w:rFonts w:hint="eastAsia"/>
          <w:lang w:val="en-US" w:eastAsia="zh-CN"/>
        </w:rPr>
        <w:t>8.38</w:t>
      </w:r>
      <w:r>
        <w:t>%，</w:t>
      </w:r>
      <w:r>
        <w:rPr>
          <w:spacing w:val="-12"/>
        </w:rPr>
        <w:t xml:space="preserve">主要原因是 </w:t>
      </w:r>
      <w:r>
        <w:t>201</w:t>
      </w:r>
      <w:r>
        <w:rPr>
          <w:rFonts w:hint="eastAsia"/>
          <w:lang w:val="en-US" w:eastAsia="zh-CN"/>
        </w:rPr>
        <w:t>9</w:t>
      </w:r>
      <w:r>
        <w:rPr>
          <w:spacing w:val="-9"/>
        </w:rPr>
        <w:t xml:space="preserve"> 年由于省、市、县安排的项目专项资金较多，</w:t>
      </w:r>
      <w:r>
        <w:rPr>
          <w:rFonts w:hint="eastAsia" w:ascii="仿宋_GB2312" w:hAnsi="仿宋_GB2312" w:eastAsia="仿宋_GB2312" w:cs="仿宋_GB2312"/>
          <w:sz w:val="32"/>
          <w:szCs w:val="32"/>
        </w:rPr>
        <w:t>故 2018 年较 2017 年收支资金增加</w:t>
      </w:r>
    </w:p>
    <w:p>
      <w:pPr>
        <w:keepNext/>
        <w:keepLines/>
        <w:numPr>
          <w:ilvl w:val="0"/>
          <w:numId w:val="3"/>
        </w:numPr>
        <w:snapToGrid w:val="0"/>
        <w:spacing w:line="580" w:lineRule="exact"/>
        <w:ind w:left="0" w:leftChars="0"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收入决算情况说明</w:t>
      </w:r>
    </w:p>
    <w:p>
      <w:pPr>
        <w:keepNext/>
        <w:keepLines/>
        <w:numPr>
          <w:ilvl w:val="0"/>
          <w:numId w:val="0"/>
        </w:numPr>
        <w:snapToGrid w:val="0"/>
        <w:spacing w:line="580" w:lineRule="exact"/>
        <w:ind w:leftChars="200"/>
        <w:outlineLvl w:val="1"/>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 xml:space="preserve"> </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1746.81</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1746.81</w:t>
      </w:r>
      <w:r>
        <w:rPr>
          <w:rFonts w:hint="eastAsia" w:ascii="仿宋_GB2312" w:hAnsi="Times New Roman" w:eastAsia="仿宋_GB2312" w:cs="DengXian-Regular"/>
          <w:sz w:val="32"/>
          <w:szCs w:val="32"/>
        </w:rPr>
        <w:t>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2282.62</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万元；项目支出</w:t>
      </w:r>
      <w:r>
        <w:rPr>
          <w:rFonts w:hint="eastAsia" w:ascii="仿宋_GB2312" w:hAnsi="Times New Roman" w:eastAsia="仿宋_GB2312" w:cs="DengXian-Regular"/>
          <w:sz w:val="32"/>
          <w:szCs w:val="32"/>
          <w:lang w:val="en-US" w:eastAsia="zh-CN"/>
        </w:rPr>
        <w:t>2282.62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%；经营支出0万元，占0%。</w:t>
      </w:r>
    </w:p>
    <w:p>
      <w:pPr>
        <w:adjustRightInd w:val="0"/>
        <w:snapToGrid w:val="0"/>
        <w:spacing w:line="580" w:lineRule="exact"/>
        <w:ind w:firstLine="1280" w:firstLineChars="400"/>
        <w:rPr>
          <w:rFonts w:ascii="黑体" w:hAnsi="Calibri" w:eastAsia="黑体" w:cs="Times New Roman"/>
          <w:sz w:val="32"/>
          <w:szCs w:val="32"/>
        </w:rPr>
      </w:pPr>
      <w:r>
        <w:rPr>
          <w:rFonts w:ascii="仿宋_GB2312" w:hAnsi="Times New Roman" w:eastAsia="仿宋_GB2312" w:cs="DengXian-Regular"/>
          <w:sz w:val="32"/>
          <w:szCs w:val="32"/>
        </w:rPr>
        <mc:AlternateContent>
          <mc:Choice Requires="wps">
            <w:drawing>
              <wp:anchor distT="0" distB="0" distL="114300" distR="114300" simplePos="0" relativeHeight="251705344" behindDoc="1" locked="0" layoutInCell="1" allowOverlap="1">
                <wp:simplePos x="0" y="0"/>
                <wp:positionH relativeFrom="column">
                  <wp:posOffset>941070</wp:posOffset>
                </wp:positionH>
                <wp:positionV relativeFrom="paragraph">
                  <wp:posOffset>1330960</wp:posOffset>
                </wp:positionV>
                <wp:extent cx="3314065" cy="483235"/>
                <wp:effectExtent l="0" t="0" r="8255" b="4445"/>
                <wp:wrapNone/>
                <wp:docPr id="39" name="文本框 39"/>
                <wp:cNvGraphicFramePr/>
                <a:graphic xmlns:a="http://schemas.openxmlformats.org/drawingml/2006/main">
                  <a:graphicData uri="http://schemas.microsoft.com/office/word/2010/wordprocessingShape">
                    <wps:wsp>
                      <wps:cNvSpPr txBox="1"/>
                      <wps:spPr>
                        <a:xfrm>
                          <a:off x="0" y="0"/>
                          <a:ext cx="3314323" cy="483249"/>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both"/>
                              <w:rPr>
                                <w:rFonts w:ascii="仿宋_GB2312" w:hAnsi="Times New Roman" w:eastAsia="仿宋_GB2312" w:cs="DengXian-Regular"/>
                                <w:sz w:val="28"/>
                                <w:szCs w:val="28"/>
                              </w:rPr>
                            </w:pPr>
                          </w:p>
                          <w:p>
                            <w:pPr>
                              <w:adjustRightInd w:val="0"/>
                              <w:snapToGrid w:val="0"/>
                              <w:spacing w:after="160" w:line="560" w:lineRule="exact"/>
                              <w:jc w:val="both"/>
                              <w:rPr>
                                <w:rFonts w:ascii="仿宋_GB2312" w:hAnsi="Times New Roman" w:eastAsia="仿宋_GB2312" w:cs="DengXian-Regular"/>
                                <w:sz w:val="28"/>
                                <w:szCs w:val="28"/>
                              </w:rPr>
                            </w:pP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1pt;margin-top:104.8pt;height:38.05pt;width:260.95pt;z-index:-251611136;mso-width-relative:page;mso-height-relative:page;" fillcolor="#FFFFFF" filled="t" stroked="f" coordsize="21600,21600" o:gfxdata="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2L8vbWAAAACwEAAA8AAAAAAAAAAQAgAAAAIgAAAGRycy9k&#10;b3ducmV2LnhtbFBLAQIUABQAAAAIAIdO4kAep0xgPQIAAFEEAAAOAAAAAAAAAAEAIAAAACUBAABk&#10;cnMvZTJvRG9jLnhtbFBLBQYAAAAABgAGAFkBAADUBQAAAAA=&#10;">
                <v:fill on="t" focussize="0,0"/>
                <v:stroke on="f" weight="0.5pt"/>
                <v:imagedata o:title=""/>
                <o:lock v:ext="edit" aspectratio="f"/>
                <v:textbox>
                  <w:txbxContent>
                    <w:p>
                      <w:pPr>
                        <w:adjustRightInd w:val="0"/>
                        <w:snapToGrid w:val="0"/>
                        <w:spacing w:after="160" w:line="560" w:lineRule="exact"/>
                        <w:jc w:val="both"/>
                        <w:rPr>
                          <w:rFonts w:ascii="仿宋_GB2312" w:hAnsi="Times New Roman" w:eastAsia="仿宋_GB2312" w:cs="DengXian-Regular"/>
                          <w:sz w:val="28"/>
                          <w:szCs w:val="28"/>
                        </w:rPr>
                      </w:pPr>
                    </w:p>
                    <w:p>
                      <w:pPr>
                        <w:adjustRightInd w:val="0"/>
                        <w:snapToGrid w:val="0"/>
                        <w:spacing w:after="160" w:line="560" w:lineRule="exact"/>
                        <w:jc w:val="both"/>
                        <w:rPr>
                          <w:rFonts w:ascii="仿宋_GB2312" w:hAnsi="Times New Roman" w:eastAsia="仿宋_GB2312" w:cs="DengXian-Regular"/>
                          <w:sz w:val="28"/>
                          <w:szCs w:val="28"/>
                        </w:rPr>
                      </w:pPr>
                    </w:p>
                    <w:p>
                      <w:pPr>
                        <w:spacing w:after="160" w:line="480" w:lineRule="auto"/>
                        <w:rPr>
                          <w:rFonts w:ascii="Times New Roman" w:hAnsi="Times New Roman" w:eastAsia="宋体" w:cs="Times New Roman"/>
                          <w:sz w:val="20"/>
                        </w:rPr>
                      </w:pPr>
                    </w:p>
                  </w:txbxContent>
                </v:textbox>
              </v:shape>
            </w:pict>
          </mc:Fallback>
        </mc:AlternateContent>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hint="eastAsia" w:ascii="仿宋_GB2312" w:hAnsi="Times New Roman" w:eastAsia="仿宋_GB2312" w:cs="DengXian-Regular"/>
          <w:sz w:val="32"/>
          <w:szCs w:val="32"/>
          <w:lang w:val="en-US" w:eastAsia="zh-CN"/>
        </w:rPr>
        <w:t>1746.81</w:t>
      </w:r>
      <w:r>
        <w:rPr>
          <w:rFonts w:hint="eastAsia" w:ascii="仿宋_GB2312" w:hAnsi="Times New Roman" w:eastAsia="仿宋_GB2312" w:cs="DengXian-Regular"/>
          <w:sz w:val="32"/>
          <w:szCs w:val="32"/>
        </w:rPr>
        <w:t>万元,比2018年度</w:t>
      </w:r>
      <w:r>
        <w:rPr>
          <w:rFonts w:hint="eastAsia" w:ascii="仿宋_GB2312" w:hAnsi="Times New Roman" w:eastAsia="仿宋_GB2312" w:cs="DengXian-Regular"/>
          <w:sz w:val="32"/>
          <w:szCs w:val="32"/>
          <w:lang w:val="en-US" w:eastAsia="zh-CN"/>
        </w:rPr>
        <w:t>减少750.55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减少30.05</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主要是人员和公用经费上划</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2282.64</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748.42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48.78</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主要是环保大气项目增多</w:t>
      </w:r>
      <w:r>
        <w:rPr>
          <w:rFonts w:hint="eastAsia" w:ascii="仿宋_GB2312" w:hAnsi="Times New Roman" w:eastAsia="仿宋_GB2312" w:cs="DengXian-Regular"/>
          <w:sz w:val="32"/>
          <w:szCs w:val="32"/>
        </w:rPr>
        <w:t>。具体情况如下：</w:t>
      </w:r>
    </w:p>
    <w:p>
      <w:pPr>
        <w:numPr>
          <w:ilvl w:val="0"/>
          <w:numId w:val="4"/>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hint="eastAsia" w:ascii="仿宋_GB2312" w:hAnsi="Times New Roman" w:eastAsia="仿宋_GB2312" w:cs="DengXian-Regular"/>
          <w:sz w:val="32"/>
          <w:szCs w:val="32"/>
          <w:lang w:val="en-US" w:eastAsia="zh-CN"/>
        </w:rPr>
        <w:t>1317.86</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1093.5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45.35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人员和公用经费上划</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2282.64</w:t>
      </w:r>
      <w:r>
        <w:rPr>
          <w:rFonts w:hint="eastAsia" w:ascii="仿宋_GB2312" w:hAnsi="Times New Roman" w:eastAsia="仿宋_GB2312" w:cs="DengXian-Regular"/>
          <w:sz w:val="32"/>
          <w:szCs w:val="32"/>
        </w:rPr>
        <w:t>万元，比上年</w:t>
      </w:r>
      <w:r>
        <w:rPr>
          <w:rFonts w:hint="eastAsia" w:ascii="仿宋_GB2312" w:hAnsi="Times New Roman" w:eastAsia="仿宋_GB2312" w:cs="DengXian-Regular"/>
          <w:sz w:val="32"/>
          <w:szCs w:val="32"/>
          <w:lang w:val="en-US" w:eastAsia="zh-CN"/>
        </w:rPr>
        <w:t>增加849.42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增长59.27</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主要是环保大气项目增多</w:t>
      </w:r>
      <w:r>
        <w:rPr>
          <w:rFonts w:hint="eastAsia" w:ascii="仿宋_GB2312" w:hAnsi="Times New Roman" w:eastAsia="仿宋_GB2312" w:cs="DengXian-Regular"/>
          <w:sz w:val="32"/>
          <w:szCs w:val="32"/>
        </w:rPr>
        <w:t>。</w:t>
      </w:r>
    </w:p>
    <w:p>
      <w:pPr>
        <w:numPr>
          <w:ilvl w:val="0"/>
          <w:numId w:val="4"/>
        </w:num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428.95</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342.95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398</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主要是环保大气项目增多</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w:t>
      </w:r>
      <w:r>
        <w:rPr>
          <w:rFonts w:hint="eastAsia" w:ascii="仿宋_GB2312" w:hAnsi="Times New Roman" w:eastAsia="仿宋_GB2312" w:cs="DengXian-Regular"/>
          <w:sz w:val="32"/>
          <w:szCs w:val="32"/>
          <w:lang w:val="en-US" w:eastAsia="zh-CN"/>
        </w:rPr>
        <w:t>减少101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减少100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主要为环境监测设备减少。</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hint="eastAsia" w:ascii="仿宋_GB2312" w:hAnsi="Times New Roman" w:eastAsia="仿宋_GB2312" w:cs="DengXian-Regular"/>
          <w:sz w:val="32"/>
          <w:szCs w:val="32"/>
          <w:lang w:val="en-US" w:eastAsia="zh-CN"/>
        </w:rPr>
        <w:t>1746.81</w:t>
      </w:r>
      <w:r>
        <w:rPr>
          <w:rFonts w:hint="eastAsia" w:ascii="仿宋_GB2312" w:hAnsi="Times New Roman" w:eastAsia="仿宋_GB2312" w:cs="DengXian-Regular"/>
          <w:sz w:val="32"/>
          <w:szCs w:val="32"/>
        </w:rPr>
        <w:t>万元，完成年初预算的100%,</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2282.64</w:t>
      </w:r>
      <w:r>
        <w:rPr>
          <w:rFonts w:hint="eastAsia" w:ascii="仿宋_GB2312" w:hAnsi="Times New Roman" w:eastAsia="仿宋_GB2312" w:cs="DengXian-Regular"/>
          <w:sz w:val="32"/>
          <w:szCs w:val="32"/>
        </w:rPr>
        <w:t>万元，完成年初预算的100%,</w:t>
      </w:r>
      <w:r>
        <w:rPr>
          <w:rFonts w:hint="eastAsia" w:ascii="仿宋_GB2312" w:hAnsi="Times New Roman" w:eastAsia="仿宋_GB2312" w:cs="DengXian-Regular"/>
          <w:sz w:val="32"/>
          <w:szCs w:val="32"/>
          <w:lang w:val="en-US" w:eastAsia="zh-CN"/>
        </w:rPr>
        <w:t>与年初预算数持平</w:t>
      </w:r>
      <w:r>
        <w:rPr>
          <w:rFonts w:hint="eastAsia" w:ascii="仿宋_GB2312" w:hAnsi="Times New Roman" w:eastAsia="仿宋_GB2312" w:cs="DengXian-Regular"/>
          <w:sz w:val="32"/>
          <w:szCs w:val="32"/>
        </w:rPr>
        <w:t>。具体情况如下：</w:t>
      </w:r>
    </w:p>
    <w:p>
      <w:pPr>
        <w:numPr>
          <w:ilvl w:val="0"/>
          <w:numId w:val="5"/>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hint="eastAsia" w:ascii="仿宋_GB2312" w:hAnsi="Times New Roman" w:eastAsia="仿宋_GB2312" w:cs="DengXian-Regular"/>
          <w:sz w:val="32"/>
          <w:szCs w:val="32"/>
          <w:lang w:val="en-US" w:eastAsia="zh-CN"/>
        </w:rPr>
        <w:t>1317.86</w:t>
      </w:r>
      <w:r>
        <w:rPr>
          <w:rFonts w:hint="eastAsia" w:ascii="仿宋_GB2312" w:hAnsi="Times New Roman" w:eastAsia="仿宋_GB2312" w:cs="DengXian-Regular"/>
          <w:sz w:val="32"/>
          <w:szCs w:val="32"/>
        </w:rPr>
        <w:t>万元，完成年初预算100%，</w:t>
      </w:r>
      <w:r>
        <w:rPr>
          <w:rFonts w:hint="eastAsia" w:ascii="仿宋_GB2312" w:hAnsi="Times New Roman" w:eastAsia="仿宋_GB2312" w:cs="DengXian-Regular"/>
          <w:sz w:val="32"/>
          <w:szCs w:val="32"/>
          <w:lang w:val="en-US" w:eastAsia="zh-CN"/>
        </w:rPr>
        <w:t>与年初预算持平，主要是严格执行预算。</w:t>
      </w:r>
    </w:p>
    <w:p>
      <w:pPr>
        <w:numPr>
          <w:ilvl w:val="0"/>
          <w:numId w:val="5"/>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428.95</w:t>
      </w:r>
      <w:r>
        <w:rPr>
          <w:rFonts w:hint="eastAsia" w:ascii="仿宋_GB2312" w:hAnsi="Times New Roman" w:eastAsia="仿宋_GB2312" w:cs="DengXian-Regular"/>
          <w:sz w:val="32"/>
          <w:szCs w:val="32"/>
        </w:rPr>
        <w:t>万元，完成年初预算100%</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与年初预算数持平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主要是严格执行预算。</w:t>
      </w:r>
    </w:p>
    <w:p>
      <w:pPr>
        <w:numPr>
          <w:ilvl w:val="0"/>
          <w:numId w:val="0"/>
        </w:num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lang w:val="en-US" w:eastAsia="zh-CN"/>
        </w:rPr>
        <w:t>四、</w:t>
      </w: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2282.64</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val="en-US" w:eastAsia="zh-CN"/>
        </w:rPr>
        <w:t>节能环保支出2282.64万元</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占100%。</w:t>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mc:AlternateContent>
          <mc:Choice Requires="wps">
            <w:drawing>
              <wp:anchor distT="0" distB="0" distL="114300" distR="114300" simplePos="0" relativeHeight="251709440" behindDoc="1" locked="0" layoutInCell="1" allowOverlap="1">
                <wp:simplePos x="0" y="0"/>
                <wp:positionH relativeFrom="column">
                  <wp:posOffset>986155</wp:posOffset>
                </wp:positionH>
                <wp:positionV relativeFrom="paragraph">
                  <wp:posOffset>186055</wp:posOffset>
                </wp:positionV>
                <wp:extent cx="3576320" cy="391795"/>
                <wp:effectExtent l="0" t="0" r="5080" b="4445"/>
                <wp:wrapNone/>
                <wp:docPr id="164" name="文本框 32"/>
                <wp:cNvGraphicFramePr/>
                <a:graphic xmlns:a="http://schemas.openxmlformats.org/drawingml/2006/main">
                  <a:graphicData uri="http://schemas.microsoft.com/office/word/2010/wordprocessingShape">
                    <wps:wsp>
                      <wps:cNvSpPr txBox="1"/>
                      <wps:spPr>
                        <a:xfrm>
                          <a:off x="0" y="0"/>
                          <a:ext cx="3576320" cy="392103"/>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7.65pt;margin-top:14.65pt;height:30.85pt;width:281.6pt;z-index:-251607040;mso-width-relative:page;mso-height-relative:page;" fillcolor="#FFFFFF" filled="t" stroked="f" coordsize="21600,21600" o:gfxdata="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VrH4tQAAAAJAQAADwAAAAAAAAABACAAAAAiAAAAZHJzL2Rvd25y&#10;ZXYueG1sUEsBAhQAFAAAAAgAh07iQIaRICM7AgAAUgQAAA4AAAAAAAAAAQAgAAAAIwEAAGRycy9l&#10;Mm9Eb2MueG1sUEsFBgAAAAAGAAYAWQEAANAFAAAAAA==&#10;">
                <v:fill on="t" focussize="0,0"/>
                <v:stroke on="f" weight="0.5pt"/>
                <v:imagedata o:title=""/>
                <o:lock v:ext="edit" aspectratio="f"/>
                <v:textbox>
                  <w:txbxContent>
                    <w:p>
                      <w:pPr>
                        <w:spacing w:after="160" w:line="480" w:lineRule="auto"/>
                        <w:rPr>
                          <w:rFonts w:ascii="Times New Roman" w:hAnsi="Times New Roman" w:eastAsia="宋体" w:cs="Times New Roman"/>
                          <w:sz w:val="20"/>
                        </w:rPr>
                      </w:pPr>
                    </w:p>
                  </w:txbxContent>
                </v:textbox>
              </v:shape>
            </w:pict>
          </mc:Fallback>
        </mc:AlternateContent>
      </w: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主要原因为我单位2019年人员和公用经费上划</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年度公务用车购置量x辆，发生“公务用车购置”经费支出0万元。公务用车购置费支出较预算持平,主要是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6"/>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keepNext w:val="0"/>
        <w:keepLines w:val="0"/>
        <w:widowControl/>
        <w:suppressLineNumbers w:val="0"/>
        <w:jc w:val="left"/>
      </w:pPr>
      <w:r>
        <w:rPr>
          <w:rFonts w:hint="eastAsia" w:ascii="Times New Roman" w:hAnsi="Times New Roman" w:eastAsia="仿宋_GB2312" w:cs="Times New Roman"/>
          <w:sz w:val="32"/>
          <w:szCs w:val="32"/>
          <w:lang w:eastAsia="zh-CN"/>
        </w:rPr>
        <w:t>根据预算绩效管理要求，本部门组织对</w:t>
      </w:r>
      <w:r>
        <w:rPr>
          <w:rFonts w:hint="eastAsia" w:ascii="Times New Roman" w:hAnsi="Times New Roman" w:eastAsia="仿宋_GB2312" w:cs="Times New Roman"/>
          <w:sz w:val="32"/>
          <w:szCs w:val="32"/>
          <w:lang w:val="en-US" w:eastAsia="zh-CN"/>
        </w:rPr>
        <w:t>2019年度一般公共预算项目支出全面开展绩效自评，其中，一级项目2个，涉及资金</w:t>
      </w:r>
      <w:r>
        <w:rPr>
          <w:rFonts w:hint="eastAsia" w:ascii="仿宋_GB2312" w:hAnsi="仿宋_GB2312" w:eastAsia="仿宋_GB2312" w:cs="仿宋_GB2312"/>
          <w:b w:val="0"/>
          <w:bCs w:val="0"/>
          <w:kern w:val="2"/>
          <w:sz w:val="32"/>
          <w:szCs w:val="32"/>
          <w:lang w:val="en-US" w:eastAsia="zh-CN" w:bidi="ar-SA"/>
        </w:rPr>
        <w:t>根据预算绩效管理要求，。我单位无政府性基金预算项目支出开展绩效自评。</w:t>
      </w:r>
      <w:r>
        <w:rPr>
          <w:rFonts w:ascii="仿宋" w:hAnsi="仿宋" w:eastAsia="仿宋" w:cs="仿宋"/>
          <w:color w:val="000000"/>
          <w:kern w:val="0"/>
          <w:sz w:val="31"/>
          <w:szCs w:val="31"/>
          <w:lang w:val="en-US" w:eastAsia="zh-CN" w:bidi="ar"/>
        </w:rPr>
        <w:t xml:space="preserve">从评价情况来看，达到 </w:t>
      </w:r>
      <w:r>
        <w:rPr>
          <w:rFonts w:hint="eastAsia" w:ascii="仿宋" w:hAnsi="仿宋" w:eastAsia="仿宋" w:cs="仿宋"/>
          <w:color w:val="000000"/>
          <w:kern w:val="0"/>
          <w:sz w:val="31"/>
          <w:szCs w:val="31"/>
          <w:lang w:val="en-US" w:eastAsia="zh-CN" w:bidi="ar"/>
        </w:rPr>
        <w:t xml:space="preserve">了年初设定的绩效目标。 一是前期准备。根据评价工作，成立了绩效评价工作组，完 施。评价工作组对各部门提交的资料进行汇总分析，细化了绩效 评价指标体系。对照指标体系进行逐一审核，进行初步评价；三 是分析评价。召开评价工作会议。根据项目情况和评价组各成员 意见，结合指标体系对项目决策、管理、产出及效果情况进行了 综合分析，撰写绩效评价报告。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本部门在今年部门决算公开中反映财政投资评审项目及 国有资产清查项目等3个项目绩效自评结果。</w:t>
      </w:r>
    </w:p>
    <w:p>
      <w:pPr>
        <w:keepNext w:val="0"/>
        <w:keepLines w:val="0"/>
        <w:widowControl/>
        <w:suppressLineNumbers w:val="0"/>
        <w:jc w:val="left"/>
      </w:pPr>
      <w:r>
        <w:rPr>
          <w:rFonts w:hint="eastAsia" w:ascii="仿宋_GB2312" w:hAnsi="仿宋_GB2312" w:eastAsia="仿宋_GB2312" w:cs="仿宋_GB2312"/>
          <w:b w:val="0"/>
          <w:bCs w:val="0"/>
          <w:kern w:val="2"/>
          <w:sz w:val="32"/>
          <w:szCs w:val="32"/>
          <w:lang w:val="en-US" w:eastAsia="zh-CN" w:bidi="ar-SA"/>
        </w:rPr>
        <w:t>财政投资评审项目自评综述：根据年初设定的绩效目标，项目绩效自评得分为96分（绩效自评表附后）。全年预算数为50万元，执行数为50万元，完成预算的100%。项目绩效目标完成情况：</w:t>
      </w:r>
      <w:r>
        <w:rPr>
          <w:rFonts w:ascii="仿宋" w:hAnsi="仿宋" w:eastAsia="仿宋" w:cs="仿宋"/>
          <w:color w:val="000000"/>
          <w:kern w:val="0"/>
          <w:sz w:val="31"/>
          <w:szCs w:val="31"/>
          <w:lang w:val="en-US" w:eastAsia="zh-CN" w:bidi="ar"/>
        </w:rPr>
        <w:t>项目绩效目标完成情况 ：完善了</w:t>
      </w:r>
      <w:r>
        <w:rPr>
          <w:rFonts w:hint="eastAsia" w:ascii="仿宋" w:hAnsi="仿宋" w:eastAsia="仿宋" w:cs="仿宋"/>
          <w:color w:val="000000"/>
          <w:kern w:val="0"/>
          <w:sz w:val="31"/>
          <w:szCs w:val="31"/>
          <w:lang w:val="en-US" w:eastAsia="zh-CN" w:bidi="ar"/>
        </w:rPr>
        <w:t xml:space="preserve">投资评审的作用。发现的主要问题及原因：未对参会人员满意度进行调查。 </w:t>
      </w:r>
    </w:p>
    <w:p>
      <w:pPr>
        <w:keepNext w:val="0"/>
        <w:keepLines w:val="0"/>
        <w:widowControl/>
        <w:suppressLineNumbers w:val="0"/>
        <w:jc w:val="left"/>
        <w:rPr>
          <w:rFonts w:hint="eastAsia" w:ascii="仿宋_GB2312" w:hAnsi="仿宋_GB2312" w:eastAsia="仿宋_GB2312" w:cs="仿宋_GB2312"/>
          <w:b/>
          <w:bCs/>
          <w:sz w:val="32"/>
          <w:szCs w:val="32"/>
        </w:rPr>
      </w:pPr>
      <w:r>
        <w:rPr>
          <w:rFonts w:hint="eastAsia" w:ascii="仿宋" w:hAnsi="仿宋" w:eastAsia="仿宋" w:cs="仿宋"/>
          <w:color w:val="000000"/>
          <w:kern w:val="0"/>
          <w:sz w:val="31"/>
          <w:szCs w:val="31"/>
          <w:lang w:val="en-US" w:eastAsia="zh-CN" w:bidi="ar"/>
        </w:rPr>
        <w:t>建议：调整优化会议满意度调查的形式。</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财政评价项目绩效评价结果</w:t>
      </w:r>
      <w:r>
        <w:rPr>
          <w:rFonts w:hint="eastAsia" w:ascii="仿宋_GB2312" w:hAnsi="仿宋_GB2312" w:eastAsia="仿宋_GB2312" w:cs="仿宋_GB2312"/>
          <w:b/>
          <w:bCs/>
          <w:sz w:val="32"/>
          <w:szCs w:val="32"/>
        </w:rPr>
        <w:t>。</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无财政评价项目。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由于垂直上划原因我单位机关运行经费在市局列支，故机关运行经费为0万元</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截至2019年12月31日，本部门共有车辆0辆，与上年一致。</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widowControl/>
        <w:spacing w:after="160" w:line="580" w:lineRule="exact"/>
        <w:ind w:firstLine="640" w:firstLineChars="200"/>
        <w:rPr>
          <w:rFonts w:hint="eastAsia" w:ascii="仿宋_GB2312" w:hAnsi="Times New Roman" w:eastAsia="仿宋_GB2312" w:cs="DengXian-Regular"/>
          <w:sz w:val="32"/>
          <w:szCs w:val="32"/>
        </w:rPr>
      </w:pPr>
      <w:bookmarkStart w:id="0" w:name="_GoBack"/>
      <w:bookmarkEnd w:id="0"/>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keepNext w:val="0"/>
        <w:keepLines w:val="0"/>
        <w:widowControl/>
        <w:suppressLineNumbers w:val="0"/>
        <w:ind w:firstLine="620" w:firstLineChars="200"/>
        <w:jc w:val="left"/>
        <w:rPr>
          <w:rFonts w:hint="eastAsia" w:ascii="仿宋_GB2312" w:hAnsi="仿宋_GB2312" w:eastAsia="仿宋_GB2312" w:cs="仿宋_GB2312"/>
          <w:b w:val="0"/>
          <w:bCs w:val="0"/>
        </w:rPr>
      </w:pPr>
      <w:r>
        <w:rPr>
          <w:rFonts w:ascii="仿宋" w:hAnsi="仿宋" w:eastAsia="仿宋" w:cs="仿宋"/>
          <w:color w:val="000000"/>
          <w:kern w:val="0"/>
          <w:sz w:val="31"/>
          <w:szCs w:val="31"/>
          <w:lang w:val="en-US" w:eastAsia="zh-CN" w:bidi="ar"/>
        </w:rPr>
        <w:t>1</w:t>
      </w:r>
      <w:r>
        <w:rPr>
          <w:rFonts w:hint="eastAsia" w:ascii="仿宋_GB2312" w:hAnsi="仿宋_GB2312" w:eastAsia="仿宋_GB2312" w:cs="仿宋_GB2312"/>
          <w:b w:val="0"/>
          <w:bCs w:val="0"/>
          <w:color w:val="000000"/>
          <w:kern w:val="0"/>
          <w:sz w:val="31"/>
          <w:szCs w:val="31"/>
          <w:lang w:val="en-US" w:eastAsia="zh-CN" w:bidi="ar"/>
        </w:rPr>
        <w:t>、本部门 2019 年度无国有资本经营预算、无</w:t>
      </w:r>
      <w:r>
        <w:rPr>
          <w:rFonts w:hint="eastAsia" w:ascii="Times New Roman" w:hAnsi="Times New Roman" w:eastAsia="仿宋_GB2312" w:cs="Times New Roman"/>
          <w:sz w:val="32"/>
          <w:szCs w:val="32"/>
          <w:lang w:val="en-US" w:eastAsia="zh-CN"/>
        </w:rPr>
        <w:t>一般公共预算</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支出决算表、</w:t>
      </w:r>
      <w:r>
        <w:rPr>
          <w:rFonts w:hint="eastAsia" w:ascii="仿宋_GB2312" w:hAnsi="仿宋_GB2312" w:eastAsia="仿宋_GB2312" w:cs="仿宋_GB2312"/>
          <w:b w:val="0"/>
          <w:bCs w:val="0"/>
          <w:color w:val="000000"/>
          <w:kern w:val="0"/>
          <w:sz w:val="31"/>
          <w:szCs w:val="31"/>
          <w:lang w:val="en-US" w:eastAsia="zh-CN" w:bidi="ar"/>
        </w:rPr>
        <w:t>故国有资本经营预算财政拨款支出决算表 、</w:t>
      </w:r>
      <w:r>
        <w:rPr>
          <w:rFonts w:hint="eastAsia" w:ascii="Times New Roman" w:hAnsi="Times New Roman" w:eastAsia="仿宋_GB2312" w:cs="Times New Roman"/>
          <w:sz w:val="32"/>
          <w:szCs w:val="32"/>
          <w:lang w:val="en-US" w:eastAsia="zh-CN"/>
        </w:rPr>
        <w:t>一般公共预算</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支出决算表</w:t>
      </w:r>
      <w:r>
        <w:rPr>
          <w:rFonts w:hint="eastAsia" w:ascii="仿宋_GB2312" w:hAnsi="仿宋_GB2312" w:eastAsia="仿宋_GB2312" w:cs="仿宋_GB2312"/>
          <w:b w:val="0"/>
          <w:bCs w:val="0"/>
          <w:color w:val="000000"/>
          <w:kern w:val="0"/>
          <w:sz w:val="31"/>
          <w:szCs w:val="31"/>
          <w:lang w:val="en-US" w:eastAsia="zh-CN" w:bidi="ar"/>
        </w:rPr>
        <w:t xml:space="preserve">以空表列示。 </w:t>
      </w:r>
    </w:p>
    <w:p>
      <w:pPr>
        <w:keepNext w:val="0"/>
        <w:keepLines w:val="0"/>
        <w:widowControl/>
        <w:suppressLineNumbers w:val="0"/>
        <w:ind w:firstLine="62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color w:val="000000"/>
          <w:kern w:val="0"/>
          <w:sz w:val="31"/>
          <w:szCs w:val="31"/>
          <w:lang w:val="en-US" w:eastAsia="zh-CN" w:bidi="ar"/>
        </w:rPr>
        <w:t xml:space="preserve">2、由于决算公开表格中金额数值应当保留两位小数，公开 </w:t>
      </w:r>
    </w:p>
    <w:p>
      <w:pPr>
        <w:keepNext w:val="0"/>
        <w:keepLines w:val="0"/>
        <w:widowControl/>
        <w:suppressLineNumbers w:val="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color w:val="000000"/>
          <w:kern w:val="0"/>
          <w:sz w:val="31"/>
          <w:szCs w:val="31"/>
          <w:lang w:val="en-US" w:eastAsia="zh-CN" w:bidi="ar"/>
        </w:rPr>
        <w:t xml:space="preserve">数据为四舍五入计算结果，个别数据合计项与分项之和存在小数 </w:t>
      </w:r>
    </w:p>
    <w:p>
      <w:pPr>
        <w:keepNext w:val="0"/>
        <w:keepLines w:val="0"/>
        <w:widowControl/>
        <w:suppressLineNumbers w:val="0"/>
        <w:jc w:val="left"/>
        <w:rPr>
          <w:rFonts w:ascii="黑体" w:hAnsi="黑体" w:eastAsia="黑体" w:cs="黑体"/>
          <w:sz w:val="56"/>
          <w:szCs w:val="72"/>
        </w:rPr>
      </w:pPr>
      <w:r>
        <w:rPr>
          <w:rFonts w:hint="eastAsia" w:ascii="仿宋_GB2312" w:hAnsi="仿宋_GB2312" w:eastAsia="仿宋_GB2312" w:cs="仿宋_GB2312"/>
          <w:b w:val="0"/>
          <w:bCs w:val="0"/>
          <w:color w:val="000000"/>
          <w:kern w:val="0"/>
          <w:sz w:val="31"/>
          <w:szCs w:val="31"/>
          <w:lang w:val="en-US" w:eastAsia="zh-CN" w:bidi="ar"/>
        </w:rPr>
        <w:t xml:space="preserve">点后差额，特此说明。 </w:t>
      </w: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9" w:type="first"/>
          <w:footerReference r:id="rId21" w:type="first"/>
          <w:headerReference r:id="rId18" w:type="default"/>
          <w:footerReference r:id="rId20"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711488" behindDoc="0" locked="0" layoutInCell="1" allowOverlap="1">
                <wp:simplePos x="0" y="0"/>
                <wp:positionH relativeFrom="column">
                  <wp:posOffset>-1021715</wp:posOffset>
                </wp:positionH>
                <wp:positionV relativeFrom="paragraph">
                  <wp:posOffset>441960</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711488;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32"/>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
    <w:p>
      <w:pPr>
        <w:tabs>
          <w:tab w:val="left" w:pos="886"/>
        </w:tabs>
        <w:jc w:val="left"/>
        <w:sectPr>
          <w:headerReference r:id="rId22"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Pr>
        <w:tabs>
          <w:tab w:val="left" w:pos="235"/>
        </w:tabs>
        <w:jc w:val="left"/>
        <w:sectPr>
          <w:headerReference r:id="rId23" w:type="default"/>
          <w:pgSz w:w="11906" w:h="16838"/>
          <w:pgMar w:top="680" w:right="850" w:bottom="0" w:left="850" w:header="851" w:footer="992" w:gutter="0"/>
          <w:cols w:space="0" w:num="1"/>
          <w:titlePg/>
          <w:rtlGutter w:val="0"/>
          <w:docGrid w:type="lines" w:linePitch="316" w:charSpace="0"/>
        </w:sectPr>
      </w:pP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Pr>
        <w:tabs>
          <w:tab w:val="left" w:pos="2728"/>
        </w:tabs>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r>
        <w:rPr>
          <w:sz w:val="72"/>
        </w:rPr>
        <mc:AlternateContent>
          <mc:Choice Requires="wps">
            <w:drawing>
              <wp:anchor distT="0" distB="0" distL="114300" distR="114300" simplePos="0" relativeHeight="251712512" behindDoc="0" locked="0" layoutInCell="1" allowOverlap="1">
                <wp:simplePos x="0" y="0"/>
                <wp:positionH relativeFrom="column">
                  <wp:posOffset>-2014220</wp:posOffset>
                </wp:positionH>
                <wp:positionV relativeFrom="paragraph">
                  <wp:posOffset>435610</wp:posOffset>
                </wp:positionV>
                <wp:extent cx="8669020" cy="3442335"/>
                <wp:effectExtent l="4445" t="4445" r="13335" b="12700"/>
                <wp:wrapNone/>
                <wp:docPr id="229" name="文本框 229"/>
                <wp:cNvGraphicFramePr/>
                <a:graphic xmlns:a="http://schemas.openxmlformats.org/drawingml/2006/main">
                  <a:graphicData uri="http://schemas.microsoft.com/office/word/2010/wordprocessingShape">
                    <wps:wsp>
                      <wps:cNvSpPr txBox="1"/>
                      <wps:spPr>
                        <a:xfrm>
                          <a:off x="0" y="0"/>
                          <a:ext cx="8669020" cy="3442335"/>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58.6pt;margin-top:34.3pt;height:271.05pt;width:682.6pt;z-index:251712512;v-text-anchor:middle;mso-width-relative:page;mso-height-relative:page;" fillcolor="#FFD966" filled="t" stroked="t" coordsize="21600,21600" o:gfxdata="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toQQdwAAAAMAQAADwAAAAAAAAABACAAAAAiAAAAZHJzL2Rvd25yZXYueG1sUEsBAhQAFAAAAAgA&#10;h07iQBVKcuBaAgAAugQAAA4AAAAAAAAAAQAgAAAAKwEAAGRycy9lMm9Eb2MueG1sUEsFBgAAAAAG&#10;AAYAWQEAAPcFAAAAAA==&#10;">
                <v:fill type="pattern" on="t" color2="#FFFFFF [3212]" focussize="0,0" r:id="rId32"/>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rPr>
          <w:rFonts w:hint="eastAsia" w:ascii="黑体" w:hAnsi="Times New Roman" w:eastAsia="黑体" w:cs="Times New Roman"/>
          <w:sz w:val="48"/>
          <w:szCs w:val="48"/>
        </w:rPr>
      </w:pPr>
    </w:p>
    <w:p>
      <w:pPr>
        <w:rPr>
          <w:rFonts w:hint="eastAsia" w:ascii="黑体" w:hAnsi="Times New Roman" w:eastAsia="黑体" w:cs="Times New Roman"/>
          <w:sz w:val="48"/>
          <w:szCs w:val="48"/>
        </w:rPr>
      </w:pPr>
    </w:p>
    <w:p>
      <w:pPr>
        <w:rPr>
          <w:rFonts w:hint="eastAsia" w:ascii="黑体" w:hAnsi="Times New Roman" w:eastAsia="黑体" w:cs="Times New Roman"/>
          <w:sz w:val="48"/>
          <w:szCs w:val="48"/>
        </w:rPr>
      </w:pPr>
    </w:p>
    <w:p>
      <w:pPr>
        <w:rPr>
          <w:rFonts w:hint="eastAsia" w:ascii="黑体" w:hAnsi="Times New Roman" w:eastAsia="黑体" w:cs="Times New Roman"/>
          <w:sz w:val="48"/>
          <w:szCs w:val="48"/>
        </w:rPr>
      </w:pPr>
    </w:p>
    <w:p>
      <w:pPr>
        <w:rPr>
          <w:rFonts w:hint="eastAsia" w:ascii="黑体" w:hAnsi="Times New Roman" w:eastAsia="黑体" w:cs="Times New Roman"/>
          <w:sz w:val="48"/>
          <w:szCs w:val="48"/>
        </w:rPr>
      </w:pPr>
    </w:p>
    <w:p>
      <w:pPr>
        <w:rPr>
          <w:rFonts w:hint="eastAsia" w:ascii="黑体" w:hAnsi="Times New Roman" w:eastAsia="黑体" w:cs="Times New Roman"/>
          <w:sz w:val="48"/>
          <w:szCs w:val="48"/>
        </w:rPr>
      </w:pPr>
    </w:p>
    <w:p>
      <w:pPr>
        <w:tabs>
          <w:tab w:val="left" w:pos="235"/>
        </w:tabs>
        <w:bidi w:val="0"/>
        <w:jc w:val="left"/>
        <w:rPr>
          <w:rFonts w:hint="eastAsia" w:ascii="仿宋_GB2312" w:hAnsi="Cambria" w:eastAsia="仿宋_GB2312" w:cs="ArialUnicodeMS"/>
          <w:kern w:val="0"/>
          <w:sz w:val="32"/>
          <w:szCs w:val="32"/>
          <w:vertAlign w:val="baseline"/>
          <w:lang w:val="en-US" w:eastAsia="zh-CN"/>
        </w:rPr>
      </w:pPr>
    </w:p>
    <w:p>
      <w:pPr>
        <w:bidi w:val="0"/>
        <w:rPr>
          <w:rFonts w:hint="eastAsia" w:asciiTheme="minorHAnsi" w:hAnsiTheme="minorHAnsi" w:eastAsiaTheme="minorEastAsia" w:cstheme="minorBidi"/>
          <w:kern w:val="2"/>
          <w:sz w:val="21"/>
          <w:szCs w:val="22"/>
          <w:lang w:val="en-US" w:eastAsia="zh-CN" w:bidi="ar-SA"/>
        </w:rPr>
      </w:pPr>
    </w:p>
    <w:p>
      <w:pPr>
        <w:widowControl/>
        <w:numPr>
          <w:ilvl w:val="0"/>
          <w:numId w:val="0"/>
        </w:numPr>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仿宋_GB2312" w:cs="Times New Roman"/>
          <w:b/>
          <w:bCs/>
          <w:sz w:val="20"/>
          <w:szCs w:val="32"/>
        </w:rPr>
      </w:pPr>
      <w:r>
        <w:rPr>
          <w:rFonts w:ascii="Times New Roman" w:hAnsi="Times New Roman" w:eastAsia="黑体" w:cs="Times New Roman"/>
          <w:b/>
          <w:bCs/>
          <w:sz w:val="32"/>
          <w:szCs w:val="32"/>
        </w:rPr>
        <w:t>第</w:t>
      </w:r>
      <w:r>
        <w:rPr>
          <w:rFonts w:hint="eastAsia" w:ascii="Times New Roman" w:hAnsi="Times New Roman" w:eastAsia="黑体" w:cs="Times New Roman"/>
          <w:b/>
          <w:bCs/>
          <w:sz w:val="32"/>
          <w:szCs w:val="32"/>
          <w:lang w:val="en-US" w:eastAsia="zh-CN"/>
        </w:rPr>
        <w:t>四</w:t>
      </w:r>
      <w:r>
        <w:rPr>
          <w:rFonts w:ascii="Times New Roman" w:hAnsi="Times New Roman" w:eastAsia="黑体" w:cs="Times New Roman"/>
          <w:b/>
          <w:bCs/>
          <w:sz w:val="32"/>
          <w:szCs w:val="32"/>
        </w:rPr>
        <w:t>部分</w:t>
      </w:r>
      <w:r>
        <w:rPr>
          <w:rFonts w:hint="eastAsia" w:ascii="Times New Roman" w:hAnsi="Times New Roman" w:eastAsia="黑体" w:cs="Times New Roman"/>
          <w:b/>
          <w:bCs/>
          <w:sz w:val="32"/>
          <w:szCs w:val="32"/>
          <w:lang w:val="en-US" w:eastAsia="zh-CN"/>
        </w:rPr>
        <w:t xml:space="preserve">  </w:t>
      </w:r>
      <w:r>
        <w:rPr>
          <w:rFonts w:ascii="Times New Roman" w:hAnsi="Times New Roman" w:eastAsia="黑体" w:cs="Times New Roman"/>
          <w:b/>
          <w:bCs/>
          <w:sz w:val="32"/>
          <w:szCs w:val="32"/>
        </w:rPr>
        <w:t>201</w:t>
      </w:r>
      <w:r>
        <w:rPr>
          <w:rFonts w:hint="eastAsia" w:ascii="Times New Roman" w:hAnsi="Times New Roman" w:eastAsia="黑体" w:cs="Times New Roman"/>
          <w:b/>
          <w:bCs/>
          <w:sz w:val="32"/>
          <w:szCs w:val="32"/>
          <w:lang w:val="en-US" w:eastAsia="zh-CN"/>
        </w:rPr>
        <w:t>9</w:t>
      </w:r>
      <w:r>
        <w:rPr>
          <w:rFonts w:ascii="Times New Roman" w:hAnsi="Times New Roman" w:eastAsia="黑体" w:cs="Times New Roman"/>
          <w:b/>
          <w:bCs/>
          <w:sz w:val="32"/>
          <w:szCs w:val="32"/>
        </w:rPr>
        <w:t>年度部门决算报表</w:t>
      </w:r>
    </w:p>
    <w:tbl>
      <w:tblPr>
        <w:tblStyle w:val="7"/>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21"/>
        <w:gridCol w:w="436"/>
        <w:gridCol w:w="968"/>
        <w:gridCol w:w="2872"/>
        <w:gridCol w:w="613"/>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2" w:hRule="atLeast"/>
        </w:trPr>
        <w:tc>
          <w:tcPr>
            <w:tcW w:w="8840" w:type="dxa"/>
            <w:gridSpan w:val="6"/>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282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8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1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3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4225"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部门：邯郸市生态环境局馆陶县分局</w:t>
            </w:r>
          </w:p>
        </w:tc>
        <w:tc>
          <w:tcPr>
            <w:tcW w:w="28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4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4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1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1,317.86</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428.95</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1,746.81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995.83</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8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2,742.65</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884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widowControl/>
        <w:spacing w:after="160" w:line="580" w:lineRule="exact"/>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tbl>
      <w:tblPr>
        <w:tblStyle w:val="7"/>
        <w:tblpPr w:leftFromText="180" w:rightFromText="180" w:vertAnchor="text" w:horzAnchor="page" w:tblpX="899" w:tblpY="318"/>
        <w:tblOverlap w:val="never"/>
        <w:tblW w:w="10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9"/>
        <w:gridCol w:w="240"/>
        <w:gridCol w:w="1329"/>
        <w:gridCol w:w="2897"/>
        <w:gridCol w:w="1307"/>
        <w:gridCol w:w="1023"/>
        <w:gridCol w:w="686"/>
        <w:gridCol w:w="522"/>
        <w:gridCol w:w="446"/>
        <w:gridCol w:w="632"/>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3" w:hRule="atLeast"/>
        </w:trPr>
        <w:tc>
          <w:tcPr>
            <w:tcW w:w="239"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435" w:type="dxa"/>
            <w:gridSpan w:val="5"/>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收入决算表</w:t>
            </w:r>
          </w:p>
        </w:tc>
        <w:tc>
          <w:tcPr>
            <w:tcW w:w="4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23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8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23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226"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邯郸市生态环境局馆陶县分局</w:t>
            </w: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7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2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4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8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47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47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1,746.81</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1,746.81</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环境保护管理实务支出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2110101</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2110199</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其他环境保护管理事务支出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环境监测与监察</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2110299</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其他环境监测与监察支出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1,190.23</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1,190.23</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554.73</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554.73</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水体</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2110399</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其他污染防治支出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2121399</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其他城市基础设施配套费安排的支出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28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其他污水处理费安排的支出</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036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23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8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bl>
    <w:tbl>
      <w:tblPr>
        <w:tblStyle w:val="7"/>
        <w:tblpPr w:leftFromText="180" w:rightFromText="180" w:vertAnchor="text" w:horzAnchor="page" w:tblpXSpec="center" w:tblpY="616"/>
        <w:tblOverlap w:val="never"/>
        <w:tblW w:w="100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0"/>
        <w:gridCol w:w="327"/>
        <w:gridCol w:w="327"/>
        <w:gridCol w:w="3081"/>
        <w:gridCol w:w="1189"/>
        <w:gridCol w:w="708"/>
        <w:gridCol w:w="1027"/>
        <w:gridCol w:w="840"/>
        <w:gridCol w:w="884"/>
        <w:gridCol w:w="1089"/>
        <w:gridCol w:w="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18" w:type="dxa"/>
          <w:trHeight w:val="639" w:hRule="atLeast"/>
          <w:jc w:val="center"/>
        </w:trPr>
        <w:tc>
          <w:tcPr>
            <w:tcW w:w="43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3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45" w:type="dxa"/>
            <w:gridSpan w:val="5"/>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b/>
                <w:bCs/>
                <w:i w:val="0"/>
                <w:color w:val="000000"/>
                <w:kern w:val="0"/>
                <w:sz w:val="30"/>
                <w:szCs w:val="30"/>
                <w:u w:val="none"/>
                <w:lang w:val="en-US" w:eastAsia="zh-CN" w:bidi="ar"/>
              </w:rPr>
              <w:t>支出决算表</w:t>
            </w:r>
          </w:p>
        </w:tc>
        <w:tc>
          <w:tcPr>
            <w:tcW w:w="8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27" w:hRule="atLeast"/>
          <w:jc w:val="center"/>
        </w:trPr>
        <w:tc>
          <w:tcPr>
            <w:tcW w:w="4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8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27" w:hRule="atLeast"/>
          <w:jc w:val="center"/>
        </w:trPr>
        <w:tc>
          <w:tcPr>
            <w:tcW w:w="4165"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部门：邯郸市生态环境局馆陶县分局</w:t>
            </w: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7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41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7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2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8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0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3" w:hRule="atLeast"/>
          <w:jc w:val="center"/>
        </w:trPr>
        <w:tc>
          <w:tcPr>
            <w:tcW w:w="108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0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3" w:hRule="atLeast"/>
          <w:jc w:val="center"/>
        </w:trPr>
        <w:tc>
          <w:tcPr>
            <w:tcW w:w="108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3" w:hRule="atLeast"/>
          <w:jc w:val="center"/>
        </w:trPr>
        <w:tc>
          <w:tcPr>
            <w:tcW w:w="108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416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416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2,282.64</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2,282.64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1,746.81</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1,746.81</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环境保护管理实务支出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2110101</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2110199</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其他环境保护管理事务支出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环境监测与监察</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2110299</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其他环境监测与监察支出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1,726.06</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1,726.06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1,090.56</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1,090.56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水体</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2110399</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其他污染防治支出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649"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649"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649"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649"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2121399</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其他城市基础设施配套费安排的支出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其他污水处理费安排的支出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jc w:val="center"/>
        </w:trPr>
        <w:tc>
          <w:tcPr>
            <w:tcW w:w="10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37" w:hRule="atLeast"/>
          <w:jc w:val="center"/>
        </w:trPr>
        <w:tc>
          <w:tcPr>
            <w:tcW w:w="9902"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8" w:type="dxa"/>
          <w:trHeight w:val="327" w:hRule="atLeast"/>
          <w:jc w:val="center"/>
        </w:trPr>
        <w:tc>
          <w:tcPr>
            <w:tcW w:w="4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2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8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bl>
    <w:tbl>
      <w:tblPr>
        <w:tblStyle w:val="7"/>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3"/>
        <w:gridCol w:w="709"/>
        <w:gridCol w:w="1035"/>
        <w:gridCol w:w="2205"/>
        <w:gridCol w:w="316"/>
        <w:gridCol w:w="840"/>
        <w:gridCol w:w="1"/>
        <w:gridCol w:w="1544"/>
        <w:gridCol w:w="1"/>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7" w:hRule="atLeast"/>
        </w:trPr>
        <w:tc>
          <w:tcPr>
            <w:tcW w:w="1763"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39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1545"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47"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17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0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45"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47"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5712"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部门：邯郸市生态环境局馆陶县分局</w:t>
            </w:r>
          </w:p>
        </w:tc>
        <w:tc>
          <w:tcPr>
            <w:tcW w:w="3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6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6053"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7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2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4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1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17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1,317.86</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1,286.80</w:t>
            </w: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1,286.80</w:t>
            </w: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428.95</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1,853.69</w:t>
            </w: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1,853.69</w:t>
            </w: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428.95</w:t>
            </w: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1,746.81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2,282.64</w:t>
            </w: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1,853.69</w:t>
            </w: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995.84</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460.01</w:t>
            </w: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460.01</w:t>
            </w: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1,746.81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428.95</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2,742.65</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2,742.65</w:t>
            </w:r>
          </w:p>
        </w:tc>
        <w:tc>
          <w:tcPr>
            <w:tcW w:w="15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2,313.70</w:t>
            </w:r>
          </w:p>
        </w:tc>
        <w:tc>
          <w:tcPr>
            <w:tcW w:w="1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95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tbl>
      <w:tblPr>
        <w:tblStyle w:val="7"/>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89"/>
        <w:gridCol w:w="306"/>
        <w:gridCol w:w="306"/>
        <w:gridCol w:w="2572"/>
        <w:gridCol w:w="1231"/>
        <w:gridCol w:w="1079"/>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trPr>
        <w:tc>
          <w:tcPr>
            <w:tcW w:w="1689"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3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569"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16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3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168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部门：馆陶县财政局</w:t>
            </w:r>
          </w:p>
        </w:tc>
        <w:tc>
          <w:tcPr>
            <w:tcW w:w="3184" w:type="dxa"/>
            <w:gridSpan w:val="3"/>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邯郸市生态环境局馆陶县分局</w:t>
            </w:r>
          </w:p>
        </w:tc>
        <w:tc>
          <w:tcPr>
            <w:tcW w:w="123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8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9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5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23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87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87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1,853.69</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1,853.69</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环境保护管理实务支出</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2110101</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行政支出</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2110199</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其他环境保护管理事务支出</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环境监测与监察</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2110299</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其他环境监测与监察支出</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1,726.06</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1,090.56</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水体</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501.50</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2110399</w:t>
            </w: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其他污染防治支出</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887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168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3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bl>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tbl>
      <w:tblPr>
        <w:tblStyle w:val="7"/>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6"/>
        <w:gridCol w:w="207"/>
        <w:gridCol w:w="718"/>
        <w:gridCol w:w="532"/>
        <w:gridCol w:w="280"/>
        <w:gridCol w:w="315"/>
        <w:gridCol w:w="361"/>
        <w:gridCol w:w="1"/>
        <w:gridCol w:w="412"/>
        <w:gridCol w:w="345"/>
        <w:gridCol w:w="745"/>
        <w:gridCol w:w="66"/>
        <w:gridCol w:w="570"/>
        <w:gridCol w:w="1"/>
        <w:gridCol w:w="162"/>
        <w:gridCol w:w="597"/>
        <w:gridCol w:w="66"/>
        <w:gridCol w:w="744"/>
        <w:gridCol w:w="894"/>
        <w:gridCol w:w="512"/>
        <w:gridCol w:w="421"/>
        <w:gridCol w:w="1"/>
        <w:gridCol w:w="481"/>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493" w:type="dxa"/>
          <w:trHeight w:val="803" w:hRule="atLeast"/>
        </w:trPr>
        <w:tc>
          <w:tcPr>
            <w:tcW w:w="45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7528" w:type="dxa"/>
            <w:gridSpan w:val="19"/>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c>
          <w:tcPr>
            <w:tcW w:w="903" w:type="dxa"/>
            <w:gridSpan w:val="3"/>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87" w:hRule="atLeast"/>
        </w:trPr>
        <w:tc>
          <w:tcPr>
            <w:tcW w:w="45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57"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95"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74"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56"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3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1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3"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57" w:hRule="atLeast"/>
        </w:trPr>
        <w:tc>
          <w:tcPr>
            <w:tcW w:w="3282" w:type="dxa"/>
            <w:gridSpan w:val="9"/>
            <w:tcBorders>
              <w:top w:val="nil"/>
              <w:left w:val="nil"/>
              <w:bottom w:val="single" w:color="000000" w:sz="4" w:space="0"/>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部门：邯郸市生态环境局馆陶县分局</w:t>
            </w:r>
          </w:p>
        </w:tc>
        <w:tc>
          <w:tcPr>
            <w:tcW w:w="1156"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33"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9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19"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75" w:hRule="atLeast"/>
        </w:trPr>
        <w:tc>
          <w:tcPr>
            <w:tcW w:w="25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79" w:type="dxa"/>
            <w:gridSpan w:val="1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71" w:hRule="atLeast"/>
        </w:trPr>
        <w:tc>
          <w:tcPr>
            <w:tcW w:w="45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457"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9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74"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156"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3"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216"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03"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887" w:hRule="atLeast"/>
        </w:trPr>
        <w:tc>
          <w:tcPr>
            <w:tcW w:w="4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6"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99"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950"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99"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950"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75"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41"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950"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99"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699"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950" w:hRule="atLeast"/>
        </w:trPr>
        <w:tc>
          <w:tcPr>
            <w:tcW w:w="4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15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3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75" w:hRule="atLeast"/>
        </w:trPr>
        <w:tc>
          <w:tcPr>
            <w:tcW w:w="191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5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76"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90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75" w:hRule="atLeast"/>
        </w:trPr>
        <w:tc>
          <w:tcPr>
            <w:tcW w:w="8887"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1248" w:hRule="atLeast"/>
        </w:trPr>
        <w:tc>
          <w:tcPr>
            <w:tcW w:w="8887"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93" w:type="dxa"/>
          <w:trHeight w:val="365" w:hRule="atLeast"/>
        </w:trPr>
        <w:tc>
          <w:tcPr>
            <w:tcW w:w="8887"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2" w:hRule="atLeast"/>
        </w:trPr>
        <w:tc>
          <w:tcPr>
            <w:tcW w:w="9380" w:type="dxa"/>
            <w:gridSpan w:val="2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66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1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7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58"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3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2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3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75"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2" w:hRule="atLeast"/>
        </w:trPr>
        <w:tc>
          <w:tcPr>
            <w:tcW w:w="3627" w:type="dxa"/>
            <w:gridSpan w:val="10"/>
            <w:tcBorders>
              <w:top w:val="nil"/>
              <w:left w:val="nil"/>
              <w:bottom w:val="single" w:color="000000" w:sz="4" w:space="0"/>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部门：邯郸市生态环境局馆陶县分局</w:t>
            </w:r>
          </w:p>
        </w:tc>
        <w:tc>
          <w:tcPr>
            <w:tcW w:w="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3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2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802"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437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008" w:type="dxa"/>
            <w:gridSpan w:val="1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6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246"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7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637"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2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72"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97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0" w:hRule="atLeast"/>
        </w:trPr>
        <w:tc>
          <w:tcPr>
            <w:tcW w:w="6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67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7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97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66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3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7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66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2" w:hRule="atLeast"/>
        </w:trPr>
        <w:tc>
          <w:tcPr>
            <w:tcW w:w="9380" w:type="dxa"/>
            <w:gridSpan w:val="2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我单位无三公经费,按照要求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6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1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7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58"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3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2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3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75"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6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tc>
        <w:tc>
          <w:tcPr>
            <w:tcW w:w="71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1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7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58"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3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2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3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75"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bl>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sectPr>
          <w:headerReference r:id="rId25" w:type="first"/>
          <w:footerReference r:id="rId27" w:type="first"/>
          <w:headerReference r:id="rId24" w:type="default"/>
          <w:footerReference r:id="rId26" w:type="default"/>
          <w:type w:val="continuous"/>
          <w:pgSz w:w="11906" w:h="16838"/>
          <w:pgMar w:top="2041" w:right="1531" w:bottom="2041" w:left="1531" w:header="851" w:footer="992" w:gutter="0"/>
          <w:cols w:space="0" w:num="1"/>
          <w:titlePg/>
          <w:rtlGutter w:val="0"/>
          <w:docGrid w:type="lines" w:linePitch="312" w:charSpace="0"/>
        </w:sectPr>
      </w:pPr>
    </w:p>
    <w:tbl>
      <w:tblPr>
        <w:tblStyle w:val="7"/>
        <w:tblW w:w="9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2"/>
        <w:gridCol w:w="302"/>
        <w:gridCol w:w="302"/>
        <w:gridCol w:w="3654"/>
        <w:gridCol w:w="796"/>
        <w:gridCol w:w="769"/>
        <w:gridCol w:w="961"/>
        <w:gridCol w:w="741"/>
        <w:gridCol w:w="782"/>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9" w:hRule="atLeast"/>
        </w:trPr>
        <w:tc>
          <w:tcPr>
            <w:tcW w:w="30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30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tc>
        <w:tc>
          <w:tcPr>
            <w:tcW w:w="8005" w:type="dxa"/>
            <w:gridSpan w:val="7"/>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c>
          <w:tcPr>
            <w:tcW w:w="131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3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65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1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4560" w:type="dxa"/>
            <w:gridSpan w:val="4"/>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部门：邯郸市生态环境局馆陶县分局</w:t>
            </w:r>
          </w:p>
        </w:tc>
        <w:tc>
          <w:tcPr>
            <w:tcW w:w="7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834"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4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3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90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6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3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9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9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456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456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428.95</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428.95</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428.95</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3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147.55</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w:t>
            </w:r>
          </w:p>
        </w:tc>
        <w:tc>
          <w:tcPr>
            <w:tcW w:w="3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2121399</w:t>
            </w:r>
          </w:p>
        </w:tc>
        <w:tc>
          <w:tcPr>
            <w:tcW w:w="3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其他城市基础设施配套费安排的支出</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268.00</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3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3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其他污水处理费安排的支出</w:t>
            </w:r>
          </w:p>
        </w:tc>
        <w:tc>
          <w:tcPr>
            <w:tcW w:w="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1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992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spacing w:line="580" w:lineRule="exact"/>
        <w:rPr>
          <w:rFonts w:eastAsia="黑体"/>
          <w:sz w:val="32"/>
          <w:szCs w:val="32"/>
        </w:rPr>
      </w:pPr>
    </w:p>
    <w:p>
      <w:pPr>
        <w:widowControl/>
        <w:spacing w:line="580" w:lineRule="exact"/>
        <w:rPr>
          <w:rFonts w:eastAsia="黑体"/>
          <w:sz w:val="32"/>
          <w:szCs w:val="32"/>
        </w:rPr>
      </w:pPr>
    </w:p>
    <w:p>
      <w:pPr>
        <w:widowControl/>
        <w:spacing w:line="580" w:lineRule="exact"/>
        <w:rPr>
          <w:rFonts w:eastAsia="黑体"/>
          <w:sz w:val="32"/>
          <w:szCs w:val="32"/>
        </w:rPr>
      </w:pPr>
    </w:p>
    <w:p>
      <w:pPr>
        <w:widowControl/>
        <w:spacing w:line="580" w:lineRule="exact"/>
        <w:rPr>
          <w:rFonts w:eastAsia="黑体"/>
          <w:sz w:val="32"/>
          <w:szCs w:val="32"/>
        </w:rPr>
      </w:pPr>
    </w:p>
    <w:p>
      <w:pPr>
        <w:widowControl/>
        <w:spacing w:line="580" w:lineRule="exact"/>
        <w:rPr>
          <w:rFonts w:eastAsia="黑体"/>
          <w:sz w:val="32"/>
          <w:szCs w:val="32"/>
        </w:rPr>
      </w:pPr>
    </w:p>
    <w:p>
      <w:pPr>
        <w:widowControl/>
        <w:spacing w:line="580" w:lineRule="exact"/>
        <w:rPr>
          <w:rFonts w:eastAsia="黑体"/>
          <w:sz w:val="32"/>
          <w:szCs w:val="32"/>
        </w:rPr>
      </w:pPr>
    </w:p>
    <w:tbl>
      <w:tblPr>
        <w:tblStyle w:val="7"/>
        <w:tblW w:w="8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8"/>
        <w:gridCol w:w="1280"/>
        <w:gridCol w:w="1912"/>
        <w:gridCol w:w="1687"/>
        <w:gridCol w:w="855"/>
        <w:gridCol w:w="1346"/>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959" w:type="dxa"/>
            <w:gridSpan w:val="7"/>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4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4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c>
          <w:tcPr>
            <w:tcW w:w="133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740" w:type="dxa"/>
            <w:gridSpan w:val="3"/>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部门：邯郸市生态环境局馆陶县分局</w:t>
            </w:r>
          </w:p>
        </w:tc>
        <w:tc>
          <w:tcPr>
            <w:tcW w:w="168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4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c>
          <w:tcPr>
            <w:tcW w:w="133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388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3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3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62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注：本表反映部门本年度国有资本经营预算财政拨款支出情况。本部门本年度无相关支出情况，按要求以空表列示。</w:t>
            </w:r>
          </w:p>
        </w:tc>
        <w:tc>
          <w:tcPr>
            <w:tcW w:w="13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widowControl/>
        <w:spacing w:line="580" w:lineRule="exact"/>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bidi w:val="0"/>
        <w:jc w:val="both"/>
        <w:rPr>
          <w:rFonts w:hint="default"/>
          <w:lang w:val="en-US" w:eastAsia="zh-CN"/>
        </w:rPr>
      </w:pPr>
    </w:p>
    <w:sectPr>
      <w:headerReference r:id="rId29" w:type="first"/>
      <w:headerReference r:id="rId28" w:type="default"/>
      <w:footerReference r:id="rId30"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ArialUnicodeMS">
    <w:altName w:val="Malgun Gothic"/>
    <w:panose1 w:val="00000000000000000000"/>
    <w:charset w:val="81"/>
    <w:family w:val="auto"/>
    <w:pitch w:val="default"/>
    <w:sig w:usb0="00000000" w:usb1="00000000" w:usb2="00000010" w:usb3="00000000" w:csb0="00080001"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9920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9920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UcT/ZAAAACQEAAA8AAAAA&#10;AAAAAQAgAAAAIgAAAGRycy9kb3ducmV2LnhtbFBLAQIUABQAAAAIAIdO4kC3F/gdEwIAAAkEAAAO&#10;AAAAAAAAAAEAIAAAACgBAABkcnMvZTJvRG9jLnhtbFBLBQYAAAAABgAGAFkBAACtBQ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70022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70022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XVzfvZAAAACgEAAA8A&#10;AAAAAAAAAQAgAAAAIgAAAGRycy9kb3ducmV2LnhtbFBLAQIUABQAAAAIAIdO4kB8ypQnFgIAAAkE&#10;AAAOAAAAAAAAAAEAIAAAACgBAABkcnMvZTJvRG9jLnhtbFBLBQYAAAAABgAGAFkBAACwBQ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70124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70124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BUHlga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70227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70227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EgGoMkXAgAA&#10;CQQAAA4AAAAAAAAAAQAgAAAAKQEAAGRycy9lMm9Eb2MueG1sUEsFBgAAAAAGAAYAWQEAALIFAAAA&#10;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1792" behindDoc="0" locked="0" layoutInCell="1" allowOverlap="1">
              <wp:simplePos x="0" y="0"/>
              <wp:positionH relativeFrom="page">
                <wp:align>left</wp:align>
              </wp:positionH>
              <wp:positionV relativeFrom="page">
                <wp:posOffset>377825</wp:posOffset>
              </wp:positionV>
              <wp:extent cx="2000250" cy="406400"/>
              <wp:effectExtent l="0" t="0" r="0" b="0"/>
              <wp:wrapNone/>
              <wp:docPr id="30" name="组合 30"/>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3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81792;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&#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OzG97nXAAAABwEAAA8AAAAAAAAAAQAgAAAAIgAAAGRy&#10;cy9kb3ducmV2LnhtbFBLAQIUABQAAAAIAIdO4kCNwCCmIwMAADUIAAAOAAAAAAAAAAEAIAAAACYB&#10;AABkcnMvZTJvRG9jLnhtbFBLBQYAAAAABgAGAFkBAAC7BgAAAAA=&#10;">
              <o:lock v:ext="edit" aspectratio="f"/>
              <v:shape id="文本框 6" o:spid="_x0000_s1026" o:spt="202" type="#_x0000_t202" style="position:absolute;left:1401;top:880;height:641;width:3087;"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97FcyrwAAADb&#10;AAAADwAAAGRycy9kb3ducmV2LnhtbEWPQWsCMRSE7wX/Q3hCL0WT1VrWrVFEKvTqKj0/N8/dpZuX&#10;JYmr/feNUOhxmJlvmNXmbjsxkA+tYw3ZVIEgrpxpudZwOu4nOYgQkQ12jknDDwXYrEdPKyyMu/GB&#10;hjLWIkE4FKihibEvpAxVQxbD1PXEybs4bzEm6WtpPN4S3HZyptSbtNhyWmiwp11D1Xd5tYlyWm4X&#10;8iM/Z68vu6/cD1l5UHutn8eZegcR6R7/w3/tT6NhPoPHl/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xXMq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0768" behindDoc="0" locked="0" layoutInCell="1" allowOverlap="1">
              <wp:simplePos x="0" y="0"/>
              <wp:positionH relativeFrom="page">
                <wp:align>center</wp:align>
              </wp:positionH>
              <wp:positionV relativeFrom="topMargin">
                <wp:align>bottom</wp:align>
              </wp:positionV>
              <wp:extent cx="7575550" cy="748665"/>
              <wp:effectExtent l="0" t="0" r="13970" b="13335"/>
              <wp:wrapNone/>
              <wp:docPr id="33" name="组合 33"/>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3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80768;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PnF5yL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NTHqcb0AAADb&#10;AAAADwAAAGRycy9kb3ducmV2LnhtbEWPzWrDMBCE74W+g9hCLqWRkqYhuJZzKA3pISE0zQMs1tYy&#10;tlbGkvPz9lEgkOMwM98w+fLsWnGkPtSeNUzGCgRx6U3NlYbD3+ptASJEZIOtZ9JwoQDL4vkpx8z4&#10;E//ScR8rkSAcMtRgY+wyKUNpyWEY+444ef++dxiT7CtpejwluGvlVKm5dFhzWrDY0ZelstkPTsMQ&#10;zMdgd6rZNNs5x7X7bspXpfXoZaI+QUQ6x0f43v4xGt5ncPuSfoA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Mepx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3cHR/r4AAADb&#10;AAAADwAAAGRycy9kb3ducmV2LnhtbEWPzW7CMBCE75V4B2uRuBWHlvITMKgqIDjxmwdYxUsSiNdR&#10;bAi8Pa5UqcfRzHyjmc4fphR3ql1hWUGvG4EgTq0uOFOQnFbvIxDOI2ssLZOCJzmYz1pvU4y1bfhA&#10;96PPRICwi1FB7n0VS+nSnAy6rq2Ig3e2tUEfZJ1JXWMT4KaUH1E0kAYLDgs5VvSTU3o93oyC7+1u&#10;vNqnoyQrT8MmWV4Ww/76olSn3YsmIDw9/H/4r73RCj6/4PdL+AF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HR/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ARbuOLsAAADb&#10;AAAADwAAAGRycy9kb3ducmV2LnhtbEWP0WoCMRRE3wv+Q7iCbzXZSlVWo2hBkOJL1Q+4bK6b1c3N&#10;uomr/n1TEPo4zMwZZr58uFp01IbKs4ZsqEAQF95UXGo4HjbvUxAhIhusPZOGJwVYLnpvc8yNv/MP&#10;dftYigThkKMGG2OTSxkKSw7D0DfEyTv51mFMsi2lafGe4K6WH0qNpcOK04LFhr4sFZf9zWn47Hh3&#10;uVrV4DpeM7vKzt9hctZ60M/UDESkR/wPv9pbo2E0hr8v6QfI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buO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9510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9510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94080" behindDoc="0" locked="0" layoutInCell="1" allowOverlap="1">
              <wp:simplePos x="0" y="0"/>
              <wp:positionH relativeFrom="page">
                <wp:align>center</wp:align>
              </wp:positionH>
              <wp:positionV relativeFrom="topMargin">
                <wp:align>bottom</wp:align>
              </wp:positionV>
              <wp:extent cx="7575550" cy="748665"/>
              <wp:effectExtent l="0" t="0" r="1397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9408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9984" behindDoc="0" locked="0" layoutInCell="1" allowOverlap="1">
              <wp:simplePos x="0" y="0"/>
              <wp:positionH relativeFrom="page">
                <wp:posOffset>34925</wp:posOffset>
              </wp:positionH>
              <wp:positionV relativeFrom="topMargin">
                <wp:posOffset>596265</wp:posOffset>
              </wp:positionV>
              <wp:extent cx="7579995" cy="416560"/>
              <wp:effectExtent l="0" t="0" r="9525" b="1016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8998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9100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9100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topMargin">
                <wp:posOffset>550545</wp:posOffset>
              </wp:positionV>
              <wp:extent cx="7553960" cy="480695"/>
              <wp:effectExtent l="0" t="0" r="5080" b="698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9203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9305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9305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4FAF5"/>
    <w:multiLevelType w:val="singleLevel"/>
    <w:tmpl w:val="91A4FAF5"/>
    <w:lvl w:ilvl="0" w:tentative="0">
      <w:start w:val="2"/>
      <w:numFmt w:val="chineseCounting"/>
      <w:suff w:val="nothing"/>
      <w:lvlText w:val="（%1）"/>
      <w:lvlJc w:val="left"/>
      <w:rPr>
        <w:rFonts w:hint="eastAsia"/>
      </w:rPr>
    </w:lvl>
  </w:abstractNum>
  <w:abstractNum w:abstractNumId="1">
    <w:nsid w:val="E40BB328"/>
    <w:multiLevelType w:val="singleLevel"/>
    <w:tmpl w:val="E40BB328"/>
    <w:lvl w:ilvl="0" w:tentative="0">
      <w:start w:val="1"/>
      <w:numFmt w:val="chineseCounting"/>
      <w:suff w:val="nothing"/>
      <w:lvlText w:val="%1、"/>
      <w:lvlJc w:val="left"/>
      <w:rPr>
        <w:rFonts w:hint="eastAsia"/>
      </w:rPr>
    </w:lvl>
  </w:abstractNum>
  <w:abstractNum w:abstractNumId="2">
    <w:nsid w:val="142BC084"/>
    <w:multiLevelType w:val="singleLevel"/>
    <w:tmpl w:val="142BC084"/>
    <w:lvl w:ilvl="0" w:tentative="0">
      <w:start w:val="1"/>
      <w:numFmt w:val="chineseCounting"/>
      <w:suff w:val="nothing"/>
      <w:lvlText w:val="(%1）"/>
      <w:lvlJc w:val="left"/>
      <w:rPr>
        <w:rFonts w:hint="eastAsia"/>
      </w:rPr>
    </w:lvl>
  </w:abstractNum>
  <w:abstractNum w:abstractNumId="3">
    <w:nsid w:val="59950409"/>
    <w:multiLevelType w:val="singleLevel"/>
    <w:tmpl w:val="59950409"/>
    <w:lvl w:ilvl="0" w:tentative="0">
      <w:start w:val="1"/>
      <w:numFmt w:val="decimal"/>
      <w:suff w:val="space"/>
      <w:lvlText w:val="%1."/>
      <w:lvlJc w:val="left"/>
    </w:lvl>
  </w:abstractNum>
  <w:abstractNum w:abstractNumId="4">
    <w:nsid w:val="78C1413D"/>
    <w:multiLevelType w:val="singleLevel"/>
    <w:tmpl w:val="78C1413D"/>
    <w:lvl w:ilvl="0" w:tentative="0">
      <w:start w:val="1"/>
      <w:numFmt w:val="decimal"/>
      <w:suff w:val="space"/>
      <w:lvlText w:val="%1."/>
      <w:lvlJc w:val="left"/>
    </w:lvl>
  </w:abstractNum>
  <w:abstractNum w:abstractNumId="5">
    <w:nsid w:val="7D7CB4CE"/>
    <w:multiLevelType w:val="singleLevel"/>
    <w:tmpl w:val="7D7CB4CE"/>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97AC0"/>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26C391B"/>
    <w:rsid w:val="03E213A7"/>
    <w:rsid w:val="09C62E06"/>
    <w:rsid w:val="0DD46A51"/>
    <w:rsid w:val="0FEF32CB"/>
    <w:rsid w:val="106A7C4D"/>
    <w:rsid w:val="131F385A"/>
    <w:rsid w:val="2B89315D"/>
    <w:rsid w:val="30956FB1"/>
    <w:rsid w:val="31C2036A"/>
    <w:rsid w:val="320D02A5"/>
    <w:rsid w:val="348E566F"/>
    <w:rsid w:val="349D3644"/>
    <w:rsid w:val="3A226944"/>
    <w:rsid w:val="3AEE6A48"/>
    <w:rsid w:val="3B6A7832"/>
    <w:rsid w:val="3C1620AA"/>
    <w:rsid w:val="3D8F080F"/>
    <w:rsid w:val="3E682282"/>
    <w:rsid w:val="44CE1FA4"/>
    <w:rsid w:val="487F73ED"/>
    <w:rsid w:val="48C45EEC"/>
    <w:rsid w:val="4A347EAE"/>
    <w:rsid w:val="514A505B"/>
    <w:rsid w:val="52600405"/>
    <w:rsid w:val="529B4319"/>
    <w:rsid w:val="57773DD6"/>
    <w:rsid w:val="578B79AB"/>
    <w:rsid w:val="5CCD3FD5"/>
    <w:rsid w:val="61FA5F9D"/>
    <w:rsid w:val="62392025"/>
    <w:rsid w:val="638C4258"/>
    <w:rsid w:val="64CD6910"/>
    <w:rsid w:val="6789158D"/>
    <w:rsid w:val="67BB134B"/>
    <w:rsid w:val="67D81BA4"/>
    <w:rsid w:val="693404A7"/>
    <w:rsid w:val="6AAF1C96"/>
    <w:rsid w:val="6CC1128D"/>
    <w:rsid w:val="6F003C33"/>
    <w:rsid w:val="75681757"/>
    <w:rsid w:val="75A346A8"/>
    <w:rsid w:val="79B9382C"/>
    <w:rsid w:val="7AAA304B"/>
    <w:rsid w:val="7B043B76"/>
    <w:rsid w:val="7BB82B48"/>
    <w:rsid w:val="7C041A6A"/>
    <w:rsid w:val="7E327570"/>
    <w:rsid w:val="7ECA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8">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字符"/>
    <w:basedOn w:val="6"/>
    <w:link w:val="5"/>
    <w:qFormat/>
    <w:uiPriority w:val="99"/>
    <w:rPr>
      <w:rFonts w:asciiTheme="minorAscii" w:hAnsiTheme="minorAscii" w:eastAsiaTheme="minorEastAsia"/>
      <w:sz w:val="18"/>
      <w:szCs w:val="18"/>
    </w:rPr>
  </w:style>
  <w:style w:type="character" w:customStyle="1" w:styleId="10">
    <w:name w:val="页脚 字符"/>
    <w:basedOn w:val="6"/>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bmp"/><Relationship Id="rId31" Type="http://schemas.openxmlformats.org/officeDocument/2006/relationships/theme" Target="theme/theme1.xml"/><Relationship Id="rId30" Type="http://schemas.openxmlformats.org/officeDocument/2006/relationships/footer" Target="footer12.xml"/><Relationship Id="rId3" Type="http://schemas.openxmlformats.org/officeDocument/2006/relationships/header" Target="header1.xml"/><Relationship Id="rId29" Type="http://schemas.openxmlformats.org/officeDocument/2006/relationships/header" Target="header16.xml"/><Relationship Id="rId28" Type="http://schemas.openxmlformats.org/officeDocument/2006/relationships/header" Target="header15.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4</TotalTime>
  <ScaleCrop>false</ScaleCrop>
  <LinksUpToDate>false</LinksUpToDate>
  <CharactersWithSpaces>9394</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2021-05-30T09:46:05Z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