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馆陶县水利局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r>
        <w:rPr>
          <w:rFonts w:hint="eastAsia" w:ascii="楷体" w:hAnsi="楷体" w:eastAsia="楷体" w:cs="楷体"/>
          <w:b/>
          <w:sz w:val="40"/>
          <w:szCs w:val="40"/>
        </w:rPr>
        <w:t>（部门公章）</w:t>
      </w:r>
    </w:p>
    <w:p>
      <w:pPr>
        <w:widowControl/>
        <w:jc w:val="center"/>
        <w:rPr>
          <w:rFonts w:ascii="楷体" w:hAnsi="楷体" w:eastAsia="楷体" w:cs="楷体"/>
          <w:b/>
          <w:sz w:val="40"/>
          <w:szCs w:val="40"/>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二〇一九年十</w:t>
      </w:r>
      <w:r>
        <w:rPr>
          <w:rFonts w:hint="eastAsia" w:ascii="楷体" w:hAnsi="楷体" w:eastAsia="楷体" w:cs="楷体"/>
          <w:b/>
          <w:sz w:val="40"/>
          <w:szCs w:val="40"/>
          <w:lang w:val="en-US" w:eastAsia="zh-CN"/>
        </w:rPr>
        <w:t>二</w:t>
      </w:r>
      <w:r>
        <w:rPr>
          <w:rFonts w:hint="eastAsia" w:ascii="楷体" w:hAnsi="楷体" w:eastAsia="楷体" w:cs="楷体"/>
          <w:b/>
          <w:sz w:val="40"/>
          <w:szCs w:val="40"/>
        </w:rPr>
        <w:t>月</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馆陶县水利局</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autoSpaceDE w:val="0"/>
        <w:autoSpaceDN w:val="0"/>
        <w:adjustRightInd w:val="0"/>
        <w:snapToGrid w:val="0"/>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ArialUnicodeMS"/>
          <w:kern w:val="0"/>
          <w:sz w:val="32"/>
          <w:szCs w:val="32"/>
        </w:rPr>
        <w:t>根据《馆陶县人民政府办公室关于馆陶县水利局主要职责内设机构和人员编制规定的通知》(馆政字</w:t>
      </w:r>
      <w:r>
        <w:rPr>
          <w:rFonts w:hint="eastAsia" w:ascii="仿宋" w:hAnsi="仿宋" w:eastAsia="仿宋" w:cs="宋体"/>
          <w:kern w:val="0"/>
          <w:sz w:val="32"/>
          <w:szCs w:val="32"/>
        </w:rPr>
        <w:t>[</w:t>
      </w:r>
      <w:r>
        <w:rPr>
          <w:rFonts w:hint="eastAsia" w:ascii="仿宋" w:hAnsi="仿宋" w:eastAsia="仿宋" w:cs="ArialUnicodeMS"/>
          <w:kern w:val="0"/>
          <w:sz w:val="32"/>
          <w:szCs w:val="32"/>
        </w:rPr>
        <w:t>2015</w:t>
      </w:r>
      <w:r>
        <w:rPr>
          <w:rFonts w:hint="eastAsia" w:ascii="仿宋" w:hAnsi="仿宋" w:eastAsia="仿宋" w:cs="宋体"/>
          <w:kern w:val="0"/>
          <w:sz w:val="32"/>
          <w:szCs w:val="32"/>
        </w:rPr>
        <w:t>]</w:t>
      </w:r>
      <w:r>
        <w:rPr>
          <w:rFonts w:hint="eastAsia" w:ascii="仿宋" w:hAnsi="仿宋" w:eastAsia="仿宋" w:cs="ArialUnicodeMS"/>
          <w:kern w:val="0"/>
          <w:sz w:val="32"/>
          <w:szCs w:val="32"/>
        </w:rPr>
        <w:t>70号)规定，水利局的主要职责是：</w:t>
      </w:r>
    </w:p>
    <w:p>
      <w:pPr>
        <w:autoSpaceDE w:val="0"/>
        <w:autoSpaceDN w:val="0"/>
        <w:adjustRightInd w:val="0"/>
        <w:snapToGrid w:val="0"/>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ArialUnicodeMS"/>
          <w:kern w:val="0"/>
          <w:sz w:val="32"/>
          <w:szCs w:val="32"/>
        </w:rPr>
        <w:t>1</w:t>
      </w:r>
      <w:r>
        <w:rPr>
          <w:rFonts w:hint="eastAsia" w:ascii="仿宋" w:hAnsi="仿宋" w:eastAsia="仿宋" w:cs="宋体"/>
          <w:kern w:val="0"/>
          <w:sz w:val="32"/>
          <w:szCs w:val="32"/>
        </w:rPr>
        <w:t>、</w:t>
      </w:r>
      <w:r>
        <w:rPr>
          <w:rFonts w:hint="eastAsia" w:ascii="仿宋" w:hAnsi="仿宋" w:eastAsia="仿宋" w:cs="ArialUnicodeMS"/>
          <w:kern w:val="0"/>
          <w:sz w:val="32"/>
          <w:szCs w:val="32"/>
        </w:rPr>
        <w:t>负责保障水资源的合理开发利用，拟订水利战略规划和政策，起草有关政府规章文件，组织编制综合规划；防洪规划等重大水利规划。按规定制定水利工程建设有关制度并组织实施，负责提出水利固定资产投资规模和方向、县级财政性资金安排的意见，按规定权限审批、核准县规划内和年度规划规模内固定资产的投资项目；提出县级水利建设投资安排建议并组织实施。</w:t>
      </w:r>
    </w:p>
    <w:p>
      <w:pPr>
        <w:autoSpaceDE w:val="0"/>
        <w:autoSpaceDN w:val="0"/>
        <w:adjustRightInd w:val="0"/>
        <w:snapToGrid w:val="0"/>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ArialUnicodeMS"/>
          <w:kern w:val="0"/>
          <w:sz w:val="32"/>
          <w:szCs w:val="32"/>
        </w:rPr>
        <w:t>2、负责生活、生产经验和生态环境用水的统筹兼顾和保障。实施水资源的统一监督管理，拟订全县水中长期供求规划、水量分配方案并监督实施，组织开展水资源调查评价工作，按规定开展水能资源调查工作，负责重要河渠调水工程的水资源调度，组织实施取水许可；水资源有偿使用制度和水资源论证、防洪认证制度；指导水利行业供水和乡镇供水工作。</w:t>
      </w:r>
    </w:p>
    <w:p>
      <w:pPr>
        <w:autoSpaceDE w:val="0"/>
        <w:autoSpaceDN w:val="0"/>
        <w:adjustRightInd w:val="0"/>
        <w:snapToGrid w:val="0"/>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ArialUnicodeMS"/>
          <w:kern w:val="0"/>
          <w:sz w:val="32"/>
          <w:szCs w:val="32"/>
        </w:rPr>
        <w:t>3、负责水资源保护工作。组织编制水资源保护规划，组织拟订水功能区划并监督实施，核定水域纳污能力，提出限制排污总量建议，指导饮用水水源保护工作，指导地下水开发利用和城市规划区地下水资源管理保护工作。</w:t>
      </w:r>
    </w:p>
    <w:p>
      <w:pPr>
        <w:autoSpaceDE w:val="0"/>
        <w:autoSpaceDN w:val="0"/>
        <w:adjustRightInd w:val="0"/>
        <w:snapToGrid w:val="0"/>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ArialUnicodeMS"/>
          <w:kern w:val="0"/>
          <w:sz w:val="32"/>
          <w:szCs w:val="32"/>
        </w:rPr>
        <w:t>4、负责防治水旱灾害，承担馆陶县防汛抗旱指挥部的具体工作。组织、协调、监督、指挥全县防汛抗旱工作，对主要河道和重要水工程实施防汛抗旱调度和应急水量调度，编制全县防汛抗旱应急预案并组织实施。指导水利突发公共事件的应急管理工作。</w:t>
      </w:r>
    </w:p>
    <w:p>
      <w:pPr>
        <w:autoSpaceDE w:val="0"/>
        <w:autoSpaceDN w:val="0"/>
        <w:adjustRightInd w:val="0"/>
        <w:snapToGrid w:val="0"/>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ArialUnicodeMS"/>
          <w:kern w:val="0"/>
          <w:sz w:val="32"/>
          <w:szCs w:val="32"/>
        </w:rPr>
        <w:t>5、负责节约用水工作。拟订节水用水政策，编制节约用水规划，制订有关标准，指导和推动节水型社会建设工作。</w:t>
      </w:r>
    </w:p>
    <w:p>
      <w:pPr>
        <w:autoSpaceDE w:val="0"/>
        <w:autoSpaceDN w:val="0"/>
        <w:adjustRightInd w:val="0"/>
        <w:snapToGrid w:val="0"/>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ArialUnicodeMS"/>
          <w:kern w:val="0"/>
          <w:sz w:val="32"/>
          <w:szCs w:val="32"/>
        </w:rPr>
        <w:t>6、指导水利设施、水域及其岸线的管理与保护，指导主要河道的治理和开发，指导水利工程建设与运行管理，组织实施具有控制性的跨县区、款流域的重要水利工程建设与运行管理，承担水库移民管理工作。</w:t>
      </w:r>
    </w:p>
    <w:p>
      <w:pPr>
        <w:autoSpaceDE w:val="0"/>
        <w:autoSpaceDN w:val="0"/>
        <w:adjustRightInd w:val="0"/>
        <w:snapToGrid w:val="0"/>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ArialUnicodeMS"/>
          <w:kern w:val="0"/>
          <w:sz w:val="32"/>
          <w:szCs w:val="32"/>
        </w:rPr>
        <w:t>7、负责防止水土流失。拟订水土保持规划并监督实施，组织实施水土流失的综合防治、检测预报并定期公告。</w:t>
      </w:r>
    </w:p>
    <w:p>
      <w:pPr>
        <w:autoSpaceDE w:val="0"/>
        <w:autoSpaceDN w:val="0"/>
        <w:adjustRightInd w:val="0"/>
        <w:snapToGrid w:val="0"/>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ArialUnicodeMS"/>
          <w:kern w:val="0"/>
          <w:sz w:val="32"/>
          <w:szCs w:val="32"/>
        </w:rPr>
        <w:t>8、指导农村水利工作。组织协调农田水利基本建设，指导农村饮水安全、节水灌溉等工程建设与管理工作，指导农村水利社会化服务体系建设。负责制订全县水利开发利用规划，指导水利行业的运行管理及安全生产，负责水利项目建议书、可研报告及初步设计的审查、上报工作。</w:t>
      </w:r>
    </w:p>
    <w:p>
      <w:pPr>
        <w:autoSpaceDE w:val="0"/>
        <w:autoSpaceDN w:val="0"/>
        <w:adjustRightInd w:val="0"/>
        <w:snapToGrid w:val="0"/>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宋体"/>
          <w:kern w:val="0"/>
          <w:sz w:val="32"/>
          <w:szCs w:val="32"/>
        </w:rPr>
        <w:t>9、</w:t>
      </w:r>
      <w:r>
        <w:rPr>
          <w:rFonts w:hint="eastAsia" w:ascii="仿宋" w:hAnsi="仿宋" w:eastAsia="仿宋" w:cs="ArialUnicodeMS"/>
          <w:kern w:val="0"/>
          <w:sz w:val="32"/>
          <w:szCs w:val="32"/>
        </w:rPr>
        <w:t>负责重大涉水违法事件的查处，协调、仲裁部门间水事纠纷，指导水政检查和水行政执法。依法负责水利行业安全生产工作，组织实施水利工程建设的监督。</w:t>
      </w:r>
    </w:p>
    <w:p>
      <w:pPr>
        <w:autoSpaceDE w:val="0"/>
        <w:autoSpaceDN w:val="0"/>
        <w:adjustRightInd w:val="0"/>
        <w:snapToGrid w:val="0"/>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ArialUnicodeMS"/>
          <w:kern w:val="0"/>
          <w:sz w:val="32"/>
          <w:szCs w:val="32"/>
        </w:rPr>
        <w:t>10、开展水利科技和外事工作。组织开展水利行业质量监督工作，拟订水利行业的技术标准、规程规范并监督实施，承担水利统计工作，办理有关水利涉外事务。</w:t>
      </w:r>
    </w:p>
    <w:p>
      <w:pPr>
        <w:autoSpaceDE w:val="0"/>
        <w:autoSpaceDN w:val="0"/>
        <w:adjustRightInd w:val="0"/>
        <w:snapToGrid w:val="0"/>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ArialUnicodeMS"/>
          <w:kern w:val="0"/>
          <w:sz w:val="32"/>
          <w:szCs w:val="32"/>
        </w:rPr>
        <w:t>11、承办县委、县政府交办的其他事项。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ascii="仿宋" w:hAnsi="仿宋" w:eastAsia="仿宋" w:cs="ArialUnicodeMS"/>
          <w:kern w:val="0"/>
          <w:sz w:val="32"/>
          <w:szCs w:val="32"/>
        </w:rPr>
      </w:pPr>
      <w:r>
        <w:rPr>
          <w:rFonts w:hint="eastAsia" w:ascii="仿宋" w:hAnsi="仿宋" w:eastAsia="仿宋" w:cs="ArialUnicodeMS"/>
          <w:kern w:val="0"/>
          <w:sz w:val="32"/>
          <w:szCs w:val="32"/>
        </w:rPr>
        <w:t>从决算编报单位构成看，纳入2018 年度本部门决算汇编范围的独立核算单位（以下简称“单位”）共三个，具体情况如下：</w:t>
      </w:r>
    </w:p>
    <w:tbl>
      <w:tblPr>
        <w:tblStyle w:val="14"/>
        <w:tblpPr w:leftFromText="180" w:rightFromText="180" w:vertAnchor="text" w:horzAnchor="page" w:tblpXSpec="center" w:tblpY="10"/>
        <w:tblOverlap w:val="never"/>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969"/>
        <w:gridCol w:w="255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17" w:type="dxa"/>
            <w:vAlign w:val="center"/>
          </w:tcPr>
          <w:p>
            <w:pPr>
              <w:adjustRightInd w:val="0"/>
              <w:snapToGrid w:val="0"/>
              <w:spacing w:after="0" w:line="420" w:lineRule="atLeast"/>
              <w:jc w:val="center"/>
              <w:rPr>
                <w:rFonts w:ascii="仿宋" w:hAnsi="仿宋" w:eastAsia="仿宋" w:cs="ArialUnicodeMS"/>
                <w:b/>
                <w:bCs/>
                <w:kern w:val="0"/>
                <w:sz w:val="28"/>
                <w:szCs w:val="28"/>
              </w:rPr>
            </w:pPr>
            <w:r>
              <w:rPr>
                <w:rFonts w:hint="eastAsia" w:ascii="仿宋" w:hAnsi="仿宋" w:eastAsia="仿宋" w:cs="ArialUnicodeMS"/>
                <w:b/>
                <w:bCs/>
                <w:kern w:val="0"/>
                <w:sz w:val="28"/>
                <w:szCs w:val="28"/>
              </w:rPr>
              <w:t>序号</w:t>
            </w:r>
          </w:p>
        </w:tc>
        <w:tc>
          <w:tcPr>
            <w:tcW w:w="3969" w:type="dxa"/>
            <w:vAlign w:val="center"/>
          </w:tcPr>
          <w:p>
            <w:pPr>
              <w:adjustRightInd w:val="0"/>
              <w:snapToGrid w:val="0"/>
              <w:spacing w:after="0" w:line="420" w:lineRule="atLeast"/>
              <w:jc w:val="center"/>
              <w:rPr>
                <w:rFonts w:ascii="仿宋" w:hAnsi="仿宋" w:eastAsia="仿宋" w:cs="ArialUnicodeMS"/>
                <w:b/>
                <w:bCs/>
                <w:kern w:val="0"/>
                <w:sz w:val="28"/>
                <w:szCs w:val="28"/>
              </w:rPr>
            </w:pPr>
            <w:r>
              <w:rPr>
                <w:rFonts w:hint="eastAsia" w:ascii="仿宋" w:hAnsi="仿宋" w:eastAsia="仿宋" w:cs="ArialUnicodeMS"/>
                <w:b/>
                <w:bCs/>
                <w:kern w:val="0"/>
                <w:sz w:val="28"/>
                <w:szCs w:val="28"/>
              </w:rPr>
              <w:t>单位名称</w:t>
            </w:r>
          </w:p>
        </w:tc>
        <w:tc>
          <w:tcPr>
            <w:tcW w:w="2552" w:type="dxa"/>
            <w:vAlign w:val="center"/>
          </w:tcPr>
          <w:p>
            <w:pPr>
              <w:adjustRightInd w:val="0"/>
              <w:snapToGrid w:val="0"/>
              <w:spacing w:after="0" w:line="420" w:lineRule="atLeast"/>
              <w:jc w:val="center"/>
              <w:rPr>
                <w:rFonts w:ascii="仿宋" w:hAnsi="仿宋" w:eastAsia="仿宋" w:cs="ArialUnicodeMS"/>
                <w:b/>
                <w:bCs/>
                <w:kern w:val="0"/>
                <w:sz w:val="28"/>
                <w:szCs w:val="28"/>
              </w:rPr>
            </w:pPr>
            <w:r>
              <w:rPr>
                <w:rFonts w:hint="eastAsia" w:ascii="仿宋" w:hAnsi="仿宋" w:eastAsia="仿宋" w:cs="ArialUnicodeMS"/>
                <w:b/>
                <w:bCs/>
                <w:kern w:val="0"/>
                <w:sz w:val="28"/>
                <w:szCs w:val="28"/>
              </w:rPr>
              <w:t>单位基本性质</w:t>
            </w:r>
          </w:p>
        </w:tc>
        <w:tc>
          <w:tcPr>
            <w:tcW w:w="1559" w:type="dxa"/>
            <w:vAlign w:val="center"/>
          </w:tcPr>
          <w:p>
            <w:pPr>
              <w:adjustRightInd w:val="0"/>
              <w:snapToGrid w:val="0"/>
              <w:spacing w:after="0" w:line="420" w:lineRule="atLeast"/>
              <w:jc w:val="center"/>
              <w:rPr>
                <w:rFonts w:ascii="仿宋" w:hAnsi="仿宋" w:eastAsia="仿宋" w:cs="ArialUnicodeMS"/>
                <w:b/>
                <w:bCs/>
                <w:kern w:val="0"/>
                <w:sz w:val="28"/>
                <w:szCs w:val="28"/>
              </w:rPr>
            </w:pPr>
            <w:r>
              <w:rPr>
                <w:rFonts w:hint="eastAsia" w:ascii="仿宋" w:hAnsi="仿宋" w:eastAsia="仿宋"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17" w:type="dxa"/>
          </w:tcPr>
          <w:p>
            <w:pPr>
              <w:adjustRightInd w:val="0"/>
              <w:snapToGrid w:val="0"/>
              <w:spacing w:after="0" w:line="420" w:lineRule="atLeast"/>
              <w:jc w:val="center"/>
              <w:rPr>
                <w:rFonts w:ascii="仿宋" w:hAnsi="仿宋" w:eastAsia="仿宋" w:cs="ArialUnicodeMS"/>
                <w:kern w:val="0"/>
                <w:sz w:val="28"/>
                <w:szCs w:val="28"/>
              </w:rPr>
            </w:pPr>
            <w:r>
              <w:rPr>
                <w:rFonts w:hint="eastAsia" w:ascii="仿宋" w:hAnsi="仿宋" w:eastAsia="仿宋" w:cs="ArialUnicodeMS"/>
                <w:kern w:val="0"/>
                <w:sz w:val="28"/>
                <w:szCs w:val="28"/>
              </w:rPr>
              <w:t>1</w:t>
            </w:r>
          </w:p>
        </w:tc>
        <w:tc>
          <w:tcPr>
            <w:tcW w:w="3969" w:type="dxa"/>
          </w:tcPr>
          <w:p>
            <w:pPr>
              <w:adjustRightInd w:val="0"/>
              <w:snapToGrid w:val="0"/>
              <w:spacing w:after="0" w:line="420" w:lineRule="atLeast"/>
              <w:rPr>
                <w:rFonts w:ascii="仿宋" w:hAnsi="仿宋" w:eastAsia="仿宋" w:cs="ArialUnicodeMS"/>
                <w:kern w:val="0"/>
                <w:sz w:val="28"/>
                <w:szCs w:val="28"/>
              </w:rPr>
            </w:pPr>
            <w:r>
              <w:rPr>
                <w:rFonts w:hint="eastAsia" w:ascii="仿宋" w:hAnsi="仿宋" w:eastAsia="仿宋" w:cs="宋体"/>
                <w:kern w:val="0"/>
                <w:sz w:val="28"/>
                <w:szCs w:val="28"/>
              </w:rPr>
              <w:t>馆陶县水利局</w:t>
            </w:r>
          </w:p>
        </w:tc>
        <w:tc>
          <w:tcPr>
            <w:tcW w:w="2552" w:type="dxa"/>
          </w:tcPr>
          <w:p>
            <w:pPr>
              <w:adjustRightInd w:val="0"/>
              <w:snapToGrid w:val="0"/>
              <w:spacing w:after="0" w:line="420" w:lineRule="atLeast"/>
              <w:jc w:val="center"/>
              <w:rPr>
                <w:rFonts w:ascii="仿宋" w:hAnsi="仿宋" w:eastAsia="仿宋" w:cs="ArialUnicodeMS"/>
                <w:kern w:val="0"/>
                <w:sz w:val="28"/>
                <w:szCs w:val="28"/>
              </w:rPr>
            </w:pPr>
          </w:p>
        </w:tc>
        <w:tc>
          <w:tcPr>
            <w:tcW w:w="1559" w:type="dxa"/>
          </w:tcPr>
          <w:p>
            <w:pPr>
              <w:adjustRightInd w:val="0"/>
              <w:snapToGrid w:val="0"/>
              <w:spacing w:after="0" w:line="420" w:lineRule="atLeast"/>
              <w:jc w:val="center"/>
              <w:rPr>
                <w:rFonts w:ascii="仿宋" w:hAnsi="仿宋" w:eastAsia="仿宋"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17" w:type="dxa"/>
          </w:tcPr>
          <w:p>
            <w:pPr>
              <w:adjustRightInd w:val="0"/>
              <w:snapToGrid w:val="0"/>
              <w:spacing w:after="0" w:line="420" w:lineRule="atLeast"/>
              <w:jc w:val="center"/>
              <w:rPr>
                <w:rFonts w:ascii="仿宋" w:hAnsi="仿宋" w:eastAsia="仿宋" w:cs="ArialUnicodeMS"/>
                <w:kern w:val="0"/>
                <w:sz w:val="28"/>
                <w:szCs w:val="28"/>
              </w:rPr>
            </w:pPr>
            <w:r>
              <w:rPr>
                <w:rFonts w:hint="eastAsia" w:ascii="仿宋" w:hAnsi="仿宋" w:eastAsia="仿宋" w:cs="ArialUnicodeMS"/>
                <w:kern w:val="0"/>
                <w:sz w:val="28"/>
                <w:szCs w:val="28"/>
              </w:rPr>
              <w:t>2</w:t>
            </w:r>
          </w:p>
        </w:tc>
        <w:tc>
          <w:tcPr>
            <w:tcW w:w="3969" w:type="dxa"/>
          </w:tcPr>
          <w:p>
            <w:pPr>
              <w:adjustRightInd w:val="0"/>
              <w:snapToGrid w:val="0"/>
              <w:spacing w:after="0" w:line="420" w:lineRule="atLeast"/>
              <w:rPr>
                <w:rFonts w:ascii="仿宋" w:hAnsi="仿宋" w:eastAsia="仿宋" w:cs="ArialUnicodeMS"/>
                <w:kern w:val="0"/>
                <w:sz w:val="28"/>
                <w:szCs w:val="28"/>
              </w:rPr>
            </w:pPr>
            <w:r>
              <w:rPr>
                <w:rFonts w:hint="eastAsia" w:ascii="仿宋" w:hAnsi="仿宋" w:eastAsia="仿宋" w:cs="ArialUnicodeMS"/>
                <w:kern w:val="0"/>
                <w:sz w:val="28"/>
                <w:szCs w:val="28"/>
              </w:rPr>
              <w:t>馆陶县水利局（本级）</w:t>
            </w:r>
          </w:p>
        </w:tc>
        <w:tc>
          <w:tcPr>
            <w:tcW w:w="2552" w:type="dxa"/>
          </w:tcPr>
          <w:p>
            <w:pPr>
              <w:adjustRightInd w:val="0"/>
              <w:snapToGrid w:val="0"/>
              <w:spacing w:after="0" w:line="420" w:lineRule="atLeast"/>
              <w:jc w:val="center"/>
              <w:rPr>
                <w:rFonts w:ascii="仿宋" w:hAnsi="仿宋" w:eastAsia="仿宋" w:cs="ArialUnicodeMS"/>
                <w:kern w:val="0"/>
                <w:sz w:val="28"/>
                <w:szCs w:val="28"/>
              </w:rPr>
            </w:pPr>
            <w:r>
              <w:rPr>
                <w:rFonts w:hint="eastAsia" w:ascii="仿宋" w:hAnsi="仿宋" w:eastAsia="仿宋" w:cs="ArialUnicodeMS"/>
                <w:kern w:val="0"/>
                <w:sz w:val="28"/>
                <w:szCs w:val="28"/>
              </w:rPr>
              <w:t>行政单位</w:t>
            </w:r>
          </w:p>
        </w:tc>
        <w:tc>
          <w:tcPr>
            <w:tcW w:w="1559" w:type="dxa"/>
          </w:tcPr>
          <w:p>
            <w:pPr>
              <w:adjustRightInd w:val="0"/>
              <w:snapToGrid w:val="0"/>
              <w:spacing w:after="0" w:line="420" w:lineRule="atLeast"/>
              <w:jc w:val="center"/>
              <w:rPr>
                <w:rFonts w:ascii="仿宋" w:hAnsi="仿宋" w:eastAsia="仿宋" w:cs="ArialUnicodeMS"/>
                <w:kern w:val="0"/>
                <w:sz w:val="28"/>
                <w:szCs w:val="28"/>
              </w:rPr>
            </w:pPr>
            <w:r>
              <w:rPr>
                <w:rFonts w:hint="eastAsia" w:ascii="仿宋" w:hAnsi="仿宋" w:eastAsia="仿宋"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17" w:type="dxa"/>
          </w:tcPr>
          <w:p>
            <w:pPr>
              <w:adjustRightInd w:val="0"/>
              <w:snapToGrid w:val="0"/>
              <w:spacing w:after="0" w:line="420" w:lineRule="atLeast"/>
              <w:jc w:val="center"/>
              <w:rPr>
                <w:rFonts w:ascii="仿宋" w:hAnsi="仿宋" w:eastAsia="仿宋" w:cs="ArialUnicodeMS"/>
                <w:kern w:val="0"/>
                <w:sz w:val="28"/>
                <w:szCs w:val="28"/>
              </w:rPr>
            </w:pPr>
            <w:r>
              <w:rPr>
                <w:rFonts w:hint="eastAsia" w:ascii="仿宋" w:hAnsi="仿宋" w:eastAsia="仿宋" w:cs="ArialUnicodeMS"/>
                <w:kern w:val="0"/>
                <w:sz w:val="28"/>
                <w:szCs w:val="28"/>
              </w:rPr>
              <w:t>3</w:t>
            </w:r>
          </w:p>
        </w:tc>
        <w:tc>
          <w:tcPr>
            <w:tcW w:w="3969" w:type="dxa"/>
            <w:vAlign w:val="center"/>
          </w:tcPr>
          <w:p>
            <w:pPr>
              <w:adjustRightInd w:val="0"/>
              <w:snapToGrid w:val="0"/>
              <w:spacing w:line="420" w:lineRule="atLeast"/>
              <w:rPr>
                <w:rFonts w:ascii="仿宋" w:hAnsi="仿宋" w:eastAsia="仿宋" w:cs="宋体"/>
                <w:color w:val="000000"/>
                <w:kern w:val="0"/>
                <w:sz w:val="28"/>
                <w:szCs w:val="28"/>
              </w:rPr>
            </w:pPr>
            <w:r>
              <w:rPr>
                <w:rFonts w:hint="eastAsia" w:ascii="仿宋" w:hAnsi="仿宋" w:eastAsia="仿宋" w:cs="宋体"/>
                <w:color w:val="000000"/>
                <w:kern w:val="0"/>
                <w:sz w:val="28"/>
                <w:szCs w:val="28"/>
              </w:rPr>
              <w:t>馆陶县水资源综合管理办公室</w:t>
            </w:r>
          </w:p>
        </w:tc>
        <w:tc>
          <w:tcPr>
            <w:tcW w:w="2552" w:type="dxa"/>
            <w:vAlign w:val="center"/>
          </w:tcPr>
          <w:p>
            <w:pPr>
              <w:adjustRightInd w:val="0"/>
              <w:snapToGrid w:val="0"/>
              <w:spacing w:line="420" w:lineRule="atLeast"/>
              <w:rPr>
                <w:rFonts w:ascii="仿宋" w:hAnsi="仿宋" w:eastAsia="仿宋" w:cs="宋体"/>
                <w:color w:val="000000"/>
                <w:kern w:val="0"/>
                <w:sz w:val="28"/>
                <w:szCs w:val="28"/>
              </w:rPr>
            </w:pPr>
            <w:r>
              <w:rPr>
                <w:rFonts w:hint="eastAsia" w:ascii="仿宋" w:hAnsi="仿宋" w:eastAsia="仿宋" w:cs="宋体"/>
                <w:color w:val="000000"/>
                <w:kern w:val="0"/>
                <w:sz w:val="28"/>
                <w:szCs w:val="28"/>
              </w:rPr>
              <w:t>财政补助事业单位</w:t>
            </w:r>
          </w:p>
        </w:tc>
        <w:tc>
          <w:tcPr>
            <w:tcW w:w="1559" w:type="dxa"/>
            <w:vAlign w:val="center"/>
          </w:tcPr>
          <w:p>
            <w:pPr>
              <w:adjustRightInd w:val="0"/>
              <w:snapToGrid w:val="0"/>
              <w:spacing w:line="420" w:lineRule="atLeas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17" w:type="dxa"/>
          </w:tcPr>
          <w:p>
            <w:pPr>
              <w:adjustRightInd w:val="0"/>
              <w:snapToGrid w:val="0"/>
              <w:spacing w:after="0" w:line="420" w:lineRule="atLeast"/>
              <w:jc w:val="center"/>
              <w:rPr>
                <w:rFonts w:ascii="仿宋" w:hAnsi="仿宋" w:eastAsia="仿宋" w:cs="ArialUnicodeMS"/>
                <w:kern w:val="0"/>
                <w:sz w:val="28"/>
                <w:szCs w:val="28"/>
              </w:rPr>
            </w:pPr>
            <w:r>
              <w:rPr>
                <w:rFonts w:hint="eastAsia" w:ascii="仿宋" w:hAnsi="仿宋" w:eastAsia="仿宋" w:cs="ArialUnicodeMS"/>
                <w:kern w:val="0"/>
                <w:sz w:val="28"/>
                <w:szCs w:val="28"/>
              </w:rPr>
              <w:t>4</w:t>
            </w:r>
          </w:p>
        </w:tc>
        <w:tc>
          <w:tcPr>
            <w:tcW w:w="3969" w:type="dxa"/>
            <w:vAlign w:val="center"/>
          </w:tcPr>
          <w:p>
            <w:pPr>
              <w:adjustRightInd w:val="0"/>
              <w:snapToGrid w:val="0"/>
              <w:spacing w:line="420" w:lineRule="atLeast"/>
              <w:rPr>
                <w:rFonts w:ascii="仿宋" w:hAnsi="仿宋" w:eastAsia="仿宋" w:cs="宋体"/>
                <w:color w:val="000000"/>
                <w:kern w:val="0"/>
                <w:sz w:val="28"/>
                <w:szCs w:val="28"/>
              </w:rPr>
            </w:pPr>
            <w:r>
              <w:rPr>
                <w:rFonts w:hint="eastAsia" w:ascii="仿宋" w:hAnsi="仿宋" w:eastAsia="仿宋" w:cs="宋体"/>
                <w:color w:val="000000"/>
                <w:kern w:val="0"/>
                <w:sz w:val="28"/>
                <w:szCs w:val="28"/>
              </w:rPr>
              <w:t>馆陶县农村供水管理总站</w:t>
            </w:r>
          </w:p>
        </w:tc>
        <w:tc>
          <w:tcPr>
            <w:tcW w:w="2552" w:type="dxa"/>
            <w:vAlign w:val="center"/>
          </w:tcPr>
          <w:p>
            <w:pPr>
              <w:adjustRightInd w:val="0"/>
              <w:snapToGrid w:val="0"/>
              <w:spacing w:line="420" w:lineRule="atLeast"/>
              <w:rPr>
                <w:rFonts w:ascii="仿宋" w:hAnsi="仿宋" w:eastAsia="仿宋" w:cs="宋体"/>
                <w:color w:val="000000"/>
                <w:kern w:val="0"/>
                <w:sz w:val="28"/>
                <w:szCs w:val="28"/>
              </w:rPr>
            </w:pPr>
            <w:r>
              <w:rPr>
                <w:rFonts w:hint="eastAsia" w:ascii="仿宋" w:hAnsi="仿宋" w:eastAsia="仿宋" w:cs="宋体"/>
                <w:color w:val="000000"/>
                <w:kern w:val="0"/>
                <w:sz w:val="28"/>
                <w:szCs w:val="28"/>
              </w:rPr>
              <w:t>财政补助事业单位</w:t>
            </w:r>
          </w:p>
        </w:tc>
        <w:tc>
          <w:tcPr>
            <w:tcW w:w="1559" w:type="dxa"/>
            <w:vAlign w:val="center"/>
          </w:tcPr>
          <w:p>
            <w:pPr>
              <w:adjustRightInd w:val="0"/>
              <w:snapToGrid w:val="0"/>
              <w:spacing w:line="420" w:lineRule="atLeas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财政拨款</w:t>
            </w:r>
          </w:p>
        </w:tc>
      </w:tr>
    </w:tbl>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pPr>
        <w:widowControl/>
        <w:spacing w:after="0" w:line="560" w:lineRule="exact"/>
        <w:jc w:val="left"/>
        <w:rPr>
          <w:rFonts w:hint="eastAsia" w:ascii="仿宋_GB2312" w:eastAsia="仿宋_GB2312" w:hAnsiTheme="majorEastAsia"/>
          <w:b/>
          <w:sz w:val="40"/>
          <w:szCs w:val="40"/>
          <w:highlight w:val="none"/>
          <w:lang w:eastAsia="zh-CN"/>
        </w:rPr>
      </w:pPr>
    </w:p>
    <w:p>
      <w:pPr>
        <w:widowControl/>
        <w:spacing w:after="0" w:line="560" w:lineRule="exact"/>
        <w:jc w:val="left"/>
        <w:rPr>
          <w:rFonts w:hint="eastAsia" w:ascii="仿宋_GB2312" w:eastAsia="仿宋_GB2312" w:hAnsiTheme="majorEastAsia"/>
          <w:b/>
          <w:sz w:val="40"/>
          <w:szCs w:val="40"/>
          <w:highlight w:val="none"/>
          <w:lang w:eastAsia="zh-CN"/>
        </w:rPr>
      </w:pPr>
    </w:p>
    <w:p>
      <w:pPr>
        <w:widowControl/>
        <w:spacing w:after="0" w:line="560" w:lineRule="exact"/>
        <w:jc w:val="left"/>
        <w:rPr>
          <w:rFonts w:hint="eastAsia" w:ascii="仿宋_GB2312" w:eastAsia="仿宋_GB2312" w:hAnsiTheme="majorEastAsia"/>
          <w:b/>
          <w:sz w:val="40"/>
          <w:szCs w:val="40"/>
          <w:highlight w:val="none"/>
          <w:lang w:eastAsia="zh-CN"/>
        </w:rPr>
      </w:pPr>
    </w:p>
    <w:p>
      <w:pPr>
        <w:widowControl/>
        <w:spacing w:after="0" w:line="560" w:lineRule="exact"/>
        <w:jc w:val="left"/>
        <w:rPr>
          <w:rFonts w:hint="eastAsia" w:ascii="仿宋_GB2312" w:eastAsia="仿宋_GB2312" w:hAnsiTheme="majorEastAsia"/>
          <w:b/>
          <w:sz w:val="40"/>
          <w:szCs w:val="40"/>
          <w:highlight w:val="none"/>
          <w:lang w:eastAsia="zh-CN"/>
        </w:rPr>
      </w:pPr>
    </w:p>
    <w:p>
      <w:pPr>
        <w:widowControl/>
        <w:spacing w:after="0" w:line="560" w:lineRule="exact"/>
        <w:jc w:val="left"/>
        <w:rPr>
          <w:rFonts w:hint="eastAsia" w:ascii="仿宋_GB2312" w:eastAsia="仿宋_GB2312" w:hAnsiTheme="majorEastAsia"/>
          <w:b/>
          <w:sz w:val="40"/>
          <w:szCs w:val="40"/>
          <w:highlight w:val="none"/>
          <w:lang w:eastAsia="zh-CN"/>
        </w:rPr>
      </w:pPr>
    </w:p>
    <w:p>
      <w:pPr>
        <w:widowControl/>
        <w:spacing w:after="0" w:line="560" w:lineRule="exact"/>
        <w:jc w:val="left"/>
        <w:rPr>
          <w:rFonts w:hint="eastAsia" w:ascii="仿宋_GB2312" w:eastAsia="仿宋_GB2312" w:hAnsiTheme="majorEastAsia"/>
          <w:b/>
          <w:sz w:val="40"/>
          <w:szCs w:val="40"/>
          <w:highlight w:val="none"/>
          <w:lang w:eastAsia="zh-CN"/>
        </w:rPr>
        <w:sectPr>
          <w:pgSz w:w="11906" w:h="16838"/>
          <w:pgMar w:top="2098" w:right="1474" w:bottom="1984" w:left="1588" w:header="851" w:footer="992" w:gutter="0"/>
          <w:cols w:space="0" w:num="1"/>
          <w:docGrid w:type="lines" w:linePitch="312" w:charSpace="0"/>
        </w:sectPr>
      </w:pPr>
      <w:r>
        <w:rPr>
          <w:rFonts w:hint="eastAsia" w:ascii="仿宋_GB2312" w:eastAsia="仿宋_GB2312" w:hAnsiTheme="majorEastAsia"/>
          <w:b/>
          <w:sz w:val="40"/>
          <w:szCs w:val="40"/>
          <w:highlight w:val="none"/>
          <w:lang w:eastAsia="zh-CN"/>
        </w:rPr>
        <w:t>决算报表见附件</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宋体" w:hAnsi="宋体" w:cs="宋体"/>
          <w:sz w:val="32"/>
          <w:szCs w:val="32"/>
        </w:rPr>
        <w:t>9261.08</w:t>
      </w:r>
      <w:r>
        <w:rPr>
          <w:rFonts w:hint="eastAsia" w:ascii="仿宋_GB2312" w:eastAsia="仿宋_GB2312" w:cs="DengXian-Regular"/>
          <w:sz w:val="32"/>
          <w:szCs w:val="32"/>
        </w:rPr>
        <w:t>万元。与2017年度决算相比，收支各增加</w:t>
      </w:r>
      <w:r>
        <w:rPr>
          <w:rFonts w:hint="eastAsia" w:ascii="仿宋_GB2312" w:cs="DengXian-Regular" w:eastAsiaTheme="minorEastAsia"/>
          <w:sz w:val="32"/>
          <w:szCs w:val="32"/>
        </w:rPr>
        <w:t>2757</w:t>
      </w:r>
      <w:r>
        <w:rPr>
          <w:rFonts w:hint="eastAsia" w:ascii="宋体" w:hAnsi="宋体" w:cs="宋体"/>
          <w:sz w:val="32"/>
          <w:szCs w:val="32"/>
        </w:rPr>
        <w:t>.94</w:t>
      </w:r>
      <w:r>
        <w:rPr>
          <w:rFonts w:hint="eastAsia" w:ascii="仿宋_GB2312" w:eastAsia="仿宋_GB2312" w:cs="DengXian-Regular"/>
          <w:sz w:val="32"/>
          <w:szCs w:val="32"/>
        </w:rPr>
        <w:t>万元，增长</w:t>
      </w:r>
      <w:r>
        <w:rPr>
          <w:rFonts w:hint="eastAsia" w:ascii="仿宋_GB2312" w:cs="DengXian-Regular" w:eastAsiaTheme="minorEastAsia"/>
          <w:sz w:val="32"/>
          <w:szCs w:val="32"/>
        </w:rPr>
        <w:t>42</w:t>
      </w:r>
      <w:r>
        <w:rPr>
          <w:rFonts w:hint="eastAsia" w:ascii="宋体" w:hAnsi="宋体" w:cs="宋体"/>
          <w:sz w:val="32"/>
          <w:szCs w:val="32"/>
        </w:rPr>
        <w:t>.4</w:t>
      </w:r>
      <w:r>
        <w:rPr>
          <w:rFonts w:hint="eastAsia" w:ascii="仿宋_GB2312" w:eastAsia="仿宋_GB2312" w:cs="DengXian-Regular"/>
          <w:sz w:val="32"/>
          <w:szCs w:val="32"/>
        </w:rPr>
        <w:t>%，主要原因是</w:t>
      </w:r>
      <w:r>
        <w:rPr>
          <w:rFonts w:hint="eastAsia" w:ascii="仿宋" w:hAnsi="仿宋" w:eastAsia="仿宋" w:cs="宋体"/>
          <w:sz w:val="32"/>
          <w:szCs w:val="32"/>
        </w:rPr>
        <w:t>水利专项</w:t>
      </w:r>
      <w:r>
        <w:rPr>
          <w:rFonts w:hint="eastAsia" w:ascii="仿宋" w:hAnsi="仿宋" w:eastAsia="仿宋" w:cs="DengXian-Regular"/>
          <w:sz w:val="32"/>
          <w:szCs w:val="32"/>
        </w:rPr>
        <w:t>资金原来实行财政专户报账制，自2017年底专项资金拨款到单位账户，导致决算收支增加。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 w:hAnsi="仿宋" w:eastAsia="仿宋" w:cs="宋体"/>
          <w:b/>
          <w:bCs/>
        </w:rPr>
      </w:pPr>
      <w:r>
        <w:rPr>
          <w:rFonts w:hint="eastAsia" w:ascii="仿宋_GB2312" w:eastAsia="仿宋_GB2312" w:cs="DengXian-Regular"/>
          <w:sz w:val="32"/>
          <w:szCs w:val="32"/>
        </w:rPr>
        <w:t>本部门2018年度本年收入合计</w:t>
      </w:r>
      <w:r>
        <w:rPr>
          <w:rFonts w:hint="eastAsia" w:ascii="仿宋_GB2312" w:cs="DengXian-Regular" w:eastAsiaTheme="minorEastAsia"/>
          <w:sz w:val="32"/>
          <w:szCs w:val="32"/>
        </w:rPr>
        <w:t>4316</w:t>
      </w:r>
      <w:r>
        <w:rPr>
          <w:rFonts w:hint="eastAsia" w:ascii="宋体" w:hAnsi="宋体" w:cs="宋体"/>
          <w:sz w:val="32"/>
          <w:szCs w:val="32"/>
        </w:rPr>
        <w:t>.74</w:t>
      </w:r>
      <w:r>
        <w:rPr>
          <w:rFonts w:hint="eastAsia" w:ascii="仿宋_GB2312" w:eastAsia="仿宋_GB2312" w:cs="DengXian-Regular"/>
          <w:sz w:val="32"/>
          <w:szCs w:val="32"/>
        </w:rPr>
        <w:t>万元，其中：财政拨款收入</w:t>
      </w:r>
      <w:r>
        <w:rPr>
          <w:rFonts w:hint="eastAsia" w:ascii="仿宋_GB2312" w:cs="DengXian-Regular" w:eastAsiaTheme="minorEastAsia"/>
          <w:sz w:val="32"/>
          <w:szCs w:val="32"/>
        </w:rPr>
        <w:t>4316</w:t>
      </w:r>
      <w:r>
        <w:rPr>
          <w:rFonts w:hint="eastAsia" w:ascii="宋体" w:hAnsi="宋体" w:cs="宋体"/>
          <w:sz w:val="32"/>
          <w:szCs w:val="32"/>
        </w:rPr>
        <w:t>.74</w:t>
      </w:r>
      <w:r>
        <w:rPr>
          <w:rFonts w:hint="eastAsia" w:ascii="仿宋_GB2312" w:eastAsia="仿宋_GB2312" w:cs="DengXian-Regular"/>
          <w:sz w:val="32"/>
          <w:szCs w:val="32"/>
        </w:rPr>
        <w:t>万元，占</w:t>
      </w:r>
      <w:r>
        <w:rPr>
          <w:rFonts w:hint="eastAsia" w:ascii="仿宋_GB2312" w:cs="DengXian-Regular" w:eastAsiaTheme="minorEastAsia"/>
          <w:sz w:val="32"/>
          <w:szCs w:val="32"/>
        </w:rPr>
        <w:t>100</w:t>
      </w:r>
      <w:r>
        <w:rPr>
          <w:rFonts w:hint="eastAsia" w:ascii="仿宋_GB2312" w:eastAsia="仿宋_GB2312" w:cs="DengXian-Regular"/>
          <w:sz w:val="32"/>
          <w:szCs w:val="32"/>
        </w:rPr>
        <w:t>%。（</w:t>
      </w:r>
      <w:r>
        <w:rPr>
          <w:rFonts w:hint="eastAsia" w:ascii="仿宋" w:hAnsi="仿宋" w:eastAsia="仿宋" w:cs="DengXian-Regular"/>
          <w:sz w:val="32"/>
          <w:szCs w:val="32"/>
        </w:rPr>
        <w:t>一般公共预算财政拨款37</w:t>
      </w:r>
      <w:r>
        <w:rPr>
          <w:rFonts w:hint="eastAsia" w:ascii="仿宋" w:hAnsi="仿宋" w:eastAsia="仿宋" w:cs="宋体"/>
          <w:sz w:val="32"/>
          <w:szCs w:val="32"/>
        </w:rPr>
        <w:t>94.8万元，占87.9%，政府性基金预算财政拨款521.94万元，占12.1%。）</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黑体" w:eastAsia="黑体"/>
          <w:b/>
          <w:bCs/>
        </w:rPr>
      </w:pPr>
      <w:r>
        <w:rPr>
          <w:rFonts w:hint="eastAsia" w:ascii="仿宋_GB2312" w:eastAsia="仿宋_GB2312" w:cs="DengXian-Regular"/>
          <w:sz w:val="32"/>
          <w:szCs w:val="32"/>
        </w:rPr>
        <w:t>本部门2018年度本年支出合计</w:t>
      </w:r>
      <w:r>
        <w:rPr>
          <w:rFonts w:hint="eastAsia" w:ascii="仿宋_GB2312" w:cs="DengXian-Regular" w:eastAsiaTheme="minorEastAsia"/>
          <w:sz w:val="32"/>
          <w:szCs w:val="32"/>
        </w:rPr>
        <w:t>66</w:t>
      </w:r>
      <w:r>
        <w:rPr>
          <w:rFonts w:hint="eastAsia" w:ascii="宋体" w:hAnsi="宋体" w:cs="宋体"/>
          <w:sz w:val="32"/>
          <w:szCs w:val="32"/>
        </w:rPr>
        <w:t>91.78</w:t>
      </w:r>
      <w:r>
        <w:rPr>
          <w:rFonts w:hint="eastAsia" w:ascii="仿宋_GB2312" w:eastAsia="仿宋_GB2312" w:cs="DengXian-Regular"/>
          <w:sz w:val="32"/>
          <w:szCs w:val="32"/>
        </w:rPr>
        <w:t>万元，其中：基本支出</w:t>
      </w:r>
      <w:r>
        <w:rPr>
          <w:rFonts w:hint="eastAsia" w:ascii="仿宋_GB2312" w:cs="DengXian-Regular" w:eastAsiaTheme="minorEastAsia"/>
          <w:sz w:val="32"/>
          <w:szCs w:val="32"/>
        </w:rPr>
        <w:t>10</w:t>
      </w:r>
      <w:r>
        <w:rPr>
          <w:rFonts w:hint="eastAsia" w:ascii="宋体" w:hAnsi="宋体" w:cs="宋体"/>
          <w:sz w:val="32"/>
          <w:szCs w:val="32"/>
        </w:rPr>
        <w:t>95.61</w:t>
      </w:r>
      <w:r>
        <w:rPr>
          <w:rFonts w:hint="eastAsia" w:ascii="仿宋_GB2312" w:eastAsia="仿宋_GB2312" w:cs="DengXian-Regular"/>
          <w:sz w:val="32"/>
          <w:szCs w:val="32"/>
        </w:rPr>
        <w:t>万元，占</w:t>
      </w:r>
      <w:r>
        <w:rPr>
          <w:rFonts w:hint="eastAsia" w:ascii="仿宋_GB2312" w:cs="DengXian-Regular" w:eastAsiaTheme="minorEastAsia"/>
          <w:sz w:val="32"/>
          <w:szCs w:val="32"/>
        </w:rPr>
        <w:t>16</w:t>
      </w:r>
      <w:r>
        <w:rPr>
          <w:rFonts w:hint="eastAsia" w:ascii="宋体" w:hAnsi="宋体" w:cs="宋体"/>
          <w:sz w:val="32"/>
          <w:szCs w:val="32"/>
        </w:rPr>
        <w:t>.37</w:t>
      </w:r>
      <w:r>
        <w:rPr>
          <w:rFonts w:hint="eastAsia" w:ascii="仿宋_GB2312" w:eastAsia="仿宋_GB2312" w:cs="DengXian-Regular"/>
          <w:sz w:val="32"/>
          <w:szCs w:val="32"/>
        </w:rPr>
        <w:t>%；项目支出</w:t>
      </w:r>
      <w:r>
        <w:rPr>
          <w:rFonts w:hint="eastAsia" w:ascii="仿宋_GB2312" w:cs="DengXian-Regular" w:eastAsiaTheme="minorEastAsia"/>
          <w:sz w:val="32"/>
          <w:szCs w:val="32"/>
        </w:rPr>
        <w:t>55</w:t>
      </w:r>
      <w:r>
        <w:rPr>
          <w:rFonts w:hint="eastAsia" w:ascii="宋体" w:hAnsi="宋体" w:cs="宋体"/>
          <w:sz w:val="32"/>
          <w:szCs w:val="32"/>
        </w:rPr>
        <w:t>96.17</w:t>
      </w:r>
      <w:r>
        <w:rPr>
          <w:rFonts w:hint="eastAsia" w:ascii="仿宋_GB2312" w:eastAsia="仿宋_GB2312" w:cs="DengXian-Regular"/>
          <w:sz w:val="32"/>
          <w:szCs w:val="32"/>
        </w:rPr>
        <w:t>万元，占</w:t>
      </w:r>
      <w:r>
        <w:rPr>
          <w:rFonts w:hint="eastAsia" w:ascii="仿宋_GB2312" w:cs="DengXian-Regular" w:eastAsiaTheme="minorEastAsia"/>
          <w:sz w:val="32"/>
          <w:szCs w:val="32"/>
        </w:rPr>
        <w:t>83</w:t>
      </w:r>
      <w:r>
        <w:rPr>
          <w:rFonts w:hint="eastAsia" w:ascii="宋体" w:hAnsi="宋体" w:cs="宋体"/>
          <w:sz w:val="32"/>
          <w:szCs w:val="32"/>
        </w:rPr>
        <w:t>.63</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cs="DengXian-Regular" w:eastAsiaTheme="minorEastAsia"/>
          <w:sz w:val="32"/>
          <w:szCs w:val="32"/>
        </w:rPr>
        <w:t>4316</w:t>
      </w:r>
      <w:r>
        <w:rPr>
          <w:rFonts w:hint="eastAsia" w:ascii="宋体" w:hAnsi="宋体" w:cs="宋体"/>
          <w:sz w:val="32"/>
          <w:szCs w:val="32"/>
        </w:rPr>
        <w:t>.74</w:t>
      </w:r>
      <w:r>
        <w:rPr>
          <w:rFonts w:hint="eastAsia" w:ascii="仿宋_GB2312" w:eastAsia="仿宋_GB2312" w:cs="DengXian-Regular"/>
          <w:sz w:val="32"/>
          <w:szCs w:val="32"/>
        </w:rPr>
        <w:t>万元,比2017年度</w:t>
      </w:r>
      <w:r>
        <w:rPr>
          <w:rFonts w:hint="eastAsia" w:ascii="仿宋" w:hAnsi="仿宋" w:eastAsia="仿宋" w:cs="DengXian-Regular"/>
          <w:sz w:val="32"/>
          <w:szCs w:val="32"/>
        </w:rPr>
        <w:t>减少</w:t>
      </w:r>
      <w:r>
        <w:rPr>
          <w:rFonts w:hint="eastAsia" w:ascii="仿宋_GB2312" w:cs="DengXian-Regular" w:eastAsiaTheme="minorEastAsia"/>
          <w:sz w:val="32"/>
          <w:szCs w:val="32"/>
        </w:rPr>
        <w:t>2136</w:t>
      </w:r>
      <w:r>
        <w:rPr>
          <w:rFonts w:hint="eastAsia" w:ascii="宋体" w:hAnsi="宋体" w:cs="宋体"/>
          <w:sz w:val="32"/>
          <w:szCs w:val="32"/>
        </w:rPr>
        <w:t>.</w:t>
      </w:r>
      <w:r>
        <w:rPr>
          <w:rFonts w:hint="eastAsia" w:ascii="仿宋_GB2312" w:cs="DengXian-Regular" w:eastAsiaTheme="minorEastAsia"/>
          <w:sz w:val="32"/>
          <w:szCs w:val="32"/>
        </w:rPr>
        <w:t>41</w:t>
      </w:r>
      <w:r>
        <w:rPr>
          <w:rFonts w:hint="eastAsia" w:ascii="仿宋_GB2312" w:eastAsia="仿宋_GB2312" w:cs="DengXian-Regular"/>
          <w:sz w:val="32"/>
          <w:szCs w:val="32"/>
        </w:rPr>
        <w:t>万元，降低</w:t>
      </w:r>
      <w:r>
        <w:rPr>
          <w:rFonts w:hint="eastAsia" w:ascii="仿宋_GB2312" w:cs="DengXian-Regular" w:eastAsiaTheme="minorEastAsia"/>
          <w:sz w:val="32"/>
          <w:szCs w:val="32"/>
        </w:rPr>
        <w:t>33</w:t>
      </w:r>
      <w:r>
        <w:rPr>
          <w:rFonts w:hint="eastAsia" w:ascii="宋体" w:hAnsi="宋体" w:cs="宋体"/>
          <w:sz w:val="32"/>
          <w:szCs w:val="32"/>
        </w:rPr>
        <w:t>.1</w:t>
      </w:r>
      <w:r>
        <w:rPr>
          <w:rFonts w:hint="eastAsia" w:ascii="仿宋_GB2312" w:eastAsia="仿宋_GB2312" w:cs="DengXian-Regular"/>
          <w:sz w:val="32"/>
          <w:szCs w:val="32"/>
        </w:rPr>
        <w:t>%，主要是</w:t>
      </w:r>
      <w:r>
        <w:rPr>
          <w:rFonts w:hint="eastAsia" w:ascii="仿宋" w:hAnsi="仿宋" w:eastAsia="仿宋" w:cs="DengXian-Regular"/>
          <w:sz w:val="32"/>
          <w:szCs w:val="32"/>
        </w:rPr>
        <w:t>机构</w:t>
      </w:r>
      <w:r>
        <w:rPr>
          <w:rFonts w:hint="eastAsia" w:ascii="仿宋" w:hAnsi="仿宋" w:eastAsia="仿宋" w:cs="宋体"/>
          <w:sz w:val="32"/>
          <w:szCs w:val="32"/>
        </w:rPr>
        <w:t>改革职能调整，水利专项投资相对减少</w:t>
      </w:r>
      <w:r>
        <w:rPr>
          <w:rFonts w:hint="eastAsia" w:ascii="仿宋_GB2312" w:eastAsia="仿宋_GB2312" w:cs="DengXian-Regular"/>
          <w:sz w:val="32"/>
          <w:szCs w:val="32"/>
        </w:rPr>
        <w:t>；本年支出</w:t>
      </w:r>
      <w:r>
        <w:rPr>
          <w:rFonts w:hint="eastAsia" w:ascii="仿宋" w:hAnsi="仿宋" w:eastAsia="仿宋" w:cs="DengXian-Regular"/>
          <w:sz w:val="32"/>
          <w:szCs w:val="32"/>
        </w:rPr>
        <w:t>66</w:t>
      </w:r>
      <w:r>
        <w:rPr>
          <w:rFonts w:hint="eastAsia" w:ascii="仿宋" w:hAnsi="仿宋" w:eastAsia="仿宋" w:cs="宋体"/>
          <w:sz w:val="32"/>
          <w:szCs w:val="32"/>
        </w:rPr>
        <w:t>91.78</w:t>
      </w:r>
      <w:r>
        <w:rPr>
          <w:rFonts w:hint="eastAsia" w:ascii="仿宋_GB2312" w:eastAsia="仿宋_GB2312" w:cs="DengXian-Regular"/>
          <w:sz w:val="32"/>
          <w:szCs w:val="32"/>
        </w:rPr>
        <w:t>万元，增加</w:t>
      </w:r>
      <w:r>
        <w:rPr>
          <w:rFonts w:hint="eastAsia" w:ascii="仿宋" w:hAnsi="仿宋" w:eastAsia="仿宋" w:cs="DengXian-Regular"/>
          <w:sz w:val="32"/>
          <w:szCs w:val="32"/>
        </w:rPr>
        <w:t>5177</w:t>
      </w:r>
      <w:r>
        <w:rPr>
          <w:rFonts w:hint="eastAsia" w:ascii="仿宋" w:hAnsi="仿宋" w:eastAsia="仿宋" w:cs="宋体"/>
          <w:sz w:val="32"/>
          <w:szCs w:val="32"/>
        </w:rPr>
        <w:t>.8</w:t>
      </w:r>
      <w:r>
        <w:rPr>
          <w:rFonts w:hint="eastAsia" w:ascii="仿宋_GB2312" w:eastAsia="仿宋_GB2312" w:cs="DengXian-Regular"/>
          <w:sz w:val="32"/>
          <w:szCs w:val="32"/>
        </w:rPr>
        <w:t>万元，增长</w:t>
      </w:r>
      <w:r>
        <w:rPr>
          <w:rFonts w:hint="eastAsia" w:ascii="仿宋_GB2312" w:cs="DengXian-Regular" w:eastAsiaTheme="minorEastAsia"/>
          <w:sz w:val="32"/>
          <w:szCs w:val="32"/>
        </w:rPr>
        <w:t>341</w:t>
      </w:r>
      <w:r>
        <w:rPr>
          <w:rFonts w:hint="eastAsia" w:ascii="仿宋_GB2312" w:eastAsia="仿宋_GB2312" w:cs="DengXian-Regular"/>
          <w:sz w:val="32"/>
          <w:szCs w:val="32"/>
        </w:rPr>
        <w:t>%，主要是</w:t>
      </w:r>
      <w:r>
        <w:rPr>
          <w:rFonts w:hint="eastAsia" w:ascii="仿宋_GB2312" w:cs="DengXian-Regular" w:eastAsiaTheme="minorEastAsia"/>
          <w:sz w:val="32"/>
          <w:szCs w:val="32"/>
        </w:rPr>
        <w:t>2017</w:t>
      </w:r>
      <w:r>
        <w:rPr>
          <w:rFonts w:hint="eastAsia" w:ascii="仿宋" w:hAnsi="仿宋" w:eastAsia="仿宋" w:cs="DengXian-Regular"/>
          <w:sz w:val="32"/>
          <w:szCs w:val="32"/>
        </w:rPr>
        <w:t>年决算数据不含项目投资，2018年决算数据中含水利专项资金支付。</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cs="DengXian-Regular" w:eastAsiaTheme="minorEastAsia"/>
          <w:sz w:val="32"/>
          <w:szCs w:val="32"/>
        </w:rPr>
        <w:t>37</w:t>
      </w:r>
      <w:r>
        <w:rPr>
          <w:rFonts w:hint="eastAsia" w:ascii="宋体" w:hAnsi="宋体" w:cs="宋体"/>
          <w:sz w:val="32"/>
          <w:szCs w:val="32"/>
        </w:rPr>
        <w:t>94.8</w:t>
      </w:r>
      <w:r>
        <w:rPr>
          <w:rFonts w:hint="eastAsia" w:ascii="仿宋_GB2312" w:eastAsia="仿宋_GB2312" w:cs="DengXian-Regular"/>
          <w:sz w:val="32"/>
          <w:szCs w:val="32"/>
        </w:rPr>
        <w:t>万元，比上年</w:t>
      </w:r>
      <w:r>
        <w:rPr>
          <w:rFonts w:hint="eastAsia" w:ascii="仿宋" w:hAnsi="仿宋" w:eastAsia="仿宋" w:cs="DengXian-Regular"/>
          <w:sz w:val="32"/>
          <w:szCs w:val="32"/>
        </w:rPr>
        <w:t>减少</w:t>
      </w:r>
      <w:r>
        <w:rPr>
          <w:rFonts w:hint="eastAsia" w:ascii="仿宋_GB2312" w:cs="DengXian-Regular" w:eastAsiaTheme="minorEastAsia"/>
          <w:sz w:val="32"/>
          <w:szCs w:val="32"/>
        </w:rPr>
        <w:t>1727</w:t>
      </w:r>
      <w:r>
        <w:rPr>
          <w:rFonts w:hint="eastAsia" w:ascii="宋体" w:hAnsi="宋体" w:cs="宋体"/>
          <w:sz w:val="32"/>
          <w:szCs w:val="32"/>
        </w:rPr>
        <w:t>.96</w:t>
      </w:r>
      <w:r>
        <w:rPr>
          <w:rFonts w:hint="eastAsia" w:ascii="仿宋_GB2312" w:eastAsia="仿宋_GB2312" w:cs="DengXian-Regular"/>
          <w:sz w:val="32"/>
          <w:szCs w:val="32"/>
        </w:rPr>
        <w:t>万元，主</w:t>
      </w:r>
      <w:r>
        <w:rPr>
          <w:rFonts w:hint="eastAsia" w:ascii="仿宋" w:hAnsi="仿宋" w:eastAsia="仿宋" w:cs="DengXian-Regular"/>
          <w:sz w:val="32"/>
          <w:szCs w:val="32"/>
        </w:rPr>
        <w:t>要是国家水利职能调整，2018年</w:t>
      </w:r>
      <w:r>
        <w:rPr>
          <w:rFonts w:hint="eastAsia" w:ascii="仿宋" w:hAnsi="仿宋" w:eastAsia="仿宋" w:cs="宋体"/>
          <w:sz w:val="32"/>
          <w:szCs w:val="32"/>
        </w:rPr>
        <w:t>水利专项投资相对减少</w:t>
      </w:r>
      <w:r>
        <w:rPr>
          <w:rFonts w:hint="eastAsia" w:ascii="仿宋_GB2312" w:eastAsia="仿宋_GB2312" w:cs="DengXian-Regular"/>
          <w:sz w:val="32"/>
          <w:szCs w:val="32"/>
        </w:rPr>
        <w:t>；本年支出</w:t>
      </w:r>
      <w:r>
        <w:rPr>
          <w:rFonts w:hint="eastAsia" w:ascii="仿宋" w:hAnsi="仿宋" w:eastAsia="仿宋" w:cs="DengXian-Regular"/>
          <w:sz w:val="32"/>
          <w:szCs w:val="32"/>
        </w:rPr>
        <w:t>6162.46</w:t>
      </w:r>
      <w:r>
        <w:rPr>
          <w:rFonts w:hint="eastAsia" w:ascii="仿宋_GB2312" w:eastAsia="仿宋_GB2312" w:cs="DengXian-Regular"/>
          <w:sz w:val="32"/>
          <w:szCs w:val="32"/>
        </w:rPr>
        <w:t>万元，比上年增加</w:t>
      </w:r>
      <w:r>
        <w:rPr>
          <w:rFonts w:hint="eastAsia" w:ascii="仿宋_GB2312" w:cs="DengXian-Regular" w:eastAsiaTheme="minorEastAsia"/>
          <w:sz w:val="32"/>
          <w:szCs w:val="32"/>
        </w:rPr>
        <w:t>5571</w:t>
      </w:r>
      <w:r>
        <w:rPr>
          <w:rFonts w:hint="eastAsia" w:ascii="宋体" w:hAnsi="宋体" w:cs="宋体"/>
          <w:sz w:val="32"/>
          <w:szCs w:val="32"/>
        </w:rPr>
        <w:t>.5</w:t>
      </w:r>
      <w:r>
        <w:rPr>
          <w:rFonts w:hint="eastAsia" w:ascii="仿宋_GB2312" w:eastAsia="仿宋_GB2312" w:cs="DengXian-Regular"/>
          <w:sz w:val="32"/>
          <w:szCs w:val="32"/>
        </w:rPr>
        <w:t>万元，增长</w:t>
      </w:r>
      <w:r>
        <w:rPr>
          <w:rFonts w:hint="eastAsia" w:ascii="宋体" w:hAnsi="宋体" w:cs="宋体"/>
          <w:sz w:val="32"/>
          <w:szCs w:val="32"/>
        </w:rPr>
        <w:t>942</w:t>
      </w:r>
      <w:r>
        <w:rPr>
          <w:rFonts w:hint="eastAsia" w:ascii="仿宋_GB2312" w:eastAsia="仿宋_GB2312" w:cs="DengXian-Regular"/>
          <w:sz w:val="32"/>
          <w:szCs w:val="32"/>
        </w:rPr>
        <w:t>%，主要是</w:t>
      </w:r>
      <w:r>
        <w:rPr>
          <w:rFonts w:hint="eastAsia" w:ascii="仿宋" w:hAnsi="仿宋" w:eastAsia="仿宋" w:cs="DengXian-Regular"/>
          <w:sz w:val="32"/>
          <w:szCs w:val="32"/>
        </w:rPr>
        <w:t>2018年决算含水利专项项目支出，2017年决算数据不含水利项目支出。</w:t>
      </w:r>
      <w:r>
        <w:rPr>
          <w:rFonts w:hint="eastAsia" w:ascii="仿宋_GB2312" w:eastAsia="仿宋_GB2312" w:cs="DengXian-Regular"/>
          <w:sz w:val="32"/>
          <w:szCs w:val="32"/>
        </w:rPr>
        <w:t>政府性基金预算财政拨款本年收入</w:t>
      </w:r>
      <w:r>
        <w:rPr>
          <w:rFonts w:hint="eastAsia" w:ascii="仿宋_GB2312" w:cs="DengXian-Regular" w:eastAsiaTheme="minorEastAsia"/>
          <w:sz w:val="32"/>
          <w:szCs w:val="32"/>
        </w:rPr>
        <w:t>521</w:t>
      </w:r>
      <w:r>
        <w:rPr>
          <w:rFonts w:hint="eastAsia" w:ascii="宋体" w:hAnsi="宋体" w:cs="宋体"/>
          <w:sz w:val="32"/>
          <w:szCs w:val="32"/>
        </w:rPr>
        <w:t>.94</w:t>
      </w:r>
      <w:r>
        <w:rPr>
          <w:rFonts w:hint="eastAsia" w:ascii="仿宋_GB2312" w:eastAsia="仿宋_GB2312" w:cs="DengXian-Regular"/>
          <w:sz w:val="32"/>
          <w:szCs w:val="32"/>
        </w:rPr>
        <w:t>万元，比上年减少</w:t>
      </w:r>
      <w:r>
        <w:rPr>
          <w:rFonts w:hint="eastAsia" w:ascii="仿宋_GB2312" w:cs="DengXian-Regular" w:eastAsiaTheme="minorEastAsia"/>
          <w:sz w:val="32"/>
          <w:szCs w:val="32"/>
        </w:rPr>
        <w:t>408</w:t>
      </w:r>
      <w:r>
        <w:rPr>
          <w:rFonts w:hint="eastAsia" w:ascii="宋体" w:hAnsi="宋体" w:cs="宋体"/>
          <w:sz w:val="32"/>
          <w:szCs w:val="32"/>
        </w:rPr>
        <w:t>.45</w:t>
      </w:r>
      <w:r>
        <w:rPr>
          <w:rFonts w:hint="eastAsia" w:ascii="仿宋_GB2312" w:eastAsia="仿宋_GB2312" w:cs="DengXian-Regular"/>
          <w:sz w:val="32"/>
          <w:szCs w:val="32"/>
        </w:rPr>
        <w:t>万元，降低</w:t>
      </w:r>
      <w:r>
        <w:rPr>
          <w:rFonts w:hint="eastAsia" w:ascii="仿宋_GB2312" w:cs="DengXian-Regular" w:eastAsiaTheme="minorEastAsia"/>
          <w:sz w:val="32"/>
          <w:szCs w:val="32"/>
        </w:rPr>
        <w:t>43</w:t>
      </w:r>
      <w:r>
        <w:rPr>
          <w:rFonts w:hint="eastAsia" w:ascii="宋体" w:hAnsi="宋体" w:cs="宋体"/>
          <w:sz w:val="32"/>
          <w:szCs w:val="32"/>
        </w:rPr>
        <w:t>.9</w:t>
      </w:r>
      <w:r>
        <w:rPr>
          <w:rFonts w:hint="eastAsia" w:ascii="仿宋_GB2312" w:eastAsia="仿宋_GB2312" w:cs="DengXian-Regular"/>
          <w:sz w:val="32"/>
          <w:szCs w:val="32"/>
        </w:rPr>
        <w:t>%，主要原因是</w:t>
      </w:r>
      <w:r>
        <w:rPr>
          <w:rFonts w:hint="eastAsia" w:ascii="仿宋" w:hAnsi="仿宋" w:eastAsia="仿宋" w:cs="DengXian-Regular"/>
          <w:sz w:val="32"/>
          <w:szCs w:val="32"/>
        </w:rPr>
        <w:t>2017年财政拨付南水北调配套水厂建设尾款，2018年没有此项资金；</w:t>
      </w:r>
      <w:r>
        <w:rPr>
          <w:rFonts w:hint="eastAsia" w:ascii="仿宋_GB2312" w:eastAsia="仿宋_GB2312" w:cs="DengXian-Regular"/>
          <w:sz w:val="32"/>
          <w:szCs w:val="32"/>
        </w:rPr>
        <w:t>本年支出</w:t>
      </w:r>
      <w:r>
        <w:rPr>
          <w:rFonts w:hint="eastAsia" w:ascii="仿宋" w:hAnsi="仿宋" w:eastAsia="仿宋" w:cs="DengXian-Regular"/>
          <w:sz w:val="32"/>
          <w:szCs w:val="32"/>
        </w:rPr>
        <w:t>52</w:t>
      </w:r>
      <w:r>
        <w:rPr>
          <w:rFonts w:hint="eastAsia" w:ascii="仿宋" w:hAnsi="仿宋" w:eastAsia="仿宋" w:cs="宋体"/>
          <w:sz w:val="32"/>
          <w:szCs w:val="32"/>
        </w:rPr>
        <w:t>9.31</w:t>
      </w:r>
      <w:r>
        <w:rPr>
          <w:rFonts w:hint="eastAsia" w:ascii="仿宋" w:hAnsi="仿宋" w:eastAsia="仿宋" w:cs="DengXian-Regular"/>
          <w:sz w:val="32"/>
          <w:szCs w:val="32"/>
        </w:rPr>
        <w:t>万</w:t>
      </w:r>
      <w:r>
        <w:rPr>
          <w:rFonts w:hint="eastAsia" w:ascii="仿宋_GB2312" w:eastAsia="仿宋_GB2312" w:cs="DengXian-Regular"/>
          <w:sz w:val="32"/>
          <w:szCs w:val="32"/>
        </w:rPr>
        <w:t>元，比上年减少</w:t>
      </w:r>
      <w:r>
        <w:rPr>
          <w:rFonts w:hint="eastAsia" w:ascii="仿宋_GB2312" w:cs="DengXian-Regular" w:eastAsiaTheme="minorEastAsia"/>
          <w:sz w:val="32"/>
          <w:szCs w:val="32"/>
        </w:rPr>
        <w:t>3</w:t>
      </w:r>
      <w:r>
        <w:rPr>
          <w:rFonts w:hint="eastAsia" w:ascii="宋体" w:hAnsi="宋体" w:cs="宋体"/>
          <w:sz w:val="32"/>
          <w:szCs w:val="32"/>
        </w:rPr>
        <w:t>93.7</w:t>
      </w:r>
      <w:r>
        <w:rPr>
          <w:rFonts w:hint="eastAsia" w:ascii="仿宋_GB2312" w:eastAsia="仿宋_GB2312" w:cs="DengXian-Regular"/>
          <w:sz w:val="32"/>
          <w:szCs w:val="32"/>
        </w:rPr>
        <w:t>万元，降低</w:t>
      </w:r>
      <w:r>
        <w:rPr>
          <w:rFonts w:hint="eastAsia" w:ascii="仿宋_GB2312" w:cs="DengXian-Regular" w:eastAsiaTheme="minorEastAsia"/>
          <w:sz w:val="32"/>
          <w:szCs w:val="32"/>
        </w:rPr>
        <w:t>42</w:t>
      </w:r>
      <w:r>
        <w:rPr>
          <w:rFonts w:hint="eastAsia" w:ascii="宋体" w:hAnsi="宋体" w:cs="宋体"/>
          <w:sz w:val="32"/>
          <w:szCs w:val="32"/>
        </w:rPr>
        <w:t>.65</w:t>
      </w:r>
      <w:r>
        <w:rPr>
          <w:rFonts w:hint="eastAsia" w:ascii="仿宋_GB2312" w:eastAsia="仿宋_GB2312" w:cs="DengXian-Regular"/>
          <w:sz w:val="32"/>
          <w:szCs w:val="32"/>
        </w:rPr>
        <w:t>%，主要是</w:t>
      </w:r>
      <w:r>
        <w:rPr>
          <w:rFonts w:hint="eastAsia" w:ascii="仿宋" w:hAnsi="仿宋" w:eastAsia="仿宋" w:cs="DengXian-Regular"/>
          <w:sz w:val="32"/>
          <w:szCs w:val="32"/>
        </w:rPr>
        <w:t>2017年支付南水北调配套水厂建设尾款，2018年没有这项投资</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cs="DengXian-Regular" w:eastAsiaTheme="minorEastAsia"/>
          <w:sz w:val="32"/>
          <w:szCs w:val="32"/>
        </w:rPr>
        <w:t>4316</w:t>
      </w:r>
      <w:r>
        <w:rPr>
          <w:rFonts w:hint="eastAsia" w:ascii="宋体" w:hAnsi="宋体" w:cs="宋体"/>
          <w:sz w:val="32"/>
          <w:szCs w:val="32"/>
        </w:rPr>
        <w:t>.74</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100</w:t>
      </w:r>
      <w:r>
        <w:rPr>
          <w:rFonts w:hint="eastAsia" w:ascii="仿宋_GB2312" w:eastAsia="仿宋_GB2312" w:cs="DengXian-Regular"/>
          <w:sz w:val="32"/>
          <w:szCs w:val="32"/>
        </w:rPr>
        <w:t>%；本年支出</w:t>
      </w:r>
      <w:r>
        <w:rPr>
          <w:rFonts w:hint="eastAsia" w:ascii="仿宋" w:hAnsi="仿宋" w:eastAsia="仿宋" w:cs="DengXian-Regular"/>
          <w:sz w:val="32"/>
          <w:szCs w:val="32"/>
        </w:rPr>
        <w:t>66</w:t>
      </w:r>
      <w:r>
        <w:rPr>
          <w:rFonts w:hint="eastAsia" w:ascii="仿宋" w:hAnsi="仿宋" w:eastAsia="仿宋" w:cs="宋体"/>
          <w:sz w:val="32"/>
          <w:szCs w:val="32"/>
        </w:rPr>
        <w:t>91.78</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73</w:t>
      </w:r>
      <w:r>
        <w:rPr>
          <w:rFonts w:hint="eastAsia" w:ascii="仿宋_GB2312" w:eastAsia="仿宋_GB2312" w:cs="DengXian-Regular"/>
          <w:sz w:val="32"/>
          <w:szCs w:val="32"/>
        </w:rPr>
        <w:t>%。主要是水利工程项目</w:t>
      </w:r>
      <w:r>
        <w:rPr>
          <w:rFonts w:hint="eastAsia" w:ascii="仿宋" w:hAnsi="仿宋" w:eastAsia="仿宋" w:cs="宋体"/>
          <w:sz w:val="32"/>
          <w:szCs w:val="32"/>
        </w:rPr>
        <w:t>资金结转2019年度支付</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_GB2312" w:eastAsia="仿宋_GB2312" w:cs="DengXian-Regular"/>
          <w:sz w:val="32"/>
          <w:szCs w:val="32"/>
        </w:rPr>
        <w:t>其中，一般公共预算财政拨款本年收入</w:t>
      </w:r>
      <w:r>
        <w:rPr>
          <w:rFonts w:hint="eastAsia" w:ascii="仿宋" w:hAnsi="仿宋" w:eastAsia="仿宋" w:cs="DengXian-Regular"/>
          <w:sz w:val="32"/>
          <w:szCs w:val="32"/>
        </w:rPr>
        <w:t>37</w:t>
      </w:r>
      <w:r>
        <w:rPr>
          <w:rFonts w:hint="eastAsia" w:ascii="仿宋" w:hAnsi="仿宋" w:eastAsia="仿宋" w:cs="宋体"/>
          <w:sz w:val="32"/>
          <w:szCs w:val="32"/>
        </w:rPr>
        <w:t>94.8万元，</w:t>
      </w:r>
      <w:r>
        <w:rPr>
          <w:rFonts w:hint="eastAsia" w:ascii="仿宋_GB2312" w:eastAsia="仿宋_GB2312" w:cs="DengXian-Regular"/>
          <w:sz w:val="32"/>
          <w:szCs w:val="32"/>
        </w:rPr>
        <w:t>完成年初预算100%；</w:t>
      </w:r>
      <w:r>
        <w:rPr>
          <w:rFonts w:hint="eastAsia" w:ascii="仿宋" w:hAnsi="仿宋" w:eastAsia="仿宋" w:cs="DengXian-Regular"/>
          <w:sz w:val="32"/>
          <w:szCs w:val="32"/>
        </w:rPr>
        <w:t>支出6162</w:t>
      </w:r>
      <w:r>
        <w:rPr>
          <w:rFonts w:hint="eastAsia" w:ascii="仿宋" w:hAnsi="仿宋" w:eastAsia="仿宋" w:cs="宋体"/>
          <w:sz w:val="32"/>
          <w:szCs w:val="32"/>
        </w:rPr>
        <w:t>.46万元，</w:t>
      </w:r>
      <w:r>
        <w:rPr>
          <w:rFonts w:hint="eastAsia" w:ascii="仿宋" w:hAnsi="仿宋" w:eastAsia="仿宋" w:cs="DengXian-Regular"/>
          <w:sz w:val="32"/>
          <w:szCs w:val="32"/>
        </w:rPr>
        <w:t>完成年初预算71%，比年初预算减少2569.31万元，主要是</w:t>
      </w:r>
      <w:r>
        <w:rPr>
          <w:rFonts w:hint="eastAsia" w:ascii="仿宋_GB2312" w:eastAsia="仿宋_GB2312" w:cs="DengXian-Regular"/>
          <w:sz w:val="32"/>
          <w:szCs w:val="32"/>
        </w:rPr>
        <w:t>水利工程项目</w:t>
      </w:r>
      <w:r>
        <w:rPr>
          <w:rFonts w:hint="eastAsia" w:ascii="仿宋" w:hAnsi="仿宋" w:eastAsia="仿宋" w:cs="宋体"/>
          <w:sz w:val="32"/>
          <w:szCs w:val="32"/>
        </w:rPr>
        <w:t>资金结转下年度支付</w:t>
      </w:r>
      <w:r>
        <w:rPr>
          <w:rFonts w:hint="eastAsia" w:ascii="仿宋" w:hAnsi="仿宋" w:eastAsia="仿宋" w:cs="DengXian-Regular"/>
          <w:sz w:val="32"/>
          <w:szCs w:val="32"/>
        </w:rPr>
        <w:t>。政府性基金预算财政拨款本年收入521</w:t>
      </w:r>
      <w:r>
        <w:rPr>
          <w:rFonts w:hint="eastAsia" w:ascii="仿宋" w:hAnsi="仿宋" w:eastAsia="仿宋" w:cs="宋体"/>
          <w:sz w:val="32"/>
          <w:szCs w:val="32"/>
        </w:rPr>
        <w:t>.94万元，</w:t>
      </w:r>
      <w:r>
        <w:rPr>
          <w:rFonts w:hint="eastAsia" w:ascii="仿宋" w:hAnsi="仿宋" w:eastAsia="仿宋" w:cs="DengXian-Regular"/>
          <w:sz w:val="32"/>
          <w:szCs w:val="32"/>
        </w:rPr>
        <w:t>完成年初预算100%；支出52</w:t>
      </w:r>
      <w:r>
        <w:rPr>
          <w:rFonts w:hint="eastAsia" w:ascii="仿宋" w:hAnsi="仿宋" w:eastAsia="仿宋" w:cs="宋体"/>
          <w:sz w:val="32"/>
          <w:szCs w:val="32"/>
        </w:rPr>
        <w:t>9.31万元，</w:t>
      </w:r>
      <w:r>
        <w:rPr>
          <w:rFonts w:hint="eastAsia" w:ascii="仿宋" w:hAnsi="仿宋" w:eastAsia="仿宋" w:cs="DengXian-Regular"/>
          <w:sz w:val="32"/>
          <w:szCs w:val="32"/>
        </w:rPr>
        <w:t>完成年初预算101%，比年初预算增加7.37万元，主要是2017年结转资金在2018年进行支付。</w:t>
      </w:r>
    </w:p>
    <w:p>
      <w:pPr>
        <w:adjustRightInd w:val="0"/>
        <w:snapToGrid w:val="0"/>
        <w:spacing w:after="0" w:line="580" w:lineRule="exact"/>
        <w:ind w:firstLine="420" w:firstLineChars="200"/>
        <w:rPr>
          <w:rFonts w:ascii="仿宋_GB2312" w:eastAsia="仿宋_GB2312" w:cs="DengXian-Regular"/>
          <w:sz w:val="32"/>
          <w:szCs w:val="32"/>
          <w:highlight w:val="yellow"/>
        </w:rPr>
      </w:pPr>
      <w:r>
        <w:pict>
          <v:group id="_x0000_s1058" o:spid="_x0000_s1058" o:spt="203" style="position:absolute;left:0pt;margin-left:45.95pt;margin-top:0.4pt;height:208.2pt;width:343.1pt;z-index:-251645952;mso-width-relative:page;mso-height-relative:page;" coordorigin="5233,225704" coordsize="6344,3850203"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60"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8" o:title=""/>
              <o:lock v:ext="edit" aspectratio="t"/>
            </v:shape>
            <v:shape id="文本框 28" o:spid="_x0000_s1059" o:spt="202" type="#_x0000_t202" style="position:absolute;left:5233;top:228834;height:720;width:6345;"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_GB2312" w:eastAsia="仿宋_GB2312" w:cs="DengXian-Regular"/>
          <w:sz w:val="32"/>
          <w:szCs w:val="32"/>
        </w:rPr>
        <w:t>2018 年度财政拨款支出</w:t>
      </w:r>
      <w:r>
        <w:rPr>
          <w:rFonts w:hint="eastAsia" w:ascii="仿宋_GB2312" w:cs="DengXian-Regular" w:eastAsiaTheme="minorEastAsia"/>
          <w:sz w:val="32"/>
          <w:szCs w:val="32"/>
        </w:rPr>
        <w:t>66</w:t>
      </w:r>
      <w:r>
        <w:rPr>
          <w:rFonts w:hint="eastAsia" w:ascii="宋体" w:hAnsi="宋体" w:cs="宋体"/>
          <w:sz w:val="32"/>
          <w:szCs w:val="32"/>
        </w:rPr>
        <w:t>91.78</w:t>
      </w:r>
      <w:r>
        <w:rPr>
          <w:rFonts w:hint="eastAsia" w:ascii="仿宋_GB2312" w:eastAsia="仿宋_GB2312" w:cs="DengXian-Regular"/>
          <w:sz w:val="32"/>
          <w:szCs w:val="32"/>
        </w:rPr>
        <w:t>万元，主要用于以下方面：</w:t>
      </w:r>
      <w:r>
        <w:rPr>
          <w:rFonts w:hint="eastAsia" w:ascii="仿宋" w:hAnsi="仿宋" w:eastAsia="仿宋" w:cs="DengXian-Regular"/>
          <w:sz w:val="32"/>
          <w:szCs w:val="32"/>
        </w:rPr>
        <w:t>社会保障和就业（类）支出47</w:t>
      </w:r>
      <w:r>
        <w:rPr>
          <w:rFonts w:hint="eastAsia" w:ascii="仿宋" w:hAnsi="仿宋" w:eastAsia="仿宋" w:cs="宋体"/>
          <w:sz w:val="32"/>
          <w:szCs w:val="32"/>
        </w:rPr>
        <w:t>.05</w:t>
      </w:r>
      <w:r>
        <w:rPr>
          <w:rFonts w:hint="eastAsia" w:ascii="仿宋" w:hAnsi="仿宋" w:eastAsia="仿宋" w:cs="DengXian-Regular"/>
          <w:sz w:val="32"/>
          <w:szCs w:val="32"/>
        </w:rPr>
        <w:t>万元，占0.7%；城乡社区支出52</w:t>
      </w:r>
      <w:r>
        <w:rPr>
          <w:rFonts w:hint="eastAsia" w:ascii="仿宋" w:hAnsi="仿宋" w:eastAsia="仿宋" w:cs="宋体"/>
          <w:sz w:val="32"/>
          <w:szCs w:val="32"/>
        </w:rPr>
        <w:t>9.08万元，占8%；农林水支出6115.65</w:t>
      </w:r>
      <w:r>
        <w:rPr>
          <w:rFonts w:hint="eastAsia" w:ascii="仿宋" w:hAnsi="仿宋" w:eastAsia="仿宋" w:cs="DengXian-Regular"/>
          <w:sz w:val="32"/>
          <w:szCs w:val="32"/>
        </w:rPr>
        <w:t>万元，占 91.3%。</w:t>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cs="DengXian-Regular" w:eastAsiaTheme="minorEastAsia"/>
          <w:sz w:val="32"/>
          <w:szCs w:val="32"/>
        </w:rPr>
        <w:t>10</w:t>
      </w:r>
      <w:r>
        <w:rPr>
          <w:rFonts w:hint="eastAsia" w:ascii="宋体" w:hAnsi="宋体" w:cs="宋体"/>
          <w:sz w:val="32"/>
          <w:szCs w:val="32"/>
        </w:rPr>
        <w:t>95.37</w:t>
      </w:r>
      <w:r>
        <w:rPr>
          <w:rFonts w:hint="eastAsia" w:ascii="仿宋_GB2312" w:eastAsia="仿宋_GB2312" w:cs="DengXian-Regular"/>
          <w:sz w:val="32"/>
          <w:szCs w:val="32"/>
        </w:rPr>
        <w:t>万元，其中：人员经费</w:t>
      </w:r>
      <w:r>
        <w:rPr>
          <w:rFonts w:hint="eastAsia" w:ascii="仿宋_GB2312" w:cs="DengXian-Regular" w:eastAsiaTheme="minorEastAsia"/>
          <w:sz w:val="32"/>
          <w:szCs w:val="32"/>
        </w:rPr>
        <w:t>330</w:t>
      </w:r>
      <w:r>
        <w:rPr>
          <w:rFonts w:hint="eastAsia" w:ascii="宋体" w:hAnsi="宋体" w:cs="宋体"/>
          <w:sz w:val="32"/>
          <w:szCs w:val="32"/>
        </w:rPr>
        <w:t>.57</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cs="DengXian-Regular" w:eastAsiaTheme="minorEastAsia"/>
          <w:sz w:val="32"/>
          <w:szCs w:val="32"/>
        </w:rPr>
        <w:t>764</w:t>
      </w:r>
      <w:r>
        <w:rPr>
          <w:rFonts w:hint="eastAsia" w:ascii="宋体" w:hAnsi="宋体" w:cs="宋体"/>
          <w:sz w:val="32"/>
          <w:szCs w:val="32"/>
        </w:rPr>
        <w:t>.8</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“三公”经费支出共计1</w:t>
      </w:r>
      <w:r>
        <w:rPr>
          <w:rFonts w:hint="eastAsia" w:ascii="宋体" w:hAnsi="宋体" w:cs="宋体"/>
          <w:sz w:val="32"/>
          <w:szCs w:val="32"/>
        </w:rPr>
        <w:t>.</w:t>
      </w:r>
      <w:r>
        <w:rPr>
          <w:rFonts w:hint="eastAsia" w:ascii="仿宋_GB2312" w:eastAsia="仿宋_GB2312" w:cs="DengXian-Regular"/>
          <w:sz w:val="32"/>
          <w:szCs w:val="32"/>
        </w:rPr>
        <w:t>28万元，</w:t>
      </w:r>
      <w:r>
        <w:rPr>
          <w:rFonts w:hint="eastAsia" w:ascii="仿宋_GB2312" w:eastAsia="仿宋_GB2312" w:cs="DengXian-Regular"/>
          <w:bCs/>
          <w:sz w:val="32"/>
          <w:szCs w:val="32"/>
        </w:rPr>
        <w:t>较年初预算减少0</w:t>
      </w:r>
      <w:r>
        <w:rPr>
          <w:rFonts w:hint="eastAsia" w:ascii="宋体" w:hAnsi="宋体" w:cs="宋体"/>
          <w:bCs/>
          <w:sz w:val="32"/>
          <w:szCs w:val="32"/>
        </w:rPr>
        <w:t>.32</w:t>
      </w:r>
      <w:r>
        <w:rPr>
          <w:rFonts w:hint="eastAsia" w:ascii="仿宋_GB2312" w:eastAsia="仿宋_GB2312" w:cs="DengXian-Regular"/>
          <w:bCs/>
          <w:sz w:val="32"/>
          <w:szCs w:val="32"/>
        </w:rPr>
        <w:t>万元，降低20%，</w:t>
      </w:r>
      <w:r>
        <w:rPr>
          <w:rFonts w:hint="eastAsia" w:ascii="仿宋_GB2312" w:eastAsia="仿宋_GB2312" w:cs="DengXian-Regular"/>
          <w:sz w:val="32"/>
          <w:szCs w:val="32"/>
        </w:rPr>
        <w:t>主要是认真贯彻落实中央</w:t>
      </w:r>
      <w:bookmarkStart w:id="0" w:name="_GoBack"/>
      <w:bookmarkEnd w:id="0"/>
      <w:r>
        <w:rPr>
          <w:rFonts w:hint="eastAsia" w:ascii="仿宋_GB2312" w:eastAsia="仿宋_GB2312" w:cs="DengXian-Regular"/>
          <w:sz w:val="32"/>
          <w:szCs w:val="32"/>
        </w:rPr>
        <w:t>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color w:val="000000" w:themeColor="text1"/>
          <w:sz w:val="32"/>
          <w:szCs w:val="32"/>
        </w:rPr>
        <w:t>未发生</w:t>
      </w:r>
      <w:r>
        <w:rPr>
          <w:rFonts w:hint="eastAsia" w:ascii="仿宋" w:hAnsi="仿宋" w:eastAsia="仿宋" w:cs="DengXian-Regular"/>
          <w:color w:val="000000" w:themeColor="text1"/>
          <w:sz w:val="32"/>
          <w:szCs w:val="32"/>
        </w:rPr>
        <w:t>因</w:t>
      </w:r>
      <w:r>
        <w:rPr>
          <w:rFonts w:hint="eastAsia" w:ascii="仿宋_GB2312" w:eastAsia="仿宋_GB2312" w:cs="DengXian-Regular"/>
          <w:color w:val="000000" w:themeColor="text1"/>
          <w:sz w:val="32"/>
          <w:szCs w:val="32"/>
        </w:rPr>
        <w:t>公</w:t>
      </w:r>
      <w:r>
        <w:rPr>
          <w:rFonts w:hint="eastAsia" w:ascii="仿宋" w:hAnsi="仿宋" w:eastAsia="仿宋" w:cs="DengXian-Regular"/>
          <w:color w:val="000000" w:themeColor="text1"/>
          <w:sz w:val="32"/>
          <w:szCs w:val="32"/>
        </w:rPr>
        <w:t>出国</w:t>
      </w:r>
      <w:r>
        <w:rPr>
          <w:rFonts w:hint="eastAsia" w:ascii="仿宋_GB2312" w:eastAsia="仿宋_GB2312" w:cs="DengXian-Regular"/>
          <w:color w:val="000000" w:themeColor="text1"/>
          <w:sz w:val="32"/>
          <w:szCs w:val="32"/>
        </w:rPr>
        <w:t>费支出</w:t>
      </w:r>
      <w:r>
        <w:rPr>
          <w:rFonts w:hint="eastAsia" w:ascii="仿宋_GB2312" w:cs="DengXian-Regular" w:eastAsiaTheme="minorEastAsia"/>
          <w:color w:val="000000" w:themeColor="text1"/>
          <w:sz w:val="32"/>
          <w:szCs w:val="32"/>
        </w:rPr>
        <w:t>，</w:t>
      </w:r>
      <w:r>
        <w:rPr>
          <w:rFonts w:hint="eastAsia" w:ascii="仿宋_GB2312" w:eastAsia="仿宋_GB2312" w:cs="DengXian-Regular"/>
          <w:color w:val="000000" w:themeColor="text1"/>
          <w:sz w:val="32"/>
          <w:szCs w:val="32"/>
        </w:rPr>
        <w:t>与年初预算持平</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w:t>
      </w:r>
      <w:r>
        <w:rPr>
          <w:rFonts w:hint="eastAsia" w:ascii="宋体" w:hAnsi="宋体" w:cs="宋体"/>
          <w:b/>
          <w:bCs/>
          <w:sz w:val="32"/>
          <w:szCs w:val="32"/>
        </w:rPr>
        <w:t>.28</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本部门2018年度公务用车购置及运行维护费较年初预算减少0</w:t>
      </w:r>
      <w:r>
        <w:rPr>
          <w:rFonts w:hint="eastAsia" w:ascii="宋体" w:hAnsi="宋体" w:cs="宋体"/>
          <w:sz w:val="32"/>
          <w:szCs w:val="32"/>
        </w:rPr>
        <w:t>.32</w:t>
      </w:r>
      <w:r>
        <w:rPr>
          <w:rFonts w:hint="eastAsia" w:ascii="仿宋_GB2312" w:eastAsia="仿宋_GB2312" w:cs="DengXian-Regular"/>
          <w:sz w:val="32"/>
          <w:szCs w:val="32"/>
        </w:rPr>
        <w:t>万元，降低20%,主要是认真贯彻落实中央八项规定精神和厉行节约要求，从严控制“三公”经费开支，全年实际支出比预算有所节约。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w:t>
      </w:r>
      <w:r>
        <w:rPr>
          <w:rFonts w:hint="eastAsia" w:ascii="仿宋" w:hAnsi="仿宋" w:eastAsia="仿宋" w:cs="DengXian-Regular"/>
          <w:sz w:val="32"/>
          <w:szCs w:val="32"/>
        </w:rPr>
        <w:t>未发生</w:t>
      </w:r>
      <w:r>
        <w:rPr>
          <w:rFonts w:hint="eastAsia" w:ascii="仿宋_GB2312" w:eastAsia="仿宋_GB2312" w:cs="DengXian-Regular"/>
          <w:sz w:val="32"/>
          <w:szCs w:val="32"/>
        </w:rPr>
        <w:t>公务用车购置</w:t>
      </w:r>
      <w:r>
        <w:rPr>
          <w:rFonts w:hint="eastAsia" w:ascii="仿宋" w:hAnsi="仿宋" w:eastAsia="仿宋" w:cs="DengXian-Regular"/>
          <w:sz w:val="32"/>
          <w:szCs w:val="32"/>
        </w:rPr>
        <w:t>费</w:t>
      </w:r>
      <w:r>
        <w:rPr>
          <w:rFonts w:hint="eastAsia" w:ascii="仿宋_GB2312" w:eastAsia="仿宋_GB2312" w:cs="DengXian-Regular"/>
          <w:sz w:val="32"/>
          <w:szCs w:val="32"/>
        </w:rPr>
        <w:t>，</w:t>
      </w:r>
      <w:r>
        <w:rPr>
          <w:rFonts w:hint="eastAsia" w:ascii="仿宋" w:hAnsi="仿宋" w:eastAsia="仿宋" w:cs="DengXian-Regular"/>
          <w:sz w:val="32"/>
          <w:szCs w:val="32"/>
        </w:rPr>
        <w:t>与年初预算持平</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本部门2018年度单位公务用车保有量1辆。公车运行维护费支出较年初预算减少0</w:t>
      </w:r>
      <w:r>
        <w:rPr>
          <w:rFonts w:hint="eastAsia" w:ascii="宋体" w:hAnsi="宋体" w:cs="宋体"/>
          <w:sz w:val="32"/>
          <w:szCs w:val="32"/>
        </w:rPr>
        <w:t>.32</w:t>
      </w:r>
      <w:r>
        <w:rPr>
          <w:rFonts w:hint="eastAsia" w:ascii="仿宋_GB2312" w:eastAsia="仿宋_GB2312" w:cs="DengXian-Regular"/>
          <w:sz w:val="32"/>
          <w:szCs w:val="32"/>
        </w:rPr>
        <w:t>万元，降低20%,主要是认真贯彻落实中央八项规定精神和厉行节约要求，从严控制“三公”经费开支，全年实际支出比预算有所节约。</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楷体_GB2312" w:eastAsia="楷体_GB2312" w:cs="DengXian-Bold"/>
          <w:b/>
          <w:bCs/>
          <w:sz w:val="32"/>
          <w:szCs w:val="32"/>
        </w:rPr>
        <w:t>（三）公务接待费支出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r>
        <w:rPr>
          <w:rFonts w:hint="eastAsia" w:ascii="仿宋" w:hAnsi="仿宋" w:eastAsia="仿宋" w:cs="DengXian-Regular"/>
          <w:sz w:val="32"/>
          <w:szCs w:val="32"/>
        </w:rPr>
        <w:t>本部门2018年度未发生公务接待费，与年初预算相持平。</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adjustRightInd w:val="0"/>
        <w:snapToGrid w:val="0"/>
        <w:spacing w:after="0" w:line="580" w:lineRule="exact"/>
        <w:ind w:firstLine="640" w:firstLineChars="200"/>
        <w:rPr>
          <w:rFonts w:hint="eastAsia" w:ascii="仿宋" w:hAnsi="仿宋" w:eastAsia="仿宋"/>
          <w:sz w:val="32"/>
          <w:szCs w:val="32"/>
        </w:rPr>
      </w:pPr>
      <w:r>
        <w:rPr>
          <w:rFonts w:hint="eastAsia" w:ascii="仿宋" w:hAnsi="仿宋" w:eastAsia="仿宋"/>
          <w:sz w:val="32"/>
          <w:szCs w:val="32"/>
        </w:rPr>
        <w:t>根据《馆陶县财政局关于开展2018年度财政支出项目绩效自评工作的通知》（馆财【2019】58号）的部署要求，对2018年度预算安排的所有项目进行绩效自评，在县绩效自评领导小组的正确指导下，我局认真扎实开展了“绩效自评”专题清查工作，全面完成自评工作任务。现将有关情况总结如下：</w:t>
      </w:r>
    </w:p>
    <w:p>
      <w:pPr>
        <w:adjustRightInd w:val="0"/>
        <w:snapToGrid w:val="0"/>
        <w:spacing w:after="0" w:line="580" w:lineRule="exact"/>
        <w:ind w:firstLine="640" w:firstLineChars="200"/>
        <w:rPr>
          <w:rFonts w:hint="eastAsia" w:ascii="黑体" w:hAnsi="黑体" w:eastAsia="黑体"/>
          <w:sz w:val="32"/>
          <w:szCs w:val="32"/>
        </w:rPr>
      </w:pPr>
      <w:r>
        <w:rPr>
          <w:rFonts w:hint="eastAsia" w:ascii="黑体" w:hAnsi="黑体" w:eastAsia="黑体"/>
          <w:sz w:val="32"/>
          <w:szCs w:val="32"/>
        </w:rPr>
        <w:t>1、强化组织领导，高度重视绩效自评</w:t>
      </w:r>
    </w:p>
    <w:p>
      <w:pPr>
        <w:adjustRightInd w:val="0"/>
        <w:snapToGrid w:val="0"/>
        <w:spacing w:after="0" w:line="580" w:lineRule="exact"/>
        <w:ind w:firstLine="640" w:firstLineChars="200"/>
        <w:rPr>
          <w:rFonts w:hint="eastAsia" w:ascii="仿宋" w:hAnsi="仿宋" w:eastAsia="仿宋"/>
          <w:sz w:val="32"/>
          <w:szCs w:val="32"/>
        </w:rPr>
      </w:pPr>
      <w:r>
        <w:rPr>
          <w:rFonts w:hint="eastAsia" w:ascii="仿宋" w:hAnsi="仿宋" w:eastAsia="仿宋"/>
          <w:sz w:val="32"/>
          <w:szCs w:val="32"/>
        </w:rPr>
        <w:t>水利局高度重视财政绩效自评工作，首先，按工作要求，我局成立了以水利局局长吴怀涛任组长，副局长任副组长，单位有关业务科室主要负责人为成员的馆陶县水利项目支出绩效自评工作领导小组。其次，及时启动绩效自评工作，并将这项工作列入重要议事日程。由财务科组织协调开展本部门绩效自评工作，从各业务科室抽调了政治思想素质高、实际工作能力强的负责这项工作，确保项目全部覆盖，不留死角。由财务科负责组织、协调项目主管科室和资金使用单位开展绩效自评工作。项目负责人是绩效自评工作的责任主体，主要负责撰写评价报告，填报、分析产出指标的效果指标数据等工作，财务人员主要负责填报、分析项目资金使用情况。</w:t>
      </w:r>
    </w:p>
    <w:p>
      <w:pPr>
        <w:adjustRightInd w:val="0"/>
        <w:snapToGrid w:val="0"/>
        <w:spacing w:after="0" w:line="580" w:lineRule="exact"/>
        <w:ind w:firstLine="640" w:firstLineChars="200"/>
        <w:rPr>
          <w:rFonts w:hint="eastAsia" w:ascii="黑体" w:hAnsi="黑体" w:eastAsia="黑体"/>
          <w:sz w:val="32"/>
          <w:szCs w:val="32"/>
        </w:rPr>
      </w:pPr>
      <w:r>
        <w:rPr>
          <w:rFonts w:hint="eastAsia" w:ascii="黑体" w:hAnsi="黑体" w:eastAsia="黑体"/>
          <w:sz w:val="32"/>
          <w:szCs w:val="32"/>
        </w:rPr>
        <w:t>2、工作开展情况</w:t>
      </w:r>
    </w:p>
    <w:p>
      <w:pPr>
        <w:adjustRightInd w:val="0"/>
        <w:snapToGrid w:val="0"/>
        <w:spacing w:after="0" w:line="580" w:lineRule="exact"/>
        <w:ind w:firstLine="640" w:firstLineChars="200"/>
        <w:rPr>
          <w:rFonts w:hint="eastAsia" w:ascii="仿宋" w:hAnsi="仿宋" w:eastAsia="仿宋"/>
          <w:sz w:val="32"/>
          <w:szCs w:val="32"/>
        </w:rPr>
      </w:pPr>
      <w:r>
        <w:rPr>
          <w:rFonts w:hint="eastAsia" w:ascii="仿宋" w:hAnsi="仿宋" w:eastAsia="仿宋"/>
          <w:sz w:val="32"/>
          <w:szCs w:val="32"/>
        </w:rPr>
        <w:t>（1）、安排部署绩效自评工作。根据工作安排，7月15日，我局以传达《馆陶县财政局关于开展2018年度财政支出项目绩效自评工作的通知》的形式启动水利支出项目绩效自评工作。首先向单位主要领导和业务科室负责人传达学习开展绩效自评工作有关精神，并结合单位工作的实际情况和具体分工，对所有2018年度预算安排的所有项目进行分工，由项目主管科室和资金使用单位对具体项目进行绩效自评，各项目负责人是绩效自评工作的责任主体，对评价报告的真实性、准确性、规范性负责。</w:t>
      </w:r>
    </w:p>
    <w:p>
      <w:pPr>
        <w:adjustRightInd w:val="0"/>
        <w:snapToGrid w:val="0"/>
        <w:spacing w:after="0" w:line="580" w:lineRule="exact"/>
        <w:ind w:firstLine="640" w:firstLineChars="200"/>
        <w:rPr>
          <w:rFonts w:hint="eastAsia" w:ascii="仿宋" w:hAnsi="仿宋" w:eastAsia="仿宋"/>
          <w:sz w:val="32"/>
          <w:szCs w:val="32"/>
        </w:rPr>
      </w:pPr>
      <w:r>
        <w:rPr>
          <w:rFonts w:hint="eastAsia" w:ascii="仿宋" w:hAnsi="仿宋" w:eastAsia="仿宋"/>
          <w:sz w:val="32"/>
          <w:szCs w:val="32"/>
        </w:rPr>
        <w:t>（2）、坚持问题导向，认真核实项目实效问题。对照绩效评价的具体要求，坚持从严要求，强化问题导向，认真查对、审核项目绩效指标，重点是项目的落实情况，并与计划确定的各项指标相比较，认真分析查找差异的原因。对2018年度部门预算项目绩效目标完成情况进行全面自评，确保年底财政资金绩效全面落实。</w:t>
      </w:r>
    </w:p>
    <w:p>
      <w:pPr>
        <w:pStyle w:val="11"/>
        <w:keepNext w:val="0"/>
        <w:keepLines w:val="0"/>
        <w:widowControl/>
        <w:suppressLineNumbers w:val="0"/>
        <w:ind w:left="640" w:hanging="640" w:hangingChars="200"/>
        <w:rPr>
          <w:rFonts w:hint="eastAsia" w:ascii="仿宋_GB2312" w:eastAsia="仿宋_GB2312" w:cs="DengXian-Regular"/>
          <w:sz w:val="32"/>
          <w:szCs w:val="32"/>
        </w:rPr>
      </w:pPr>
      <w:r>
        <w:rPr>
          <w:rFonts w:hint="eastAsia" w:ascii="仿宋_GB2312" w:eastAsia="仿宋_GB2312" w:cs="DengXian-Regular"/>
          <w:sz w:val="32"/>
          <w:szCs w:val="32"/>
        </w:rPr>
        <w:t>（</w:t>
      </w:r>
      <w:r>
        <w:rPr>
          <w:rFonts w:hint="eastAsia" w:ascii="仿宋_GB2312" w:eastAsia="仿宋_GB2312" w:cs="DengXian-Regular"/>
          <w:sz w:val="32"/>
          <w:szCs w:val="32"/>
          <w:lang w:eastAsia="zh-CN"/>
        </w:rPr>
        <w:t>二</w:t>
      </w:r>
      <w:r>
        <w:rPr>
          <w:rFonts w:hint="eastAsia" w:ascii="仿宋_GB2312" w:eastAsia="仿宋_GB2312" w:cs="DengXian-Regular"/>
          <w:sz w:val="32"/>
          <w:szCs w:val="32"/>
        </w:rPr>
        <w:t>）重点项目绩效</w:t>
      </w:r>
      <w:r>
        <w:rPr>
          <w:rFonts w:hint="eastAsia" w:ascii="仿宋_GB2312" w:eastAsia="仿宋_GB2312" w:cs="DengXian-Regular"/>
          <w:sz w:val="32"/>
          <w:szCs w:val="32"/>
          <w:lang w:eastAsia="zh-CN"/>
        </w:rPr>
        <w:t>自评结果</w:t>
      </w:r>
      <w:r>
        <w:rPr>
          <w:rFonts w:hint="eastAsia" w:ascii="仿宋_GB2312" w:eastAsia="仿宋_GB2312" w:cs="DengXian-Regular"/>
          <w:sz w:val="32"/>
          <w:szCs w:val="32"/>
        </w:rPr>
        <w:t>。</w:t>
      </w:r>
    </w:p>
    <w:p>
      <w:pPr>
        <w:pStyle w:val="11"/>
        <w:keepNext w:val="0"/>
        <w:keepLines w:val="0"/>
        <w:widowControl/>
        <w:suppressLineNumbers w:val="0"/>
        <w:ind w:firstLine="560" w:firstLineChars="200"/>
        <w:rPr>
          <w:rFonts w:hint="eastAsia" w:ascii="宋体" w:hAnsi="宋体" w:eastAsia="宋体" w:cs="宋体"/>
          <w:sz w:val="36"/>
          <w:szCs w:val="36"/>
        </w:rPr>
      </w:pPr>
      <w:r>
        <w:rPr>
          <w:rFonts w:hint="eastAsia" w:ascii="宋体" w:hAnsi="宋体" w:eastAsia="宋体" w:cs="宋体"/>
          <w:color w:val="000000"/>
          <w:sz w:val="28"/>
          <w:szCs w:val="28"/>
        </w:rPr>
        <w:t>本部门在今年部门决算公开中反映农村饮水巩固提升项目绩效自评 结果。（1）农村饮水巩固提升项目自评综述：根据年初设定的绩效目标， 项目绩效自评得分为 98 分（绩效自评表附后）。全年预算数为 2322 万元， 执行数为 1416 万元，完成预算的 61%。项目绩效目标完成情况：一是投 资 2322 万元，完成徐村供水站、柴庄供水站、草厂供水站及 26 个高氟村 的巩固提升工程；二是完成供水站房屋建筑面积 755.3 ㎡；三是埋设供 水主管道徐村、草厂、柴庄供水站至 26 个村的村外管道 29.5km 等；四 是改造 22 个村村内主管道 37.6km，铺设入户管道 47.1km，更换水表井 1247 个，更换 8726 块远传智能水表。通过改造提升供水站厂区生产用房及村内外输水管网建设等工程措 施，可解决 26095 人的饮水高氟问题，其中贫困人口 1257 人。工程项目 已全部完工并投入使用，发挥效益，到 2019 年底我县自来水普及率达 100%、水质达标率为 100%。对照农村饮水安全巩固提升工程建设管理年度评价指标进行了自评， 综合得分为 98 分。</w:t>
      </w:r>
    </w:p>
    <w:p>
      <w:pPr>
        <w:adjustRightInd w:val="0"/>
        <w:snapToGrid w:val="0"/>
        <w:spacing w:after="0" w:line="580" w:lineRule="exact"/>
        <w:ind w:left="638" w:leftChars="304" w:firstLine="0" w:firstLineChars="0"/>
        <w:rPr>
          <w:rFonts w:hint="eastAsia" w:ascii="仿宋_GB2312" w:eastAsia="仿宋_GB2312" w:cs="DengXian-Regular"/>
          <w:sz w:val="32"/>
          <w:szCs w:val="32"/>
          <w:lang w:eastAsia="zh-CN"/>
        </w:rPr>
      </w:pP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hint="eastAsia" w:ascii="楷体_GB2312" w:eastAsia="楷体_GB2312" w:cs="DengXian-Bold"/>
          <w:lang w:eastAsia="zh-CN"/>
        </w:rPr>
      </w:pPr>
      <w:r>
        <w:rPr>
          <w:rFonts w:hint="eastAsia" w:ascii="楷体_GB2312" w:eastAsia="楷体_GB2312" w:cs="DengXian-Bold"/>
        </w:rPr>
        <w:t>（一）</w:t>
      </w:r>
      <w:r>
        <w:rPr>
          <w:rFonts w:hint="eastAsia" w:ascii="楷体_GB2312" w:eastAsia="楷体_GB2312" w:cs="DengXian-Bold"/>
          <w:lang w:eastAsia="zh-CN"/>
        </w:rPr>
        <w:t>机关运行费情况</w:t>
      </w:r>
    </w:p>
    <w:p>
      <w:pPr>
        <w:adjustRightInd w:val="0"/>
        <w:snapToGrid w:val="0"/>
        <w:spacing w:after="0" w:line="58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本部门2018年度机关运行经费支出</w:t>
      </w:r>
      <w:r>
        <w:rPr>
          <w:rFonts w:hint="eastAsia" w:ascii="仿宋" w:hAnsi="仿宋" w:eastAsia="仿宋" w:cs="仿宋"/>
          <w:sz w:val="32"/>
          <w:szCs w:val="32"/>
          <w:lang w:val="en-US" w:eastAsia="zh-CN"/>
        </w:rPr>
        <w:t>690.91</w:t>
      </w:r>
      <w:r>
        <w:rPr>
          <w:rFonts w:hint="eastAsia" w:ascii="仿宋" w:hAnsi="仿宋" w:eastAsia="仿宋" w:cs="仿宋"/>
          <w:sz w:val="32"/>
          <w:szCs w:val="32"/>
        </w:rPr>
        <w:t>万元，</w:t>
      </w:r>
      <w:r>
        <w:rPr>
          <w:rFonts w:hint="eastAsia" w:ascii="仿宋" w:hAnsi="仿宋" w:eastAsia="仿宋" w:cs="仿宋"/>
          <w:sz w:val="32"/>
          <w:szCs w:val="32"/>
          <w:lang w:val="en-US" w:eastAsia="zh-CN"/>
        </w:rPr>
        <w:t>与</w:t>
      </w:r>
      <w:r>
        <w:rPr>
          <w:rFonts w:hint="eastAsia" w:ascii="仿宋" w:hAnsi="仿宋" w:eastAsia="仿宋" w:cs="仿宋"/>
          <w:sz w:val="32"/>
          <w:szCs w:val="32"/>
        </w:rPr>
        <w:t>年初预算数</w:t>
      </w:r>
      <w:r>
        <w:rPr>
          <w:rFonts w:hint="eastAsia" w:ascii="仿宋" w:hAnsi="仿宋" w:eastAsia="仿宋" w:cs="仿宋"/>
          <w:sz w:val="32"/>
          <w:szCs w:val="32"/>
          <w:lang w:val="en-US" w:eastAsia="zh-CN"/>
        </w:rPr>
        <w:t>增加59.91万元，增加9.49%</w:t>
      </w:r>
      <w:r>
        <w:rPr>
          <w:rFonts w:hint="eastAsia" w:ascii="仿宋" w:hAnsi="仿宋" w:eastAsia="仿宋" w:cs="仿宋"/>
          <w:sz w:val="32"/>
          <w:szCs w:val="32"/>
        </w:rPr>
        <w:t>。</w:t>
      </w:r>
      <w:r>
        <w:rPr>
          <w:rFonts w:hint="eastAsia" w:ascii="仿宋" w:hAnsi="仿宋" w:eastAsia="仿宋" w:cs="仿宋"/>
          <w:sz w:val="32"/>
          <w:szCs w:val="32"/>
          <w:lang w:eastAsia="zh-CN"/>
        </w:rPr>
        <w:t>主要是编制轴承产业园园区规划水资源论证报告费。</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lang w:eastAsia="zh-CN"/>
        </w:rPr>
        <w:t>（二）</w:t>
      </w:r>
      <w:r>
        <w:rPr>
          <w:rFonts w:hint="eastAsia" w:ascii="楷体_GB2312" w:eastAsia="楷体_GB2312" w:cs="DengXian-Bold"/>
        </w:rPr>
        <w:t>政府采购情况</w:t>
      </w:r>
    </w:p>
    <w:p>
      <w:pPr>
        <w:widowControl/>
        <w:spacing w:after="0" w:line="580" w:lineRule="exact"/>
        <w:ind w:firstLine="640" w:firstLineChars="200"/>
        <w:jc w:val="left"/>
        <w:rPr>
          <w:rFonts w:hint="eastAsia" w:ascii="仿宋_GB2312" w:eastAsia="仿宋_GB2312" w:cs="DengXian-Regular"/>
          <w:sz w:val="32"/>
          <w:szCs w:val="32"/>
          <w:lang w:val="en-US" w:eastAsia="zh-CN"/>
        </w:rPr>
      </w:pPr>
      <w:r>
        <w:rPr>
          <w:rFonts w:hint="eastAsia" w:ascii="仿宋_GB2312" w:eastAsia="仿宋_GB2312" w:cs="DengXian-Regular"/>
          <w:sz w:val="32"/>
          <w:szCs w:val="32"/>
        </w:rPr>
        <w:t>本部门2018年度政府采购支出总额277万元，从采购类型来看，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2</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rPr>
        <w:t>275</w:t>
      </w:r>
      <w:r>
        <w:rPr>
          <w:rFonts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lang w:eastAsia="zh-CN"/>
        </w:rPr>
        <w:t>授予中小微企业</w:t>
      </w:r>
      <w:r>
        <w:rPr>
          <w:rFonts w:hint="eastAsia" w:ascii="仿宋_GB2312" w:hAnsi="仿宋_GB2312" w:eastAsia="仿宋_GB2312" w:cs="仿宋_GB2312"/>
          <w:color w:val="000000"/>
          <w:kern w:val="0"/>
          <w:sz w:val="32"/>
          <w:szCs w:val="32"/>
          <w:lang w:val="en-US" w:eastAsia="zh-CN"/>
        </w:rPr>
        <w:t>2万元。</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cs="DengXian-Regular" w:eastAsiaTheme="minorEastAsia"/>
          <w:sz w:val="32"/>
          <w:szCs w:val="32"/>
        </w:rPr>
        <w:t>1</w:t>
      </w:r>
      <w:r>
        <w:rPr>
          <w:rFonts w:hint="eastAsia" w:ascii="仿宋_GB2312" w:eastAsia="仿宋_GB2312" w:cs="DengXian-Regular"/>
          <w:sz w:val="32"/>
          <w:szCs w:val="32"/>
        </w:rPr>
        <w:t>辆，比上年持平。其中，</w:t>
      </w:r>
      <w:r>
        <w:rPr>
          <w:rFonts w:hint="eastAsia" w:ascii="仿宋" w:hAnsi="仿宋" w:eastAsia="仿宋" w:cs="宋体"/>
          <w:sz w:val="32"/>
          <w:szCs w:val="32"/>
        </w:rPr>
        <w:t>防汛</w:t>
      </w:r>
      <w:r>
        <w:rPr>
          <w:rFonts w:hint="eastAsia" w:ascii="仿宋_GB2312" w:eastAsia="仿宋_GB2312" w:cs="DengXian-Regular"/>
          <w:sz w:val="32"/>
          <w:szCs w:val="32"/>
        </w:rPr>
        <w:t>应急保障用车</w:t>
      </w:r>
      <w:r>
        <w:rPr>
          <w:rFonts w:hint="eastAsia" w:ascii="仿宋_GB2312" w:cs="DengXian-Regular" w:eastAsiaTheme="minorEastAsia"/>
          <w:sz w:val="32"/>
          <w:szCs w:val="32"/>
        </w:rPr>
        <w:t>1</w:t>
      </w:r>
      <w:r>
        <w:rPr>
          <w:rFonts w:hint="eastAsia" w:ascii="仿宋_GB2312" w:eastAsia="仿宋_GB2312" w:cs="DengXian-Regular"/>
          <w:sz w:val="32"/>
          <w:szCs w:val="32"/>
        </w:rPr>
        <w:t>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w:t>
      </w:r>
      <w:r>
        <w:rPr>
          <w:rFonts w:hint="eastAsia" w:ascii="仿宋_GB2312" w:eastAsia="仿宋_GB2312" w:cs="DengXian-Regular"/>
          <w:sz w:val="32"/>
          <w:szCs w:val="32"/>
          <w:lang w:eastAsia="zh-CN"/>
        </w:rPr>
        <w:t>上年持平</w:t>
      </w:r>
      <w:r>
        <w:rPr>
          <w:rFonts w:hint="eastAsia" w:ascii="仿宋_GB2312" w:eastAsia="仿宋_GB2312" w:cs="DengXian-Regular"/>
          <w:sz w:val="32"/>
          <w:szCs w:val="32"/>
        </w:rPr>
        <w:t>，</w:t>
      </w:r>
      <w:r>
        <w:rPr>
          <w:rFonts w:hint="eastAsia" w:ascii="仿宋_GB2312" w:eastAsia="仿宋_GB2312" w:cs="DengXian-Regular"/>
          <w:sz w:val="32"/>
          <w:szCs w:val="32"/>
          <w:lang w:eastAsia="zh-CN"/>
        </w:rPr>
        <w:t>主要是无此项设备；</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w:t>
      </w:r>
      <w:r>
        <w:rPr>
          <w:rFonts w:hint="eastAsia" w:ascii="仿宋_GB2312" w:eastAsia="仿宋_GB2312" w:cs="DengXian-Regular"/>
          <w:sz w:val="32"/>
          <w:szCs w:val="32"/>
          <w:lang w:eastAsia="zh-CN"/>
        </w:rPr>
        <w:t>持平，主要是无此项设备</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w:t>
      </w:r>
      <w:r>
        <w:rPr>
          <w:rFonts w:hint="eastAsia" w:ascii="仿宋" w:hAnsi="仿宋" w:eastAsia="仿宋" w:cs="DengXian-Regular"/>
          <w:sz w:val="32"/>
          <w:szCs w:val="32"/>
        </w:rPr>
        <w:t>本部门2018年度水利局无国有资产经营财政拨款收支及结转结余情况，故公开0</w:t>
      </w:r>
      <w:r>
        <w:rPr>
          <w:rFonts w:hint="eastAsia" w:ascii="仿宋" w:hAnsi="仿宋" w:eastAsia="仿宋" w:cs="宋体"/>
          <w:sz w:val="32"/>
          <w:szCs w:val="32"/>
        </w:rPr>
        <w:t>9</w:t>
      </w:r>
      <w:r>
        <w:rPr>
          <w:rFonts w:hint="eastAsia" w:ascii="仿宋" w:hAnsi="仿宋" w:eastAsia="仿宋"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9"/>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6DFA2A3-AE65-4686-95A9-5D71FE143FB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4FEA1341-238B-4716-A410-81A8186FA780}"/>
  </w:font>
  <w:font w:name="楷体">
    <w:panose1 w:val="02010609060101010101"/>
    <w:charset w:val="86"/>
    <w:family w:val="modern"/>
    <w:pitch w:val="default"/>
    <w:sig w:usb0="800002BF" w:usb1="38CF7CFA" w:usb2="00000016" w:usb3="00000000" w:csb0="00040001" w:csb1="00000000"/>
    <w:embedRegular r:id="rId3" w:fontKey="{521B7A4D-A007-409E-803A-CC966A422647}"/>
  </w:font>
  <w:font w:name="仿宋_GB2312">
    <w:panose1 w:val="02010609030101010101"/>
    <w:charset w:val="86"/>
    <w:family w:val="modern"/>
    <w:pitch w:val="default"/>
    <w:sig w:usb0="00000001" w:usb1="080E0000" w:usb2="00000000" w:usb3="00000000" w:csb0="00040000" w:csb1="00000000"/>
    <w:embedRegular r:id="rId4" w:fontKey="{B074080D-F71C-441D-825E-BFA322E451A7}"/>
  </w:font>
  <w:font w:name="ArialUnicodeMS">
    <w:altName w:val="Malgun Gothic"/>
    <w:panose1 w:val="00000000000000000000"/>
    <w:charset w:val="81"/>
    <w:family w:val="auto"/>
    <w:pitch w:val="default"/>
    <w:sig w:usb0="00000000" w:usb1="00000000" w:usb2="00000010" w:usb3="00000000" w:csb0="00080001" w:csb1="00000000"/>
    <w:embedRegular r:id="rId5" w:fontKey="{9D959731-33C2-40D1-88AE-5064A55B893B}"/>
  </w:font>
  <w:font w:name="仿宋">
    <w:panose1 w:val="02010609060101010101"/>
    <w:charset w:val="86"/>
    <w:family w:val="modern"/>
    <w:pitch w:val="default"/>
    <w:sig w:usb0="800002BF" w:usb1="38CF7CFA" w:usb2="00000016" w:usb3="00000000" w:csb0="00040001" w:csb1="00000000"/>
    <w:embedRegular r:id="rId6" w:fontKey="{6458AA4B-CD6C-416D-BB6D-3A4F792A7A1B}"/>
  </w:font>
  <w:font w:name="MS-UIGothic,Bold">
    <w:altName w:val="Malgun Gothic"/>
    <w:panose1 w:val="00000000000000000000"/>
    <w:charset w:val="81"/>
    <w:family w:val="auto"/>
    <w:pitch w:val="default"/>
    <w:sig w:usb0="00000000" w:usb1="00000000" w:usb2="00000010" w:usb3="00000000" w:csb0="00080000" w:csb1="00000000"/>
    <w:embedRegular r:id="rId7" w:fontKey="{B3DA9077-D95F-4780-9A19-6F2AA242AAA6}"/>
  </w:font>
  <w:font w:name="DengXian-Regular">
    <w:altName w:val="宋体"/>
    <w:panose1 w:val="00000000000000000000"/>
    <w:charset w:val="86"/>
    <w:family w:val="auto"/>
    <w:pitch w:val="default"/>
    <w:sig w:usb0="00000000" w:usb1="00000000" w:usb2="00000010" w:usb3="00000000" w:csb0="00040001" w:csb1="00000000"/>
    <w:embedRegular r:id="rId8" w:fontKey="{4196FE85-6AF2-4CA3-87A8-51BB38692E72}"/>
  </w:font>
  <w:font w:name="楷体_GB2312">
    <w:panose1 w:val="02010609030101010101"/>
    <w:charset w:val="86"/>
    <w:family w:val="auto"/>
    <w:pitch w:val="default"/>
    <w:sig w:usb0="00000001" w:usb1="080E0000" w:usb2="00000000" w:usb3="00000000" w:csb0="00040000" w:csb1="00000000"/>
    <w:embedRegular r:id="rId9" w:fontKey="{3C01B8F5-D6AF-4433-B942-FC1E38B89D14}"/>
  </w:font>
  <w:font w:name="DengXian-Bold">
    <w:altName w:val="宋体"/>
    <w:panose1 w:val="00000000000000000000"/>
    <w:charset w:val="86"/>
    <w:family w:val="auto"/>
    <w:pitch w:val="default"/>
    <w:sig w:usb0="00000000" w:usb1="00000000" w:usb2="00000010" w:usb3="00000000" w:csb0="00040001" w:csb1="00000000"/>
    <w:embedRegular r:id="rId10" w:fontKey="{5BD79F63-B5F6-4BD5-9E9C-00A99B0FF255}"/>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E3MzdkNjM4ODgwYzA2ODU2MjM2OTJlMmM0YWU3ZDAifQ=="/>
  </w:docVars>
  <w:rsids>
    <w:rsidRoot w:val="003C1413"/>
    <w:rsid w:val="00024E7F"/>
    <w:rsid w:val="00045AD2"/>
    <w:rsid w:val="000475A0"/>
    <w:rsid w:val="000509D1"/>
    <w:rsid w:val="00054641"/>
    <w:rsid w:val="000774C0"/>
    <w:rsid w:val="000838C3"/>
    <w:rsid w:val="00090066"/>
    <w:rsid w:val="00096B6B"/>
    <w:rsid w:val="000B2446"/>
    <w:rsid w:val="000C09E7"/>
    <w:rsid w:val="000D082C"/>
    <w:rsid w:val="000D7C65"/>
    <w:rsid w:val="000E2F81"/>
    <w:rsid w:val="000E7D89"/>
    <w:rsid w:val="00111482"/>
    <w:rsid w:val="001116A8"/>
    <w:rsid w:val="00117946"/>
    <w:rsid w:val="00117E2C"/>
    <w:rsid w:val="00146C47"/>
    <w:rsid w:val="00151BF1"/>
    <w:rsid w:val="00152FB8"/>
    <w:rsid w:val="00172636"/>
    <w:rsid w:val="00172B78"/>
    <w:rsid w:val="00176658"/>
    <w:rsid w:val="001815BF"/>
    <w:rsid w:val="0018239E"/>
    <w:rsid w:val="00182A2C"/>
    <w:rsid w:val="001B03BE"/>
    <w:rsid w:val="001B3410"/>
    <w:rsid w:val="001C030D"/>
    <w:rsid w:val="001C4A84"/>
    <w:rsid w:val="001E5902"/>
    <w:rsid w:val="00226614"/>
    <w:rsid w:val="00233705"/>
    <w:rsid w:val="00253C77"/>
    <w:rsid w:val="0025699D"/>
    <w:rsid w:val="00275CA2"/>
    <w:rsid w:val="002A65A5"/>
    <w:rsid w:val="002C04C4"/>
    <w:rsid w:val="002C2670"/>
    <w:rsid w:val="002D08B0"/>
    <w:rsid w:val="002D1AE3"/>
    <w:rsid w:val="002E467B"/>
    <w:rsid w:val="002E5D07"/>
    <w:rsid w:val="002F2604"/>
    <w:rsid w:val="002F2ECE"/>
    <w:rsid w:val="00303D84"/>
    <w:rsid w:val="00311C46"/>
    <w:rsid w:val="00325C3B"/>
    <w:rsid w:val="00332970"/>
    <w:rsid w:val="00341C8F"/>
    <w:rsid w:val="0035463A"/>
    <w:rsid w:val="00356496"/>
    <w:rsid w:val="00367789"/>
    <w:rsid w:val="00391D9D"/>
    <w:rsid w:val="003B6C51"/>
    <w:rsid w:val="003C1413"/>
    <w:rsid w:val="003C17C0"/>
    <w:rsid w:val="003C47A5"/>
    <w:rsid w:val="003C549F"/>
    <w:rsid w:val="003D5A16"/>
    <w:rsid w:val="003E51A8"/>
    <w:rsid w:val="003E7DB3"/>
    <w:rsid w:val="003F09AD"/>
    <w:rsid w:val="003F22E7"/>
    <w:rsid w:val="00431175"/>
    <w:rsid w:val="00445825"/>
    <w:rsid w:val="0046212E"/>
    <w:rsid w:val="0046291D"/>
    <w:rsid w:val="00494FFB"/>
    <w:rsid w:val="004A3826"/>
    <w:rsid w:val="004B45C2"/>
    <w:rsid w:val="004B6E37"/>
    <w:rsid w:val="004C32BA"/>
    <w:rsid w:val="004C5D73"/>
    <w:rsid w:val="004C6AB6"/>
    <w:rsid w:val="004F235D"/>
    <w:rsid w:val="00514D9B"/>
    <w:rsid w:val="005339BF"/>
    <w:rsid w:val="00575922"/>
    <w:rsid w:val="0058416B"/>
    <w:rsid w:val="005A6C90"/>
    <w:rsid w:val="005C6F88"/>
    <w:rsid w:val="005D20DD"/>
    <w:rsid w:val="005D5D22"/>
    <w:rsid w:val="005E3FB0"/>
    <w:rsid w:val="005E6391"/>
    <w:rsid w:val="005F4B66"/>
    <w:rsid w:val="005F5208"/>
    <w:rsid w:val="00605FE3"/>
    <w:rsid w:val="00612128"/>
    <w:rsid w:val="00621873"/>
    <w:rsid w:val="00622936"/>
    <w:rsid w:val="00641318"/>
    <w:rsid w:val="0064405D"/>
    <w:rsid w:val="00644F7D"/>
    <w:rsid w:val="00677E3C"/>
    <w:rsid w:val="006834CB"/>
    <w:rsid w:val="00695557"/>
    <w:rsid w:val="006C2ABC"/>
    <w:rsid w:val="006D4EA7"/>
    <w:rsid w:val="006F2552"/>
    <w:rsid w:val="0070012A"/>
    <w:rsid w:val="0070109C"/>
    <w:rsid w:val="0070664B"/>
    <w:rsid w:val="007071B8"/>
    <w:rsid w:val="00712668"/>
    <w:rsid w:val="00713A31"/>
    <w:rsid w:val="007414DE"/>
    <w:rsid w:val="007905A9"/>
    <w:rsid w:val="007950D0"/>
    <w:rsid w:val="007A731C"/>
    <w:rsid w:val="007B7DE2"/>
    <w:rsid w:val="007E5500"/>
    <w:rsid w:val="007E5F10"/>
    <w:rsid w:val="007F055B"/>
    <w:rsid w:val="007F1F17"/>
    <w:rsid w:val="008000FB"/>
    <w:rsid w:val="00811C2F"/>
    <w:rsid w:val="00833D46"/>
    <w:rsid w:val="00840A97"/>
    <w:rsid w:val="00841A81"/>
    <w:rsid w:val="00895E6B"/>
    <w:rsid w:val="00897469"/>
    <w:rsid w:val="008B6D9E"/>
    <w:rsid w:val="008C0149"/>
    <w:rsid w:val="008C6DFC"/>
    <w:rsid w:val="008D5DED"/>
    <w:rsid w:val="008E25CA"/>
    <w:rsid w:val="008F34FC"/>
    <w:rsid w:val="00944CD7"/>
    <w:rsid w:val="00947FFE"/>
    <w:rsid w:val="00964976"/>
    <w:rsid w:val="009831B2"/>
    <w:rsid w:val="00991E83"/>
    <w:rsid w:val="009A1ABE"/>
    <w:rsid w:val="009E21A4"/>
    <w:rsid w:val="009F22C6"/>
    <w:rsid w:val="009F4B66"/>
    <w:rsid w:val="00A02D73"/>
    <w:rsid w:val="00A07E50"/>
    <w:rsid w:val="00A108EA"/>
    <w:rsid w:val="00A15397"/>
    <w:rsid w:val="00A24353"/>
    <w:rsid w:val="00A35CE0"/>
    <w:rsid w:val="00A4462E"/>
    <w:rsid w:val="00A44AA4"/>
    <w:rsid w:val="00A61623"/>
    <w:rsid w:val="00A84687"/>
    <w:rsid w:val="00AA513A"/>
    <w:rsid w:val="00AB0A0E"/>
    <w:rsid w:val="00AD14C5"/>
    <w:rsid w:val="00AD3B6E"/>
    <w:rsid w:val="00AD473D"/>
    <w:rsid w:val="00AE2F0D"/>
    <w:rsid w:val="00B13DE2"/>
    <w:rsid w:val="00B1751F"/>
    <w:rsid w:val="00B56722"/>
    <w:rsid w:val="00B63420"/>
    <w:rsid w:val="00B74D39"/>
    <w:rsid w:val="00B84CB0"/>
    <w:rsid w:val="00B85FC9"/>
    <w:rsid w:val="00B91DA4"/>
    <w:rsid w:val="00B96D45"/>
    <w:rsid w:val="00BC1943"/>
    <w:rsid w:val="00BC1E98"/>
    <w:rsid w:val="00BD4805"/>
    <w:rsid w:val="00BE1A54"/>
    <w:rsid w:val="00C01858"/>
    <w:rsid w:val="00C12630"/>
    <w:rsid w:val="00C34562"/>
    <w:rsid w:val="00C35AA8"/>
    <w:rsid w:val="00C3774E"/>
    <w:rsid w:val="00C53F50"/>
    <w:rsid w:val="00C57456"/>
    <w:rsid w:val="00C57788"/>
    <w:rsid w:val="00C65387"/>
    <w:rsid w:val="00C87027"/>
    <w:rsid w:val="00C87FAB"/>
    <w:rsid w:val="00C91FF7"/>
    <w:rsid w:val="00C94E53"/>
    <w:rsid w:val="00CA710C"/>
    <w:rsid w:val="00CB0107"/>
    <w:rsid w:val="00CB71F2"/>
    <w:rsid w:val="00CB7769"/>
    <w:rsid w:val="00CB79A7"/>
    <w:rsid w:val="00CD0358"/>
    <w:rsid w:val="00CD2869"/>
    <w:rsid w:val="00CD6F3D"/>
    <w:rsid w:val="00D0048E"/>
    <w:rsid w:val="00D17B6C"/>
    <w:rsid w:val="00D23E7A"/>
    <w:rsid w:val="00D27322"/>
    <w:rsid w:val="00D61063"/>
    <w:rsid w:val="00D875A7"/>
    <w:rsid w:val="00DA6257"/>
    <w:rsid w:val="00DB35AF"/>
    <w:rsid w:val="00DC27ED"/>
    <w:rsid w:val="00DD72D7"/>
    <w:rsid w:val="00DF5B88"/>
    <w:rsid w:val="00E0589E"/>
    <w:rsid w:val="00E241FA"/>
    <w:rsid w:val="00E2595E"/>
    <w:rsid w:val="00E26D2F"/>
    <w:rsid w:val="00E35374"/>
    <w:rsid w:val="00E42A40"/>
    <w:rsid w:val="00E471F8"/>
    <w:rsid w:val="00E50C19"/>
    <w:rsid w:val="00E54FF3"/>
    <w:rsid w:val="00E64655"/>
    <w:rsid w:val="00E73081"/>
    <w:rsid w:val="00E73EF5"/>
    <w:rsid w:val="00E828BE"/>
    <w:rsid w:val="00E856C9"/>
    <w:rsid w:val="00EB1952"/>
    <w:rsid w:val="00EB3862"/>
    <w:rsid w:val="00EB6A8B"/>
    <w:rsid w:val="00EE7722"/>
    <w:rsid w:val="00EF38C6"/>
    <w:rsid w:val="00F1169B"/>
    <w:rsid w:val="00F679C7"/>
    <w:rsid w:val="00F76EF0"/>
    <w:rsid w:val="00F7711A"/>
    <w:rsid w:val="00FA0D58"/>
    <w:rsid w:val="00FA2D97"/>
    <w:rsid w:val="00FA56F4"/>
    <w:rsid w:val="00FB4EDA"/>
    <w:rsid w:val="00FC159C"/>
    <w:rsid w:val="00FD3BD5"/>
    <w:rsid w:val="00FE3DC8"/>
    <w:rsid w:val="039674E2"/>
    <w:rsid w:val="04073F84"/>
    <w:rsid w:val="0B60750A"/>
    <w:rsid w:val="10686488"/>
    <w:rsid w:val="10DF728A"/>
    <w:rsid w:val="1264200E"/>
    <w:rsid w:val="141C5B77"/>
    <w:rsid w:val="18D8339D"/>
    <w:rsid w:val="1A21388F"/>
    <w:rsid w:val="1A570D2F"/>
    <w:rsid w:val="28FB0B8D"/>
    <w:rsid w:val="2A9870FC"/>
    <w:rsid w:val="2D2B7942"/>
    <w:rsid w:val="2D46481D"/>
    <w:rsid w:val="2E733B28"/>
    <w:rsid w:val="31852B5A"/>
    <w:rsid w:val="32D01238"/>
    <w:rsid w:val="3DFC59A8"/>
    <w:rsid w:val="3ECF245E"/>
    <w:rsid w:val="3F720591"/>
    <w:rsid w:val="3FB96314"/>
    <w:rsid w:val="53A44FAF"/>
    <w:rsid w:val="594329EC"/>
    <w:rsid w:val="5B0C3083"/>
    <w:rsid w:val="5BEE1540"/>
    <w:rsid w:val="5DE61A5D"/>
    <w:rsid w:val="63C04243"/>
    <w:rsid w:val="649C01C7"/>
    <w:rsid w:val="699A3F60"/>
    <w:rsid w:val="6AA17A59"/>
    <w:rsid w:val="72902E62"/>
    <w:rsid w:val="73C61104"/>
    <w:rsid w:val="776452EA"/>
    <w:rsid w:val="7B0308CD"/>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2"/>
    <w:semiHidden/>
    <w:unhideWhenUsed/>
    <w:qFormat/>
    <w:uiPriority w:val="99"/>
    <w:pPr>
      <w:ind w:left="100" w:leftChars="2500"/>
    </w:pPr>
  </w:style>
  <w:style w:type="paragraph" w:styleId="7">
    <w:name w:val="Balloon Text"/>
    <w:basedOn w:val="1"/>
    <w:link w:val="20"/>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9"/>
    <w:qFormat/>
    <w:uiPriority w:val="99"/>
    <w:rPr>
      <w:sz w:val="18"/>
      <w:szCs w:val="18"/>
    </w:rPr>
  </w:style>
  <w:style w:type="character" w:customStyle="1" w:styleId="17">
    <w:name w:val="页脚 Char"/>
    <w:basedOn w:val="15"/>
    <w:link w:val="8"/>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7"/>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2">
    <w:name w:val="副标题 Char"/>
    <w:basedOn w:val="15"/>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6"/>
    <w:semiHidden/>
    <w:qFormat/>
    <w:uiPriority w:val="99"/>
    <w:rPr>
      <w:rFonts w:ascii="Times New Roman" w:hAnsi="Times New Roman" w:eastAsia="宋体" w:cs="Times New Roman"/>
      <w:szCs w:val="24"/>
    </w:rPr>
  </w:style>
  <w:style w:type="paragraph" w:styleId="3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117"/>
    <customShpInfo spid="_x0000_s1113"/>
    <customShpInfo spid="_x0000_s1082"/>
    <customShpInfo spid="_x0000_s1060"/>
    <customShpInfo spid="_x0000_s1059"/>
    <customShpInfo spid="_x0000_s1058"/>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6CD849-8498-4D71-8BA8-27EB336527A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2206</Words>
  <Characters>12576</Characters>
  <Lines>104</Lines>
  <Paragraphs>29</Paragraphs>
  <TotalTime>0</TotalTime>
  <ScaleCrop>false</ScaleCrop>
  <LinksUpToDate>false</LinksUpToDate>
  <CharactersWithSpaces>14753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2019-11-15T07:11:00Z</cp:lastPrinted>
  <dcterms:modified xsi:type="dcterms:W3CDTF">2023-11-25T12:24:32Z</dcterms:modified>
  <dc:subject>石家庄市xxx部门</dc:subject>
  <dc:title>2017年度部门决算</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24D30EAEDED04FADA2E916442AB901A1</vt:lpwstr>
  </property>
</Properties>
</file>