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55C8">
      <w:pPr>
        <w:widowControl/>
        <w:jc w:val="center"/>
        <w:rPr>
          <w:rFonts w:ascii="黑体" w:hAnsi="黑体" w:eastAsia="黑体"/>
          <w:b/>
          <w:sz w:val="72"/>
          <w:szCs w:val="72"/>
        </w:rPr>
      </w:pPr>
      <w:bookmarkStart w:id="1" w:name="_GoBack"/>
      <w:bookmarkEnd w:id="1"/>
      <w:r>
        <w:pict>
          <v:shape id="图片 7" o:spid="_x0000_s1026" o:spt="75" alt="wc ga" type="#_x0000_t75" style="position:absolute;left:0pt;margin-left:-78.75pt;margin-top:-106.7pt;height:850.15pt;width:596.6pt;z-index:-251657216;mso-width-relative:page;mso-height-relative:page;" filled="f" o:preferrelative="t" stroked="f" coordsize="21600,21600">
            <v:path/>
            <v:fill on="f" focussize="0,0"/>
            <v:stroke on="f"/>
            <v:imagedata r:id="rId12" o:title=""/>
            <o:lock v:ext="edit" aspectratio="t"/>
          </v:shape>
        </w:pict>
      </w:r>
    </w:p>
    <w:p w14:paraId="1E7A9205">
      <w:pPr>
        <w:widowControl/>
        <w:jc w:val="center"/>
        <w:rPr>
          <w:rFonts w:ascii="黑体" w:hAnsi="宋体" w:eastAsia="黑体"/>
          <w:color w:val="002060"/>
          <w:sz w:val="72"/>
          <w:szCs w:val="72"/>
        </w:rPr>
      </w:pPr>
      <w:r>
        <w:pict>
          <v:shape id="_x0000_s1027" o:spid="_x0000_s1027" o:spt="202" type="#_x0000_t202" style="position:absolute;left:0pt;margin-left:-83.1pt;margin-top:43.25pt;height:166.25pt;width:596.2pt;z-index:251660288;mso-width-relative:page;mso-height-relative:page;" filled="f" stroked="f" coordsize="21600,21600">
            <v:path/>
            <v:fill on="f" focussize="0,0"/>
            <v:stroke on="f" weight="0.5pt" joinstyle="miter"/>
            <v:imagedata o:title=""/>
            <o:lock v:ext="edit"/>
            <v:textbox>
              <w:txbxContent>
                <w:p w14:paraId="5EC12C93">
                  <w:pPr>
                    <w:widowControl/>
                    <w:spacing w:line="1200" w:lineRule="exact"/>
                    <w:jc w:val="center"/>
                    <w:rPr>
                      <w:rFonts w:ascii="黑体" w:hAnsi="宋体" w:eastAsia="黑体"/>
                      <w:color w:val="FDEFBE"/>
                      <w:sz w:val="84"/>
                      <w:szCs w:val="84"/>
                    </w:rPr>
                  </w:pPr>
                  <w:r>
                    <w:rPr>
                      <w:rFonts w:hint="eastAsia" w:ascii="黑体" w:hAnsi="宋体" w:eastAsia="黑体"/>
                      <w:color w:val="FDEFBE"/>
                      <w:sz w:val="84"/>
                      <w:szCs w:val="84"/>
                    </w:rPr>
                    <w:t>馆陶县人力资源和社会保障局</w:t>
                  </w:r>
                </w:p>
                <w:p w14:paraId="36B66710">
                  <w:pPr>
                    <w:widowControl/>
                    <w:spacing w:line="1200" w:lineRule="exact"/>
                    <w:jc w:val="center"/>
                    <w:rPr>
                      <w:color w:val="FDEFBE"/>
                      <w:sz w:val="84"/>
                      <w:szCs w:val="84"/>
                    </w:rPr>
                  </w:pPr>
                  <w:r>
                    <w:rPr>
                      <w:rFonts w:ascii="黑体" w:hAnsi="宋体" w:eastAsia="黑体"/>
                      <w:color w:val="FDEFBE"/>
                      <w:sz w:val="84"/>
                      <w:szCs w:val="84"/>
                    </w:rPr>
                    <w:t>2018</w:t>
                  </w:r>
                  <w:r>
                    <w:rPr>
                      <w:rFonts w:hint="eastAsia" w:ascii="黑体" w:hAnsi="宋体" w:eastAsia="黑体"/>
                      <w:color w:val="FDEFBE"/>
                      <w:sz w:val="84"/>
                      <w:szCs w:val="84"/>
                    </w:rPr>
                    <w:t>年度部门决算</w:t>
                  </w:r>
                </w:p>
                <w:p w14:paraId="0EED8EA4">
                  <w:pPr>
                    <w:rPr>
                      <w:color w:val="FDEFBE"/>
                      <w:sz w:val="96"/>
                      <w:szCs w:val="96"/>
                    </w:rPr>
                  </w:pPr>
                </w:p>
              </w:txbxContent>
            </v:textbox>
          </v:shape>
        </w:pict>
      </w:r>
    </w:p>
    <w:p w14:paraId="11D1D996">
      <w:pPr>
        <w:widowControl/>
        <w:jc w:val="center"/>
        <w:rPr>
          <w:rFonts w:ascii="黑体" w:hAnsi="黑体" w:eastAsia="黑体"/>
          <w:b/>
          <w:sz w:val="72"/>
          <w:szCs w:val="72"/>
        </w:rPr>
      </w:pPr>
    </w:p>
    <w:p w14:paraId="50B62B98">
      <w:pPr>
        <w:widowControl/>
        <w:jc w:val="center"/>
        <w:rPr>
          <w:rFonts w:ascii="黑体" w:hAnsi="黑体" w:eastAsia="黑体"/>
          <w:b/>
          <w:sz w:val="72"/>
          <w:szCs w:val="72"/>
        </w:rPr>
      </w:pPr>
    </w:p>
    <w:p w14:paraId="5EDB6297">
      <w:pPr>
        <w:widowControl/>
        <w:jc w:val="center"/>
        <w:rPr>
          <w:rFonts w:ascii="黑体" w:hAnsi="黑体" w:eastAsia="黑体"/>
          <w:b/>
          <w:sz w:val="72"/>
          <w:szCs w:val="72"/>
        </w:rPr>
      </w:pPr>
    </w:p>
    <w:p w14:paraId="4E2FEBA9">
      <w:pPr>
        <w:widowControl/>
        <w:jc w:val="center"/>
        <w:rPr>
          <w:rFonts w:ascii="黑体" w:hAnsi="黑体" w:eastAsia="黑体"/>
          <w:b/>
          <w:sz w:val="72"/>
          <w:szCs w:val="72"/>
        </w:rPr>
      </w:pPr>
    </w:p>
    <w:p w14:paraId="7D55E6AC">
      <w:pPr>
        <w:widowControl/>
        <w:jc w:val="center"/>
        <w:rPr>
          <w:rFonts w:ascii="黑体" w:hAnsi="黑体" w:eastAsia="黑体"/>
          <w:b/>
          <w:sz w:val="72"/>
          <w:szCs w:val="72"/>
        </w:rPr>
      </w:pPr>
    </w:p>
    <w:p w14:paraId="7373EECF">
      <w:pPr>
        <w:widowControl/>
        <w:jc w:val="center"/>
        <w:rPr>
          <w:rFonts w:ascii="黑体" w:hAnsi="黑体" w:eastAsia="黑体"/>
          <w:b/>
          <w:sz w:val="72"/>
          <w:szCs w:val="72"/>
        </w:rPr>
      </w:pPr>
    </w:p>
    <w:p w14:paraId="1D0F4A05">
      <w:pPr>
        <w:widowControl/>
        <w:jc w:val="center"/>
        <w:rPr>
          <w:rFonts w:ascii="黑体" w:hAnsi="黑体" w:eastAsia="黑体"/>
          <w:b/>
          <w:sz w:val="72"/>
          <w:szCs w:val="72"/>
        </w:rPr>
      </w:pPr>
    </w:p>
    <w:p w14:paraId="299BBF90">
      <w:pPr>
        <w:widowControl/>
        <w:jc w:val="center"/>
        <w:rPr>
          <w:rFonts w:ascii="楷体" w:hAnsi="楷体" w:eastAsia="楷体" w:cs="楷体"/>
          <w:b/>
          <w:sz w:val="40"/>
          <w:szCs w:val="40"/>
        </w:rPr>
      </w:pPr>
    </w:p>
    <w:p w14:paraId="51A83EF6">
      <w:pPr>
        <w:widowControl/>
        <w:jc w:val="center"/>
        <w:rPr>
          <w:rFonts w:ascii="楷体" w:hAnsi="楷体" w:eastAsia="楷体" w:cs="楷体"/>
          <w:b/>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pPr>
      <w:r>
        <w:rPr>
          <w:rFonts w:hint="eastAsia" w:ascii="楷体" w:hAnsi="楷体" w:eastAsia="楷体" w:cs="楷体"/>
          <w:b/>
          <w:sz w:val="40"/>
          <w:szCs w:val="40"/>
        </w:rPr>
        <w:t>二〇一九年十</w:t>
      </w:r>
      <w:r>
        <w:rPr>
          <w:rFonts w:hint="eastAsia" w:ascii="楷体" w:hAnsi="楷体" w:eastAsia="楷体" w:cs="楷体"/>
          <w:b/>
          <w:sz w:val="40"/>
          <w:szCs w:val="40"/>
          <w:lang w:eastAsia="zh-CN"/>
        </w:rPr>
        <w:t>二</w:t>
      </w:r>
      <w:r>
        <w:rPr>
          <w:rFonts w:hint="eastAsia" w:ascii="楷体" w:hAnsi="楷体" w:eastAsia="楷体" w:cs="楷体"/>
          <w:b/>
          <w:sz w:val="40"/>
          <w:szCs w:val="40"/>
        </w:rPr>
        <w:t>月</w:t>
      </w:r>
    </w:p>
    <w:p w14:paraId="6E218257">
      <w:pPr>
        <w:spacing w:beforeLines="200" w:after="0" w:line="1000" w:lineRule="exact"/>
        <w:jc w:val="center"/>
        <w:rPr>
          <w:rFonts w:ascii="黑体" w:eastAsia="黑体"/>
          <w:sz w:val="48"/>
          <w:szCs w:val="48"/>
        </w:rPr>
      </w:pPr>
      <w:r>
        <w:pict>
          <v:group id="_x0000_s1028" o:spid="_x0000_s1028" o:spt="203" style="position:absolute;left:0pt;margin-left:-80.8pt;margin-top:39.95pt;height:46.7pt;width:250.05pt;mso-position-vertical-relative:page;z-index:251671552;mso-width-relative:page;mso-height-relative:page;" coordorigin="4551,52615" coordsize="8546,1398203" o:allowoverlap="f">
            <o:lock v:ext="edit"/>
            <v:rect id="矩形 13" o:spid="_x0000_s1029" o:spt="1" style="position:absolute;left:4551;top:52615;height:1175;width:8546;v-text-anchor:middle;" fillcolor="#D9D9D9" filled="t" stroked="f" coordsize="21600,21600">
              <v:path/>
              <v:fill on="t" focussize="0,0"/>
              <v:stroke on="f" weight="2pt"/>
              <v:imagedata o:title=""/>
              <o:lock v:ext="edit"/>
            </v:rect>
            <v:rect id="矩形 14" o:spid="_x0000_s1030" o:spt="1" style="position:absolute;left:4577;top:52890;height:1123;width:8324;v-text-anchor:middle;" fillcolor="#AD002D" filled="t" stroked="t" coordsize="21600,21600">
              <v:path/>
              <v:fill on="t" focussize="0,0"/>
              <v:stroke weight="2pt" color="#B0761F" joinstyle="round"/>
              <v:imagedata o:title=""/>
              <o:lock v:ext="edit"/>
              <v:textbox>
                <w:txbxContent>
                  <w:p w14:paraId="5DE960CA">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决算报表</w:t>
                    </w:r>
                  </w:p>
                  <w:p w14:paraId="0237D5EF">
                    <w:pPr>
                      <w:widowControl/>
                      <w:jc w:val="left"/>
                      <w:rPr>
                        <w:rFonts w:ascii="楷体" w:hAnsi="楷体" w:eastAsia="楷体" w:cs="楷体"/>
                        <w:b/>
                        <w:bCs/>
                        <w:color w:val="FDEFBE"/>
                        <w:sz w:val="36"/>
                        <w:szCs w:val="36"/>
                      </w:rPr>
                    </w:pPr>
                    <w:r>
                      <w:rPr>
                        <w:rFonts w:ascii="楷体" w:hAnsi="楷体" w:eastAsia="楷体" w:cs="楷体"/>
                        <w:b/>
                        <w:bCs/>
                        <w:color w:val="FDEFBE"/>
                        <w:kern w:val="0"/>
                        <w:sz w:val="36"/>
                        <w:szCs w:val="36"/>
                      </w:rPr>
                      <w:t>2018</w:t>
                    </w:r>
                    <w:r>
                      <w:rPr>
                        <w:rFonts w:hint="eastAsia" w:ascii="楷体" w:hAnsi="楷体" w:eastAsia="楷体" w:cs="楷体"/>
                        <w:b/>
                        <w:bCs/>
                        <w:color w:val="FDEFBE"/>
                        <w:kern w:val="0"/>
                        <w:sz w:val="36"/>
                        <w:szCs w:val="36"/>
                      </w:rPr>
                      <w:t>年度部门决算</w:t>
                    </w:r>
                    <w:r>
                      <w:rPr>
                        <w:rFonts w:hint="eastAsia" w:ascii="MS Gothic" w:hAnsi="MS Gothic" w:eastAsia="MS Gothic" w:cs="MS Gothic"/>
                        <w:b/>
                        <w:bCs/>
                        <w:color w:val="FDEFBE"/>
                        <w:kern w:val="0"/>
                        <w:sz w:val="36"/>
                        <w:szCs w:val="36"/>
                      </w:rPr>
                      <w:t>☞</w:t>
                    </w:r>
                    <w:r>
                      <w:rPr>
                        <w:rFonts w:hint="eastAsia" w:ascii="楷体" w:hAnsi="楷体" w:eastAsia="楷体" w:cs="楷体"/>
                        <w:b/>
                        <w:bCs/>
                        <w:color w:val="FDEFBE"/>
                        <w:kern w:val="0"/>
                        <w:sz w:val="36"/>
                        <w:szCs w:val="36"/>
                      </w:rPr>
                      <w:t>目</w:t>
                    </w:r>
                    <w:r>
                      <w:rPr>
                        <w:rFonts w:ascii="楷体" w:hAnsi="楷体" w:eastAsia="楷体" w:cs="楷体"/>
                        <w:b/>
                        <w:bCs/>
                        <w:color w:val="FDEFBE"/>
                        <w:kern w:val="0"/>
                        <w:sz w:val="36"/>
                        <w:szCs w:val="36"/>
                      </w:rPr>
                      <w:t xml:space="preserve"> </w:t>
                    </w:r>
                    <w:r>
                      <w:rPr>
                        <w:rFonts w:hint="eastAsia" w:ascii="楷体" w:hAnsi="楷体" w:eastAsia="楷体" w:cs="楷体"/>
                        <w:b/>
                        <w:bCs/>
                        <w:color w:val="FDEFBE"/>
                        <w:kern w:val="0"/>
                        <w:sz w:val="36"/>
                        <w:szCs w:val="36"/>
                      </w:rPr>
                      <w:t>录</w:t>
                    </w:r>
                  </w:p>
                  <w:p w14:paraId="4B5863F8">
                    <w:pPr>
                      <w:jc w:val="center"/>
                    </w:pPr>
                  </w:p>
                </w:txbxContent>
              </v:textbox>
            </v:rect>
            <w10:anchorlock/>
          </v:group>
        </w:pict>
      </w:r>
      <w:r>
        <w:rPr>
          <w:rFonts w:hint="eastAsia" w:ascii="黑体" w:eastAsia="黑体"/>
          <w:sz w:val="48"/>
          <w:szCs w:val="48"/>
        </w:rPr>
        <w:t>目</w:t>
      </w:r>
      <w:r>
        <w:rPr>
          <w:rFonts w:ascii="黑体" w:eastAsia="黑体"/>
          <w:sz w:val="48"/>
          <w:szCs w:val="48"/>
        </w:rPr>
        <w:t xml:space="preserve">    </w:t>
      </w:r>
      <w:r>
        <w:rPr>
          <w:rFonts w:hint="eastAsia" w:ascii="黑体" w:eastAsia="黑体"/>
          <w:sz w:val="48"/>
          <w:szCs w:val="48"/>
        </w:rPr>
        <w:t>录</w:t>
      </w:r>
    </w:p>
    <w:p w14:paraId="45293886">
      <w:pPr>
        <w:widowControl/>
        <w:spacing w:line="580" w:lineRule="exact"/>
        <w:ind w:firstLine="640" w:firstLineChars="200"/>
        <w:rPr>
          <w:rFonts w:eastAsia="黑体"/>
          <w:sz w:val="32"/>
          <w:szCs w:val="32"/>
        </w:rPr>
      </w:pPr>
    </w:p>
    <w:p w14:paraId="46645F92">
      <w:pPr>
        <w:widowControl/>
        <w:spacing w:line="580" w:lineRule="exact"/>
        <w:ind w:firstLine="640" w:firstLineChars="200"/>
        <w:rPr>
          <w:rFonts w:eastAsia="仿宋_GB2312"/>
          <w:sz w:val="24"/>
          <w:szCs w:val="32"/>
        </w:rPr>
      </w:pPr>
      <w:r>
        <w:rPr>
          <w:rFonts w:hint="eastAsia" w:eastAsia="黑体"/>
          <w:sz w:val="32"/>
          <w:szCs w:val="32"/>
        </w:rPr>
        <w:t>第一部分</w:t>
      </w:r>
      <w:r>
        <w:rPr>
          <w:rFonts w:eastAsia="黑体"/>
          <w:sz w:val="32"/>
          <w:szCs w:val="32"/>
        </w:rPr>
        <w:t xml:space="preserve">   </w:t>
      </w:r>
      <w:r>
        <w:rPr>
          <w:rFonts w:hint="eastAsia" w:eastAsia="黑体"/>
          <w:sz w:val="32"/>
          <w:szCs w:val="32"/>
        </w:rPr>
        <w:t>部门概况</w:t>
      </w:r>
      <w:r>
        <w:rPr>
          <w:rFonts w:eastAsia="仿宋_GB2312"/>
          <w:sz w:val="28"/>
          <w:szCs w:val="36"/>
        </w:rPr>
        <w:t xml:space="preserve">  </w:t>
      </w:r>
      <w:r>
        <w:rPr>
          <w:rFonts w:eastAsia="仿宋_GB2312"/>
          <w:sz w:val="24"/>
          <w:szCs w:val="32"/>
        </w:rPr>
        <w:t xml:space="preserve"> </w:t>
      </w:r>
    </w:p>
    <w:p w14:paraId="14F05821">
      <w:pPr>
        <w:widowControl/>
        <w:spacing w:line="580" w:lineRule="exact"/>
        <w:ind w:firstLine="1273" w:firstLineChars="398"/>
        <w:rPr>
          <w:rFonts w:eastAsia="仿宋_GB2312"/>
          <w:sz w:val="32"/>
          <w:szCs w:val="32"/>
        </w:rPr>
      </w:pPr>
      <w:r>
        <w:rPr>
          <w:rFonts w:hint="eastAsia" w:eastAsia="仿宋_GB2312"/>
          <w:sz w:val="32"/>
          <w:szCs w:val="32"/>
        </w:rPr>
        <w:t>一、部门职责</w:t>
      </w:r>
    </w:p>
    <w:p w14:paraId="7A064F0D">
      <w:pPr>
        <w:widowControl/>
        <w:spacing w:line="580" w:lineRule="exact"/>
        <w:ind w:firstLine="1273" w:firstLineChars="398"/>
        <w:rPr>
          <w:rFonts w:eastAsia="仿宋_GB2312"/>
          <w:sz w:val="32"/>
          <w:szCs w:val="32"/>
        </w:rPr>
      </w:pPr>
      <w:r>
        <w:rPr>
          <w:rFonts w:hint="eastAsia" w:eastAsia="仿宋_GB2312"/>
          <w:sz w:val="32"/>
          <w:szCs w:val="32"/>
        </w:rPr>
        <w:t>二、机构设置</w:t>
      </w:r>
    </w:p>
    <w:p w14:paraId="3373FB45">
      <w:pPr>
        <w:widowControl/>
        <w:spacing w:line="580" w:lineRule="exact"/>
        <w:ind w:firstLine="640" w:firstLineChars="200"/>
        <w:rPr>
          <w:rFonts w:eastAsia="仿宋_GB2312"/>
          <w:sz w:val="20"/>
          <w:szCs w:val="32"/>
        </w:rPr>
      </w:pPr>
      <w:r>
        <w:rPr>
          <w:rFonts w:hint="eastAsia" w:eastAsia="黑体"/>
          <w:sz w:val="32"/>
          <w:szCs w:val="32"/>
        </w:rPr>
        <w:t>第二部分</w:t>
      </w:r>
      <w:r>
        <w:rPr>
          <w:rFonts w:eastAsia="黑体"/>
          <w:sz w:val="32"/>
          <w:szCs w:val="32"/>
        </w:rPr>
        <w:t xml:space="preserve">   2018</w:t>
      </w:r>
      <w:r>
        <w:rPr>
          <w:rFonts w:hint="eastAsia" w:eastAsia="黑体"/>
          <w:sz w:val="32"/>
          <w:szCs w:val="32"/>
        </w:rPr>
        <w:t>年度部门决算报表</w:t>
      </w:r>
    </w:p>
    <w:p w14:paraId="79529A21">
      <w:pPr>
        <w:widowControl/>
        <w:spacing w:line="580" w:lineRule="exact"/>
        <w:ind w:left="640" w:firstLine="640" w:firstLineChars="200"/>
        <w:rPr>
          <w:rFonts w:eastAsia="仿宋_GB2312"/>
          <w:sz w:val="32"/>
          <w:szCs w:val="32"/>
        </w:rPr>
      </w:pPr>
      <w:r>
        <w:rPr>
          <w:rFonts w:hint="eastAsia" w:eastAsia="仿宋_GB2312"/>
          <w:sz w:val="32"/>
          <w:szCs w:val="32"/>
        </w:rPr>
        <w:t>一、收入支出决算总表</w:t>
      </w:r>
    </w:p>
    <w:p w14:paraId="656A717A">
      <w:pPr>
        <w:widowControl/>
        <w:spacing w:line="580" w:lineRule="exact"/>
        <w:ind w:left="640" w:firstLine="640" w:firstLineChars="200"/>
        <w:rPr>
          <w:rFonts w:eastAsia="仿宋_GB2312"/>
          <w:sz w:val="32"/>
          <w:szCs w:val="32"/>
        </w:rPr>
      </w:pPr>
      <w:r>
        <w:rPr>
          <w:rFonts w:hint="eastAsia" w:eastAsia="仿宋_GB2312"/>
          <w:sz w:val="32"/>
          <w:szCs w:val="32"/>
        </w:rPr>
        <w:t>二、收入决算表</w:t>
      </w:r>
    </w:p>
    <w:p w14:paraId="255CF094">
      <w:pPr>
        <w:widowControl/>
        <w:spacing w:line="580" w:lineRule="exact"/>
        <w:ind w:left="640" w:firstLine="640" w:firstLineChars="200"/>
        <w:rPr>
          <w:rFonts w:eastAsia="仿宋_GB2312"/>
          <w:sz w:val="32"/>
          <w:szCs w:val="32"/>
        </w:rPr>
      </w:pPr>
      <w:r>
        <w:rPr>
          <w:rFonts w:hint="eastAsia" w:eastAsia="仿宋_GB2312"/>
          <w:sz w:val="32"/>
          <w:szCs w:val="32"/>
        </w:rPr>
        <w:t>三、支出决算表</w:t>
      </w:r>
    </w:p>
    <w:p w14:paraId="6E365281">
      <w:pPr>
        <w:widowControl/>
        <w:spacing w:line="580" w:lineRule="exact"/>
        <w:ind w:left="640" w:firstLine="640" w:firstLineChars="200"/>
        <w:rPr>
          <w:rFonts w:eastAsia="仿宋_GB2312"/>
          <w:sz w:val="32"/>
          <w:szCs w:val="32"/>
        </w:rPr>
      </w:pPr>
      <w:r>
        <w:rPr>
          <w:rFonts w:hint="eastAsia" w:eastAsia="仿宋_GB2312"/>
          <w:sz w:val="32"/>
          <w:szCs w:val="32"/>
        </w:rPr>
        <w:t>四、财政拨款收入支出决算总表</w:t>
      </w:r>
    </w:p>
    <w:p w14:paraId="5630DDCA">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五、一般公共预算财政拨款支出决算表</w:t>
      </w:r>
    </w:p>
    <w:p w14:paraId="66560C34">
      <w:pPr>
        <w:widowControl/>
        <w:spacing w:line="580" w:lineRule="exact"/>
        <w:ind w:left="640" w:firstLine="640" w:firstLineChars="200"/>
        <w:rPr>
          <w:rFonts w:eastAsia="仿宋_GB2312"/>
          <w:sz w:val="32"/>
          <w:szCs w:val="32"/>
        </w:rPr>
      </w:pPr>
      <w:r>
        <w:rPr>
          <w:rFonts w:hint="eastAsia" w:eastAsia="仿宋_GB2312"/>
          <w:sz w:val="32"/>
          <w:szCs w:val="32"/>
        </w:rPr>
        <w:t>六、一般公共预算财政拨款基本支出决算表</w:t>
      </w:r>
    </w:p>
    <w:p w14:paraId="74BFAF4C">
      <w:pPr>
        <w:widowControl/>
        <w:spacing w:line="580" w:lineRule="exact"/>
        <w:ind w:left="640" w:firstLine="640" w:firstLineChars="200"/>
        <w:rPr>
          <w:rFonts w:eastAsia="仿宋_GB2312"/>
          <w:sz w:val="32"/>
          <w:szCs w:val="32"/>
        </w:rPr>
      </w:pPr>
      <w:r>
        <w:rPr>
          <w:rFonts w:hint="eastAsia" w:eastAsia="仿宋_GB2312"/>
          <w:sz w:val="32"/>
          <w:szCs w:val="32"/>
        </w:rPr>
        <w:t>七、一般公共预算财政拨款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14:paraId="3BA19F2B">
      <w:pPr>
        <w:widowControl/>
        <w:spacing w:line="580" w:lineRule="exact"/>
        <w:ind w:left="640" w:firstLine="640" w:firstLineChars="200"/>
        <w:rPr>
          <w:rFonts w:eastAsia="仿宋_GB2312"/>
          <w:sz w:val="32"/>
          <w:szCs w:val="32"/>
        </w:rPr>
      </w:pPr>
      <w:r>
        <w:rPr>
          <w:rFonts w:hint="eastAsia" w:eastAsia="仿宋_GB2312"/>
          <w:sz w:val="32"/>
          <w:szCs w:val="32"/>
        </w:rPr>
        <w:t>八、政府性基金预算财政拨款收入支出决算表</w:t>
      </w:r>
    </w:p>
    <w:p w14:paraId="7854E95A">
      <w:pPr>
        <w:widowControl/>
        <w:spacing w:line="580" w:lineRule="exact"/>
        <w:ind w:left="640" w:firstLine="640" w:firstLineChars="200"/>
        <w:rPr>
          <w:rFonts w:eastAsia="仿宋_GB2312"/>
          <w:sz w:val="32"/>
          <w:szCs w:val="32"/>
        </w:rPr>
      </w:pPr>
      <w:r>
        <w:rPr>
          <w:rFonts w:hint="eastAsia" w:eastAsia="仿宋_GB2312"/>
          <w:sz w:val="32"/>
          <w:szCs w:val="32"/>
        </w:rPr>
        <w:t>九、国有资本经营预算财政拨款支出决算表</w:t>
      </w:r>
    </w:p>
    <w:p w14:paraId="05C4EAE2">
      <w:pPr>
        <w:widowControl/>
        <w:spacing w:line="580" w:lineRule="exact"/>
        <w:ind w:left="640" w:firstLine="640" w:firstLineChars="200"/>
        <w:rPr>
          <w:rFonts w:eastAsia="仿宋_GB2312"/>
          <w:sz w:val="32"/>
          <w:szCs w:val="32"/>
        </w:rPr>
      </w:pPr>
      <w:r>
        <w:rPr>
          <w:rFonts w:hint="eastAsia" w:eastAsia="仿宋_GB2312"/>
          <w:sz w:val="32"/>
          <w:szCs w:val="32"/>
        </w:rPr>
        <w:t>十、政府采购情况表</w:t>
      </w:r>
    </w:p>
    <w:p w14:paraId="3C323566">
      <w:pPr>
        <w:widowControl/>
        <w:spacing w:line="580" w:lineRule="exact"/>
        <w:ind w:firstLine="640" w:firstLineChars="200"/>
        <w:rPr>
          <w:rFonts w:eastAsia="黑体"/>
          <w:sz w:val="32"/>
          <w:szCs w:val="32"/>
        </w:rPr>
      </w:pPr>
    </w:p>
    <w:p w14:paraId="6191D9F5">
      <w:pPr>
        <w:widowControl/>
        <w:spacing w:line="580" w:lineRule="exact"/>
        <w:ind w:firstLine="640" w:firstLineChars="200"/>
        <w:rPr>
          <w:rFonts w:eastAsia="黑体"/>
          <w:sz w:val="32"/>
          <w:szCs w:val="32"/>
        </w:rPr>
      </w:pPr>
      <w:r>
        <w:rPr>
          <w:rFonts w:hint="eastAsia" w:eastAsia="黑体"/>
          <w:sz w:val="32"/>
          <w:szCs w:val="32"/>
        </w:rPr>
        <w:t>第三部分</w:t>
      </w:r>
      <w:r>
        <w:rPr>
          <w:rFonts w:eastAsia="黑体"/>
          <w:sz w:val="32"/>
          <w:szCs w:val="32"/>
        </w:rPr>
        <w:t xml:space="preserve">  </w:t>
      </w:r>
      <w:r>
        <w:rPr>
          <w:rFonts w:hint="eastAsia" w:eastAsia="黑体"/>
          <w:sz w:val="32"/>
          <w:szCs w:val="32"/>
        </w:rPr>
        <w:t>馆陶县人社局</w:t>
      </w:r>
      <w:r>
        <w:rPr>
          <w:rFonts w:eastAsia="黑体"/>
          <w:sz w:val="32"/>
          <w:szCs w:val="32"/>
        </w:rPr>
        <w:t>2018</w:t>
      </w:r>
      <w:r>
        <w:rPr>
          <w:rFonts w:hint="eastAsia" w:eastAsia="黑体"/>
          <w:sz w:val="32"/>
          <w:szCs w:val="32"/>
        </w:rPr>
        <w:t>年部门决算情况说明</w:t>
      </w:r>
      <w:r>
        <w:pict>
          <v:group id="_x0000_s1031" o:spid="_x0000_s1031" o:spt="203" style="position:absolute;left:0pt;margin-left:-80.8pt;margin-top:38.95pt;height:46.7pt;width:222.8pt;mso-position-vertical-relative:page;z-index:251670528;mso-width-relative:page;mso-height-relative:page;" coordorigin="4551,52615" coordsize="8546,1398203">
            <o:lock v:ext="edit"/>
            <v:rect id="矩形 13" o:spid="_x0000_s1032" o:spt="1" style="position:absolute;left:4551;top:52615;height:1175;width:8546;v-text-anchor:middle;" fillcolor="#D9D9D9" filled="t" stroked="f" coordsize="21600,21600">
              <v:path/>
              <v:fill on="t" focussize="0,0"/>
              <v:stroke on="f" weight="2pt"/>
              <v:imagedata o:title=""/>
              <o:lock v:ext="edit"/>
            </v:rect>
            <v:rect id="矩形 14" o:spid="_x0000_s1033" o:spt="1" style="position:absolute;left:4577;top:52890;height:1123;width:8324;v-text-anchor:middle;" fillcolor="#AD002D" filled="t" stroked="t" coordsize="21600,21600">
              <v:path/>
              <v:fill on="t" focussize="0,0"/>
              <v:stroke weight="2pt" color="#B0761F" joinstyle="round"/>
              <v:imagedata o:title=""/>
              <o:lock v:ext="edit"/>
              <v:textbox>
                <w:txbxContent>
                  <w:p w14:paraId="158DA48A">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目</w:t>
                    </w:r>
                    <w:r>
                      <w:rPr>
                        <w:rFonts w:ascii="楷体" w:hAnsi="楷体" w:eastAsia="楷体" w:cs="楷体"/>
                        <w:b/>
                        <w:bCs/>
                        <w:color w:val="FDEFBE"/>
                        <w:kern w:val="0"/>
                        <w:sz w:val="32"/>
                        <w:szCs w:val="32"/>
                      </w:rPr>
                      <w:t xml:space="preserve"> </w:t>
                    </w:r>
                    <w:r>
                      <w:rPr>
                        <w:rFonts w:hint="eastAsia" w:ascii="楷体" w:hAnsi="楷体" w:eastAsia="楷体" w:cs="楷体"/>
                        <w:b/>
                        <w:bCs/>
                        <w:color w:val="FDEFBE"/>
                        <w:kern w:val="0"/>
                        <w:sz w:val="32"/>
                        <w:szCs w:val="32"/>
                      </w:rPr>
                      <w:t>录</w:t>
                    </w:r>
                  </w:p>
                  <w:p w14:paraId="27811BAA">
                    <w:pPr>
                      <w:jc w:val="center"/>
                    </w:pPr>
                  </w:p>
                </w:txbxContent>
              </v:textbox>
            </v:rect>
            <w10:anchorlock/>
          </v:group>
        </w:pict>
      </w:r>
    </w:p>
    <w:p w14:paraId="50A9853F">
      <w:pPr>
        <w:widowControl/>
        <w:spacing w:line="580" w:lineRule="exact"/>
        <w:ind w:left="640" w:firstLine="640" w:firstLineChars="200"/>
        <w:rPr>
          <w:rFonts w:eastAsia="仿宋_GB2312"/>
          <w:sz w:val="32"/>
          <w:szCs w:val="32"/>
        </w:rPr>
      </w:pPr>
      <w:r>
        <w:rPr>
          <w:rFonts w:hint="eastAsia" w:eastAsia="仿宋_GB2312"/>
          <w:sz w:val="32"/>
          <w:szCs w:val="32"/>
        </w:rPr>
        <w:t>一、收入支出决算总体情况说明</w:t>
      </w:r>
    </w:p>
    <w:p w14:paraId="2FF75012">
      <w:pPr>
        <w:widowControl/>
        <w:spacing w:line="580" w:lineRule="exact"/>
        <w:ind w:left="640" w:firstLine="640" w:firstLineChars="200"/>
        <w:rPr>
          <w:rFonts w:eastAsia="仿宋_GB2312"/>
          <w:sz w:val="32"/>
          <w:szCs w:val="32"/>
        </w:rPr>
      </w:pPr>
      <w:r>
        <w:rPr>
          <w:rFonts w:hint="eastAsia" w:eastAsia="仿宋_GB2312"/>
          <w:sz w:val="32"/>
          <w:szCs w:val="32"/>
        </w:rPr>
        <w:t>二、收入决算情况说明</w:t>
      </w:r>
    </w:p>
    <w:p w14:paraId="1906A51A">
      <w:pPr>
        <w:widowControl/>
        <w:spacing w:line="580" w:lineRule="exact"/>
        <w:ind w:left="640" w:firstLine="640" w:firstLineChars="200"/>
        <w:rPr>
          <w:rFonts w:eastAsia="仿宋_GB2312"/>
          <w:sz w:val="32"/>
          <w:szCs w:val="32"/>
        </w:rPr>
      </w:pPr>
      <w:r>
        <w:rPr>
          <w:rFonts w:hint="eastAsia" w:eastAsia="仿宋_GB2312"/>
          <w:sz w:val="32"/>
          <w:szCs w:val="32"/>
        </w:rPr>
        <w:t>三、支出决算情况说明</w:t>
      </w:r>
    </w:p>
    <w:p w14:paraId="2D5672F5">
      <w:pPr>
        <w:widowControl/>
        <w:spacing w:line="580" w:lineRule="exact"/>
        <w:ind w:left="640" w:firstLine="640" w:firstLineChars="200"/>
        <w:rPr>
          <w:rFonts w:eastAsia="仿宋_GB2312"/>
          <w:sz w:val="32"/>
          <w:szCs w:val="32"/>
        </w:rPr>
      </w:pPr>
      <w:r>
        <w:rPr>
          <w:rFonts w:hint="eastAsia" w:eastAsia="仿宋_GB2312"/>
          <w:sz w:val="32"/>
          <w:szCs w:val="32"/>
        </w:rPr>
        <w:t>四、财政拨款收入支出决算情况说明</w:t>
      </w:r>
    </w:p>
    <w:p w14:paraId="082B6BEF">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经费支出决算情况说明</w:t>
      </w:r>
    </w:p>
    <w:p w14:paraId="6F3D9258">
      <w:pPr>
        <w:widowControl/>
        <w:spacing w:line="580" w:lineRule="exact"/>
        <w:ind w:left="640" w:firstLine="640" w:firstLineChars="200"/>
        <w:rPr>
          <w:rFonts w:eastAsia="仿宋_GB2312"/>
          <w:sz w:val="32"/>
          <w:szCs w:val="32"/>
        </w:rPr>
      </w:pPr>
      <w:r>
        <w:rPr>
          <w:rFonts w:hint="eastAsia" w:eastAsia="仿宋_GB2312"/>
          <w:sz w:val="32"/>
          <w:szCs w:val="32"/>
        </w:rPr>
        <w:t>六、预算绩效情况说明</w:t>
      </w:r>
    </w:p>
    <w:p w14:paraId="3F5CBF49">
      <w:pPr>
        <w:widowControl/>
        <w:spacing w:line="580" w:lineRule="exact"/>
        <w:ind w:left="640" w:firstLine="640" w:firstLineChars="200"/>
        <w:rPr>
          <w:rFonts w:eastAsia="仿宋_GB2312"/>
          <w:sz w:val="32"/>
          <w:szCs w:val="32"/>
        </w:rPr>
      </w:pPr>
      <w:r>
        <w:rPr>
          <w:rFonts w:hint="eastAsia" w:eastAsia="仿宋_GB2312"/>
          <w:sz w:val="32"/>
          <w:szCs w:val="32"/>
        </w:rPr>
        <w:t>七、其他重要事项的说明</w:t>
      </w:r>
    </w:p>
    <w:p w14:paraId="6FC420B3">
      <w:pPr>
        <w:widowControl/>
        <w:spacing w:line="580" w:lineRule="exact"/>
        <w:ind w:firstLine="640" w:firstLineChars="200"/>
        <w:rPr>
          <w:rFonts w:eastAsia="黑体"/>
          <w:sz w:val="32"/>
          <w:szCs w:val="32"/>
        </w:rPr>
      </w:pPr>
      <w:r>
        <w:rPr>
          <w:rFonts w:hint="eastAsia" w:eastAsia="黑体"/>
          <w:sz w:val="32"/>
          <w:szCs w:val="32"/>
        </w:rPr>
        <w:t>第四部分</w:t>
      </w:r>
      <w:r>
        <w:rPr>
          <w:rFonts w:eastAsia="黑体"/>
          <w:sz w:val="32"/>
          <w:szCs w:val="32"/>
        </w:rPr>
        <w:t xml:space="preserve">  </w:t>
      </w:r>
      <w:r>
        <w:rPr>
          <w:rFonts w:hint="eastAsia" w:eastAsia="黑体"/>
          <w:sz w:val="32"/>
          <w:szCs w:val="32"/>
        </w:rPr>
        <w:t>名词解释</w:t>
      </w:r>
    </w:p>
    <w:p w14:paraId="3993A4DB">
      <w:pPr>
        <w:widowControl/>
        <w:spacing w:line="580" w:lineRule="exact"/>
        <w:ind w:firstLine="640" w:firstLineChars="200"/>
        <w:rPr>
          <w:rFonts w:eastAsia="黑体"/>
          <w:sz w:val="32"/>
          <w:szCs w:val="32"/>
        </w:rPr>
      </w:pPr>
    </w:p>
    <w:p w14:paraId="68F6D254">
      <w:pPr>
        <w:widowControl/>
        <w:spacing w:line="580" w:lineRule="exact"/>
        <w:ind w:firstLine="640" w:firstLineChars="200"/>
        <w:rPr>
          <w:rFonts w:eastAsia="黑体"/>
          <w:sz w:val="32"/>
          <w:szCs w:val="32"/>
        </w:rPr>
      </w:pPr>
    </w:p>
    <w:p w14:paraId="0E178B8C">
      <w:pPr>
        <w:widowControl/>
        <w:spacing w:line="580" w:lineRule="exact"/>
        <w:ind w:firstLine="640" w:firstLineChars="200"/>
        <w:rPr>
          <w:rFonts w:eastAsia="黑体"/>
          <w:sz w:val="32"/>
          <w:szCs w:val="32"/>
        </w:rPr>
      </w:pPr>
    </w:p>
    <w:p w14:paraId="6AB6F680">
      <w:pPr>
        <w:widowControl/>
        <w:spacing w:line="580" w:lineRule="exact"/>
        <w:ind w:firstLine="640" w:firstLineChars="200"/>
        <w:rPr>
          <w:rFonts w:eastAsia="黑体"/>
          <w:sz w:val="32"/>
          <w:szCs w:val="32"/>
        </w:rPr>
      </w:pPr>
    </w:p>
    <w:p w14:paraId="356A98FA">
      <w:r>
        <w:br w:type="page"/>
      </w:r>
    </w:p>
    <w:p w14:paraId="582456A7">
      <w:r>
        <w:pict>
          <v:shape id="图片 12" o:spid="_x0000_s1034" o:spt="75" alt="2" type="#_x0000_t75" style="position:absolute;left:0pt;margin-left:-80.7pt;margin-top:-106.45pt;height:844.65pt;width:597.3pt;z-index:-251655168;mso-width-relative:page;mso-height-relative:page;" filled="f" o:preferrelative="t" stroked="f" coordsize="21600,21600">
            <v:path/>
            <v:fill on="f" focussize="0,0"/>
            <v:stroke on="f" joinstyle="miter"/>
            <v:imagedata r:id="rId13" o:title=""/>
            <o:lock v:ext="edit" aspectratio="t"/>
          </v:shape>
        </w:pict>
      </w:r>
      <w:r>
        <w:pict>
          <v:shape id="_x0000_s1035" o:spid="_x0000_s1035" o:spt="202" type="#_x0000_t202" style="position:absolute;left:0pt;margin-left:-97.3pt;margin-top:259.1pt;height:81.7pt;width:613.65pt;z-index:251668480;mso-width-relative:page;mso-height-relative:page;" filled="f" stroked="f" coordsize="21600,21600">
            <v:path/>
            <v:fill on="f" focussize="0,0"/>
            <v:stroke on="f" weight="0.5pt" joinstyle="miter"/>
            <v:imagedata o:title=""/>
            <o:lock v:ext="edit"/>
            <v:textbox>
              <w:txbxContent>
                <w:p w14:paraId="3AFCA202">
                  <w:pPr>
                    <w:widowControl/>
                    <w:jc w:val="center"/>
                    <w:rPr>
                      <w:color w:val="FDEFBE"/>
                      <w:sz w:val="96"/>
                      <w:szCs w:val="96"/>
                    </w:rPr>
                  </w:pPr>
                  <w:r>
                    <w:rPr>
                      <w:rFonts w:hint="eastAsia" w:ascii="黑体" w:hAnsi="宋体" w:eastAsia="黑体"/>
                      <w:color w:val="FDEFBE"/>
                      <w:sz w:val="96"/>
                      <w:szCs w:val="96"/>
                    </w:rPr>
                    <w:t>第一部分</w:t>
                  </w:r>
                  <w:r>
                    <w:rPr>
                      <w:rFonts w:ascii="黑体" w:hAnsi="宋体" w:eastAsia="黑体"/>
                      <w:color w:val="FDEFBE"/>
                      <w:sz w:val="96"/>
                      <w:szCs w:val="96"/>
                    </w:rPr>
                    <w:t xml:space="preserve">  </w:t>
                  </w:r>
                  <w:r>
                    <w:rPr>
                      <w:rFonts w:hint="eastAsia" w:ascii="黑体" w:hAnsi="宋体" w:eastAsia="黑体"/>
                      <w:color w:val="FDEFBE"/>
                      <w:sz w:val="96"/>
                      <w:szCs w:val="96"/>
                    </w:rPr>
                    <w:t>部门概况</w:t>
                  </w:r>
                </w:p>
              </w:txbxContent>
            </v:textbox>
          </v:shape>
        </w:pict>
      </w:r>
    </w:p>
    <w:p w14:paraId="1F6F4AAE"/>
    <w:p w14:paraId="2EB229BF"/>
    <w:p w14:paraId="10E77CEB"/>
    <w:p w14:paraId="7B0F8183"/>
    <w:p w14:paraId="4A48B9CB"/>
    <w:p w14:paraId="74FC1750"/>
    <w:p w14:paraId="34FFB6F4"/>
    <w:p w14:paraId="39A29522"/>
    <w:p w14:paraId="3BD52455"/>
    <w:p w14:paraId="759B264A"/>
    <w:p w14:paraId="35AD5C26"/>
    <w:p w14:paraId="31E4D7A1"/>
    <w:p w14:paraId="2FAFFB87"/>
    <w:p w14:paraId="181CF2B9"/>
    <w:p w14:paraId="7D8EEC19">
      <w:pPr>
        <w:widowControl/>
        <w:ind w:firstLine="506"/>
        <w:jc w:val="left"/>
        <w:rPr>
          <w:rFonts w:ascii="微软雅黑" w:hAnsi="宋体" w:eastAsia="微软雅黑" w:cs="宋体"/>
          <w:color w:val="000000"/>
          <w:kern w:val="0"/>
          <w:sz w:val="30"/>
          <w:szCs w:val="30"/>
        </w:rPr>
      </w:pPr>
      <w:r>
        <w:rPr>
          <w:rFonts w:hint="eastAsia" w:ascii="微软雅黑" w:hAnsi="宋体" w:eastAsia="微软雅黑" w:cs="宋体"/>
          <w:b/>
          <w:bCs/>
          <w:color w:val="000000"/>
          <w:kern w:val="0"/>
          <w:sz w:val="30"/>
          <w:szCs w:val="30"/>
        </w:rPr>
        <w:t>一、主要职责</w:t>
      </w:r>
    </w:p>
    <w:p w14:paraId="3CEB0406">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（一）拟订全县人力资源和社会保障事业发展规划，负责全县人力资源和社会保障的宣传和舆情研究。</w:t>
      </w:r>
    </w:p>
    <w:p w14:paraId="4F5EF889">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（二）拟订人力资源市场发展规划，落实人力资源服务业发展、</w:t>
      </w:r>
      <w:r>
        <w:rPr>
          <w:rFonts w:hint="eastAsia" w:ascii="仿宋_GB2312" w:hAnsi="仿宋_GB2312" w:eastAsia="仿宋_GB2312" w:cs="仿宋_GB2312"/>
          <w:color w:val="000000"/>
          <w:sz w:val="32"/>
          <w:szCs w:val="32"/>
        </w:rPr>
        <w:t>人力资源流动工作</w:t>
      </w:r>
      <w:r>
        <w:rPr>
          <w:rFonts w:hint="eastAsia" w:ascii="仿宋_GB2312" w:hAnsi="仿宋_GB2312" w:eastAsia="仿宋_GB2312" w:cs="仿宋_GB2312"/>
          <w:sz w:val="32"/>
          <w:szCs w:val="32"/>
        </w:rPr>
        <w:t>政策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建立统一规范的人力资源市场，促进人力资源合理流动、有效配置。按照管理权限落实人员（不含公务员）调配政策和特殊人员安置工作政策。</w:t>
      </w:r>
    </w:p>
    <w:p w14:paraId="6D9A919A">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促进就业创业工作，拟订统筹城乡的就业发展规划，落实促进就业创业扶持政策，完善公共就业服务体系，促进公平就业，统筹建立面向城乡劳动者的职业技能培训制度，拟订全县技工学校和职业培训机构发展规划和管理规则并组织实施。加强就业服务和就业培训，拟订就业援助制度，完善职业资格制度，牵头落实</w:t>
      </w:r>
      <w:r>
        <w:rPr>
          <w:rFonts w:hint="eastAsia" w:ascii="仿宋_GB2312" w:hAnsi="仿宋_GB2312" w:eastAsia="仿宋_GB2312" w:cs="仿宋_GB2312"/>
          <w:color w:val="000000"/>
          <w:sz w:val="32"/>
          <w:szCs w:val="32"/>
        </w:rPr>
        <w:t>高校毕业生就业政策，</w:t>
      </w:r>
      <w:r>
        <w:rPr>
          <w:rFonts w:hint="eastAsia" w:ascii="仿宋_GB2312" w:hAnsi="仿宋_GB2312" w:eastAsia="仿宋_GB2312" w:cs="仿宋_GB2312"/>
          <w:sz w:val="32"/>
          <w:szCs w:val="32"/>
        </w:rPr>
        <w:t>指导中专以上毕业生（非师范类）的就业工作。</w:t>
      </w:r>
    </w:p>
    <w:p w14:paraId="5E438DE7">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统筹推进建立覆盖城乡的多层次社会保障体系。贯彻落实养老、失业、工伤等社会保险及其补充保险政策和标准。组织实施全省统一的养老、失业、工伤保险关系转续办法和基金统筹办法，落实养老、失业、工伤等社会保险及其补充保险基金管理和监督制度并组织实施，审核汇总全县相关社会保险基金预决算草案，</w:t>
      </w:r>
      <w:r>
        <w:rPr>
          <w:rFonts w:hint="eastAsia" w:ascii="仿宋_GB2312" w:hAnsi="仿宋_GB2312" w:eastAsia="仿宋_GB2312" w:cs="仿宋_GB2312"/>
          <w:color w:val="000000"/>
          <w:sz w:val="32"/>
          <w:szCs w:val="32"/>
        </w:rPr>
        <w:t>落实企业年金和职业年金政策。</w:t>
      </w:r>
      <w:r>
        <w:rPr>
          <w:rFonts w:hint="eastAsia" w:ascii="仿宋_GB2312" w:hAnsi="仿宋_GB2312" w:eastAsia="仿宋_GB2312" w:cs="仿宋_GB2312"/>
          <w:sz w:val="32"/>
          <w:szCs w:val="32"/>
        </w:rPr>
        <w:t>会同有关部门实施全民参保计划并建立全县统一的社会保险公共服务平台。</w:t>
      </w:r>
    </w:p>
    <w:p w14:paraId="143589B4">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（五）负责就业、失业和相关社会保险基金预测预警和信息引导，拟订应对预案，实施预防、调节和控制，保持就业形势稳定和社会保险基金总体收支平衡。</w:t>
      </w:r>
    </w:p>
    <w:p w14:paraId="657ACAEB">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贯彻落实劳动、人事争议调解仲裁制度和劳动关系政策，完善劳动关系协商协调机制，落实职工工作时间、休息休假和假期制度，贯彻落实消除非法使用童工政策和女工、未成年工的特殊劳动保护政策，组织实施劳动保障监察，协调劳动者维权工作，依法查处违法案件。</w:t>
      </w:r>
    </w:p>
    <w:p w14:paraId="2212AA8A">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（七）拟订人才工作有关目标，参与全县人才工作的指导、组织、</w:t>
      </w:r>
      <w:r>
        <w:rPr>
          <w:rFonts w:hint="eastAsia" w:ascii="仿宋_GB2312" w:hAnsi="仿宋_GB2312" w:eastAsia="仿宋_GB2312" w:cs="仿宋_GB2312"/>
          <w:color w:val="000000"/>
          <w:sz w:val="32"/>
          <w:szCs w:val="32"/>
        </w:rPr>
        <w:t>协调和管理工作，</w:t>
      </w:r>
      <w:r>
        <w:rPr>
          <w:rFonts w:hint="eastAsia" w:ascii="仿宋_GB2312" w:hAnsi="仿宋_GB2312" w:eastAsia="仿宋_GB2312" w:cs="仿宋_GB2312"/>
          <w:sz w:val="32"/>
          <w:szCs w:val="32"/>
        </w:rPr>
        <w:t>承办有关人才工作。推动建立健全市场化、社会化的人才管理服务体系。负责组织人事考试工作。负责人才分类评价机制推进实施，牵头推进深化职称制度改革，拟订全县专业技术人员管理、继续教育和博士后管理等相关工作规划和年度计划，负责相关高层次专业技术人才选拔和培养，落实吸引留学人员来馆（回国）工作或定居工作政策。组织拟订技能人才培养、评价、使用和激励制度。健全职业技能多元化评价政策。</w:t>
      </w:r>
    </w:p>
    <w:p w14:paraId="539575AB">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（八）会同有关部门指导事业单位人事制度改革，按照管理权限负责规范事业单位岗位设置、公开招聘、聘用合同等人事综合管理工作，合理控制财政供养人员增长，</w:t>
      </w:r>
      <w:r>
        <w:rPr>
          <w:rFonts w:hint="eastAsia" w:ascii="仿宋_GB2312" w:hAnsi="仿宋_GB2312" w:eastAsia="仿宋_GB2312" w:cs="仿宋_GB2312"/>
          <w:color w:val="000000"/>
          <w:sz w:val="32"/>
          <w:szCs w:val="32"/>
        </w:rPr>
        <w:t>落实</w:t>
      </w:r>
      <w:r>
        <w:rPr>
          <w:rFonts w:hint="eastAsia" w:ascii="仿宋_GB2312" w:hAnsi="仿宋_GB2312" w:eastAsia="仿宋_GB2312" w:cs="仿宋_GB2312"/>
          <w:sz w:val="32"/>
          <w:szCs w:val="32"/>
        </w:rPr>
        <w:t>事业单位工作人员和机关工勤人员管理</w:t>
      </w:r>
      <w:r>
        <w:rPr>
          <w:rFonts w:hint="eastAsia" w:ascii="仿宋_GB2312" w:hAnsi="仿宋_GB2312" w:eastAsia="仿宋_GB2312" w:cs="仿宋_GB2312"/>
          <w:color w:val="000000"/>
          <w:sz w:val="32"/>
          <w:szCs w:val="32"/>
        </w:rPr>
        <w:t>政策</w:t>
      </w:r>
      <w:r>
        <w:rPr>
          <w:rFonts w:hint="eastAsia" w:ascii="仿宋_GB2312" w:hAnsi="仿宋_GB2312" w:eastAsia="仿宋_GB2312" w:cs="仿宋_GB2312"/>
          <w:sz w:val="32"/>
          <w:szCs w:val="32"/>
        </w:rPr>
        <w:t>。</w:t>
      </w:r>
    </w:p>
    <w:p w14:paraId="379D3C89">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全县评比达标表彰和创建示范工作的综合管理、审核备案、监督检查。会同有关部门拟订全县表彰奖励办法（不含中国共产党党内表彰、公务员奖励），组织指导县直各部门的评比达标表彰活动。负责全县功勋荣誉表彰奖励获得者管理，并组织落实相关待遇政策。承担县评比达标表彰工作协调小组办公室具体工作。</w:t>
      </w:r>
    </w:p>
    <w:p w14:paraId="79667714">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（十）会同有关部门</w:t>
      </w:r>
      <w:r>
        <w:rPr>
          <w:rFonts w:hint="eastAsia" w:ascii="仿宋_GB2312" w:hAnsi="仿宋_GB2312" w:eastAsia="仿宋_GB2312" w:cs="仿宋_GB2312"/>
          <w:color w:val="000000"/>
          <w:sz w:val="32"/>
          <w:szCs w:val="32"/>
        </w:rPr>
        <w:t>落实</w:t>
      </w:r>
      <w:r>
        <w:rPr>
          <w:rFonts w:hint="eastAsia" w:ascii="仿宋_GB2312" w:hAnsi="仿宋_GB2312" w:eastAsia="仿宋_GB2312" w:cs="仿宋_GB2312"/>
          <w:sz w:val="32"/>
          <w:szCs w:val="32"/>
        </w:rPr>
        <w:t>全县事业单位人员工资收入分配政策。建立</w:t>
      </w:r>
      <w:r>
        <w:rPr>
          <w:rFonts w:hint="eastAsia" w:ascii="仿宋_GB2312" w:hAnsi="仿宋_GB2312" w:eastAsia="仿宋_GB2312" w:cs="仿宋_GB2312"/>
          <w:color w:val="000000"/>
          <w:sz w:val="32"/>
          <w:szCs w:val="32"/>
        </w:rPr>
        <w:t>全县企事</w:t>
      </w:r>
      <w:r>
        <w:rPr>
          <w:rFonts w:hint="eastAsia" w:ascii="仿宋_GB2312" w:hAnsi="仿宋_GB2312" w:eastAsia="仿宋_GB2312" w:cs="仿宋_GB2312"/>
          <w:sz w:val="32"/>
          <w:szCs w:val="32"/>
        </w:rPr>
        <w:t>业单位人员工资正常增长和支付保障机制。</w:t>
      </w:r>
      <w:r>
        <w:rPr>
          <w:rFonts w:hint="eastAsia" w:ascii="仿宋_GB2312" w:hAnsi="仿宋_GB2312" w:eastAsia="仿宋_GB2312" w:cs="仿宋_GB2312"/>
          <w:color w:val="000000"/>
          <w:sz w:val="32"/>
          <w:szCs w:val="32"/>
        </w:rPr>
        <w:t>落实全县企</w:t>
      </w:r>
      <w:r>
        <w:rPr>
          <w:rFonts w:hint="eastAsia" w:ascii="仿宋_GB2312" w:hAnsi="仿宋_GB2312" w:eastAsia="仿宋_GB2312" w:cs="仿宋_GB2312"/>
          <w:sz w:val="32"/>
          <w:szCs w:val="32"/>
        </w:rPr>
        <w:t>事业单位人员福利和离退休</w:t>
      </w:r>
      <w:r>
        <w:rPr>
          <w:rFonts w:hint="eastAsia" w:ascii="仿宋_GB2312" w:hAnsi="仿宋_GB2312" w:eastAsia="仿宋_GB2312" w:cs="仿宋_GB2312"/>
          <w:color w:val="000000"/>
          <w:sz w:val="32"/>
          <w:szCs w:val="32"/>
        </w:rPr>
        <w:t>政策</w:t>
      </w:r>
      <w:r>
        <w:rPr>
          <w:rFonts w:hint="eastAsia" w:ascii="仿宋_GB2312" w:hAnsi="仿宋_GB2312" w:eastAsia="仿宋_GB2312" w:cs="仿宋_GB2312"/>
          <w:sz w:val="32"/>
          <w:szCs w:val="32"/>
        </w:rPr>
        <w:t>，并负责组织实施和监督检查。</w:t>
      </w:r>
    </w:p>
    <w:p w14:paraId="06589781">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color w:val="000000"/>
          <w:sz w:val="32"/>
          <w:szCs w:val="32"/>
        </w:rPr>
        <w:t>拟订</w:t>
      </w:r>
      <w:r>
        <w:rPr>
          <w:rFonts w:hint="eastAsia" w:ascii="仿宋_GB2312" w:hAnsi="仿宋_GB2312" w:eastAsia="仿宋_GB2312" w:cs="仿宋_GB2312"/>
          <w:sz w:val="32"/>
          <w:szCs w:val="32"/>
        </w:rPr>
        <w:t>农民工工作综合性规划，推动相关政策的落实，协调解决重点难点问题，维护农民工合法权益。</w:t>
      </w:r>
    </w:p>
    <w:p w14:paraId="20929827">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（十二）负责机关及所属单位国际交流与合作。</w:t>
      </w:r>
    </w:p>
    <w:p w14:paraId="1C53101F">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（十三）完成县委、县政府交办的其他事项。</w:t>
      </w:r>
    </w:p>
    <w:p w14:paraId="7D2616D0">
      <w:pPr>
        <w:spacing w:line="590" w:lineRule="exact"/>
        <w:ind w:firstLine="640" w:firstLineChars="200"/>
        <w:rPr>
          <w:rFonts w:ascii="仿宋_GB2312" w:hAnsi="仿宋_GB2312" w:eastAsia="仿宋_GB2312" w:cs="仿宋_GB2312"/>
          <w:sz w:val="32"/>
          <w:szCs w:val="32"/>
        </w:rPr>
      </w:pPr>
    </w:p>
    <w:p w14:paraId="0A3570CE">
      <w:pPr>
        <w:spacing w:line="590" w:lineRule="exact"/>
        <w:ind w:firstLine="640" w:firstLineChars="200"/>
        <w:rPr>
          <w:rFonts w:ascii="仿宋_GB2312" w:hAnsi="仿宋_GB2312" w:eastAsia="仿宋_GB2312" w:cs="仿宋_GB2312"/>
          <w:sz w:val="32"/>
          <w:szCs w:val="32"/>
        </w:rPr>
      </w:pPr>
    </w:p>
    <w:p w14:paraId="27DEF906">
      <w:pPr>
        <w:spacing w:line="590" w:lineRule="exact"/>
        <w:ind w:firstLine="640" w:firstLineChars="200"/>
        <w:rPr>
          <w:rFonts w:ascii="仿宋_GB2312" w:hAnsi="仿宋_GB2312" w:eastAsia="仿宋_GB2312" w:cs="仿宋_GB2312"/>
          <w:sz w:val="32"/>
          <w:szCs w:val="32"/>
        </w:rPr>
      </w:pPr>
    </w:p>
    <w:p w14:paraId="507EA90B">
      <w:pPr>
        <w:spacing w:line="590" w:lineRule="exact"/>
        <w:ind w:firstLine="640" w:firstLineChars="200"/>
        <w:rPr>
          <w:rFonts w:ascii="仿宋_GB2312" w:hAnsi="仿宋_GB2312" w:eastAsia="仿宋_GB2312" w:cs="仿宋_GB2312"/>
          <w:sz w:val="32"/>
          <w:szCs w:val="32"/>
        </w:rPr>
      </w:pPr>
    </w:p>
    <w:p w14:paraId="2BF06659">
      <w:pPr>
        <w:spacing w:line="590" w:lineRule="exact"/>
        <w:ind w:firstLine="640" w:firstLineChars="200"/>
        <w:rPr>
          <w:rFonts w:ascii="仿宋_GB2312" w:hAnsi="仿宋_GB2312" w:eastAsia="仿宋_GB2312" w:cs="仿宋_GB2312"/>
          <w:sz w:val="32"/>
          <w:szCs w:val="32"/>
        </w:rPr>
      </w:pPr>
    </w:p>
    <w:p w14:paraId="4C7CF942">
      <w:pPr>
        <w:widowControl/>
        <w:ind w:firstLine="596"/>
        <w:jc w:val="left"/>
        <w:rPr>
          <w:rFonts w:ascii="微软雅黑" w:hAnsi="宋体" w:eastAsia="微软雅黑" w:cs="宋体"/>
          <w:color w:val="000000"/>
          <w:kern w:val="0"/>
          <w:sz w:val="30"/>
          <w:szCs w:val="30"/>
        </w:rPr>
      </w:pPr>
      <w:r>
        <w:rPr>
          <w:rFonts w:hint="eastAsia" w:ascii="微软雅黑" w:hAnsi="宋体" w:eastAsia="微软雅黑" w:cs="宋体"/>
          <w:b/>
          <w:bCs/>
          <w:color w:val="000000"/>
          <w:kern w:val="0"/>
          <w:sz w:val="30"/>
          <w:szCs w:val="30"/>
        </w:rPr>
        <w:t>二、机构设置</w:t>
      </w:r>
    </w:p>
    <w:tbl>
      <w:tblPr>
        <w:tblStyle w:val="13"/>
        <w:tblW w:w="8884" w:type="dxa"/>
        <w:tblCellSpacing w:w="0" w:type="dxa"/>
        <w:tblInd w:w="0" w:type="dxa"/>
        <w:tblLayout w:type="fixed"/>
        <w:tblCellMar>
          <w:top w:w="0" w:type="dxa"/>
          <w:left w:w="0" w:type="dxa"/>
          <w:bottom w:w="0" w:type="dxa"/>
          <w:right w:w="0" w:type="dxa"/>
        </w:tblCellMar>
      </w:tblPr>
      <w:tblGrid>
        <w:gridCol w:w="388"/>
        <w:gridCol w:w="2796"/>
        <w:gridCol w:w="1758"/>
        <w:gridCol w:w="1489"/>
        <w:gridCol w:w="2453"/>
      </w:tblGrid>
      <w:tr w14:paraId="5FFCA42C">
        <w:tblPrEx>
          <w:tblCellMar>
            <w:top w:w="0" w:type="dxa"/>
            <w:left w:w="0" w:type="dxa"/>
            <w:bottom w:w="0" w:type="dxa"/>
            <w:right w:w="0" w:type="dxa"/>
          </w:tblCellMar>
        </w:tblPrEx>
        <w:trPr>
          <w:tblCellSpacing w:w="0" w:type="dxa"/>
        </w:trPr>
        <w:tc>
          <w:tcPr>
            <w:tcW w:w="388" w:type="dxa"/>
            <w:tcBorders>
              <w:top w:val="single" w:color="auto" w:sz="8" w:space="0"/>
              <w:left w:val="single" w:color="auto" w:sz="8" w:space="0"/>
              <w:bottom w:val="single" w:color="auto" w:sz="8" w:space="0"/>
              <w:right w:val="single" w:color="auto" w:sz="4" w:space="0"/>
            </w:tcBorders>
            <w:vAlign w:val="center"/>
          </w:tcPr>
          <w:p w14:paraId="1D7C74C9">
            <w:pPr>
              <w:widowControl/>
              <w:jc w:val="center"/>
              <w:rPr>
                <w:rFonts w:ascii="宋体" w:cs="宋体"/>
                <w:color w:val="000000"/>
                <w:kern w:val="0"/>
                <w:sz w:val="30"/>
                <w:szCs w:val="30"/>
              </w:rPr>
            </w:pPr>
            <w:r>
              <w:rPr>
                <w:rFonts w:hint="eastAsia" w:ascii="宋体" w:cs="宋体"/>
                <w:color w:val="000000"/>
                <w:kern w:val="0"/>
                <w:sz w:val="30"/>
                <w:szCs w:val="30"/>
              </w:rPr>
              <w:t>序号</w:t>
            </w:r>
          </w:p>
        </w:tc>
        <w:tc>
          <w:tcPr>
            <w:tcW w:w="2796" w:type="dxa"/>
            <w:tcBorders>
              <w:top w:val="single" w:color="auto" w:sz="8" w:space="0"/>
              <w:left w:val="single" w:color="auto" w:sz="4" w:space="0"/>
              <w:bottom w:val="single" w:color="auto" w:sz="8" w:space="0"/>
              <w:right w:val="single" w:color="auto" w:sz="8" w:space="0"/>
            </w:tcBorders>
            <w:vAlign w:val="center"/>
          </w:tcPr>
          <w:p w14:paraId="38E771B5">
            <w:pPr>
              <w:ind w:left="45"/>
              <w:jc w:val="center"/>
              <w:rPr>
                <w:rFonts w:ascii="宋体" w:cs="宋体"/>
                <w:color w:val="000000"/>
                <w:kern w:val="0"/>
                <w:sz w:val="30"/>
                <w:szCs w:val="30"/>
              </w:rPr>
            </w:pPr>
            <w:r>
              <w:rPr>
                <w:rFonts w:hint="eastAsia" w:ascii="宋体" w:hAnsi="宋体" w:cs="宋体"/>
                <w:color w:val="000000"/>
                <w:kern w:val="0"/>
                <w:sz w:val="30"/>
                <w:szCs w:val="30"/>
              </w:rPr>
              <w:t>单位名称</w:t>
            </w:r>
          </w:p>
        </w:tc>
        <w:tc>
          <w:tcPr>
            <w:tcW w:w="1758" w:type="dxa"/>
            <w:tcBorders>
              <w:top w:val="single" w:color="auto" w:sz="8" w:space="0"/>
              <w:left w:val="single" w:color="auto" w:sz="8" w:space="0"/>
              <w:bottom w:val="single" w:color="auto" w:sz="8" w:space="0"/>
              <w:right w:val="single" w:color="auto" w:sz="8" w:space="0"/>
            </w:tcBorders>
            <w:vAlign w:val="center"/>
          </w:tcPr>
          <w:p w14:paraId="6B985DF3">
            <w:pPr>
              <w:widowControl/>
              <w:ind w:firstLine="480"/>
              <w:jc w:val="center"/>
              <w:rPr>
                <w:rFonts w:ascii="宋体" w:cs="宋体"/>
                <w:color w:val="000000"/>
                <w:kern w:val="0"/>
                <w:sz w:val="30"/>
                <w:szCs w:val="30"/>
              </w:rPr>
            </w:pPr>
            <w:r>
              <w:rPr>
                <w:rFonts w:hint="eastAsia" w:ascii="宋体" w:hAnsi="宋体" w:cs="宋体"/>
                <w:color w:val="000000"/>
                <w:kern w:val="0"/>
                <w:sz w:val="30"/>
                <w:szCs w:val="30"/>
              </w:rPr>
              <w:t>单位性质</w:t>
            </w:r>
          </w:p>
        </w:tc>
        <w:tc>
          <w:tcPr>
            <w:tcW w:w="1489" w:type="dxa"/>
            <w:tcBorders>
              <w:top w:val="single" w:color="auto" w:sz="8" w:space="0"/>
              <w:left w:val="single" w:color="auto" w:sz="8" w:space="0"/>
              <w:bottom w:val="single" w:color="auto" w:sz="8" w:space="0"/>
              <w:right w:val="single" w:color="auto" w:sz="8" w:space="0"/>
            </w:tcBorders>
            <w:vAlign w:val="center"/>
          </w:tcPr>
          <w:p w14:paraId="5B05976D">
            <w:pPr>
              <w:widowControl/>
              <w:ind w:firstLine="480"/>
              <w:jc w:val="center"/>
              <w:rPr>
                <w:rFonts w:ascii="宋体" w:cs="宋体"/>
                <w:color w:val="000000"/>
                <w:kern w:val="0"/>
                <w:sz w:val="30"/>
                <w:szCs w:val="30"/>
              </w:rPr>
            </w:pPr>
            <w:r>
              <w:rPr>
                <w:rFonts w:hint="eastAsia" w:ascii="宋体" w:hAnsi="宋体" w:cs="宋体"/>
                <w:color w:val="000000"/>
                <w:kern w:val="0"/>
                <w:sz w:val="30"/>
                <w:szCs w:val="30"/>
              </w:rPr>
              <w:t>单位规格</w:t>
            </w:r>
          </w:p>
        </w:tc>
        <w:tc>
          <w:tcPr>
            <w:tcW w:w="2453" w:type="dxa"/>
            <w:tcBorders>
              <w:top w:val="single" w:color="auto" w:sz="8" w:space="0"/>
              <w:left w:val="single" w:color="auto" w:sz="8" w:space="0"/>
              <w:bottom w:val="single" w:color="auto" w:sz="8" w:space="0"/>
              <w:right w:val="single" w:color="auto" w:sz="8" w:space="0"/>
            </w:tcBorders>
            <w:vAlign w:val="center"/>
          </w:tcPr>
          <w:p w14:paraId="4D005208">
            <w:pPr>
              <w:widowControl/>
              <w:ind w:firstLine="480"/>
              <w:jc w:val="center"/>
              <w:rPr>
                <w:rFonts w:ascii="宋体" w:cs="宋体"/>
                <w:color w:val="000000"/>
                <w:kern w:val="0"/>
                <w:sz w:val="30"/>
                <w:szCs w:val="30"/>
              </w:rPr>
            </w:pPr>
            <w:r>
              <w:rPr>
                <w:rFonts w:hint="eastAsia" w:ascii="宋体" w:hAnsi="宋体" w:cs="宋体"/>
                <w:color w:val="000000"/>
                <w:kern w:val="0"/>
                <w:sz w:val="30"/>
                <w:szCs w:val="30"/>
              </w:rPr>
              <w:t>经费保障形式</w:t>
            </w:r>
          </w:p>
        </w:tc>
      </w:tr>
      <w:tr w14:paraId="798BFFBF">
        <w:tblPrEx>
          <w:tblCellMar>
            <w:top w:w="0" w:type="dxa"/>
            <w:left w:w="0" w:type="dxa"/>
            <w:bottom w:w="0" w:type="dxa"/>
            <w:right w:w="0" w:type="dxa"/>
          </w:tblCellMar>
        </w:tblPrEx>
        <w:trPr>
          <w:tblCellSpacing w:w="0" w:type="dxa"/>
        </w:trPr>
        <w:tc>
          <w:tcPr>
            <w:tcW w:w="388" w:type="dxa"/>
            <w:tcBorders>
              <w:top w:val="single" w:color="auto" w:sz="8" w:space="0"/>
              <w:left w:val="single" w:color="auto" w:sz="8" w:space="0"/>
              <w:bottom w:val="single" w:color="auto" w:sz="8" w:space="0"/>
              <w:right w:val="single" w:color="auto" w:sz="4" w:space="0"/>
            </w:tcBorders>
            <w:vAlign w:val="center"/>
          </w:tcPr>
          <w:p w14:paraId="4CE1A819">
            <w:pPr>
              <w:widowControl/>
              <w:jc w:val="left"/>
              <w:rPr>
                <w:rFonts w:ascii="宋体" w:cs="宋体"/>
                <w:color w:val="000000"/>
                <w:kern w:val="0"/>
                <w:sz w:val="20"/>
                <w:szCs w:val="20"/>
              </w:rPr>
            </w:pPr>
            <w:r>
              <w:rPr>
                <w:rFonts w:ascii="宋体" w:cs="宋体"/>
                <w:color w:val="000000"/>
                <w:kern w:val="0"/>
                <w:sz w:val="20"/>
                <w:szCs w:val="20"/>
              </w:rPr>
              <w:t>1</w:t>
            </w:r>
          </w:p>
        </w:tc>
        <w:tc>
          <w:tcPr>
            <w:tcW w:w="2796" w:type="dxa"/>
            <w:tcBorders>
              <w:top w:val="single" w:color="auto" w:sz="8" w:space="0"/>
              <w:left w:val="single" w:color="auto" w:sz="4" w:space="0"/>
              <w:bottom w:val="single" w:color="auto" w:sz="8" w:space="0"/>
              <w:right w:val="single" w:color="auto" w:sz="8" w:space="0"/>
            </w:tcBorders>
            <w:vAlign w:val="center"/>
          </w:tcPr>
          <w:p w14:paraId="0CD2AC74">
            <w:pPr>
              <w:ind w:left="45"/>
              <w:jc w:val="left"/>
              <w:rPr>
                <w:rFonts w:ascii="宋体" w:cs="宋体"/>
                <w:color w:val="000000"/>
                <w:kern w:val="0"/>
                <w:sz w:val="20"/>
                <w:szCs w:val="20"/>
              </w:rPr>
            </w:pPr>
            <w:r>
              <w:rPr>
                <w:rFonts w:hint="eastAsia" w:ascii="仿宋_GB2312" w:hAnsi="宋体" w:eastAsia="仿宋_GB2312" w:cs="宋体"/>
                <w:color w:val="000000"/>
                <w:kern w:val="0"/>
                <w:sz w:val="20"/>
                <w:szCs w:val="20"/>
              </w:rPr>
              <w:t>馆陶县人力资源和社会保障局</w:t>
            </w:r>
          </w:p>
        </w:tc>
        <w:tc>
          <w:tcPr>
            <w:tcW w:w="1758" w:type="dxa"/>
            <w:tcBorders>
              <w:top w:val="single" w:color="auto" w:sz="8" w:space="0"/>
              <w:left w:val="single" w:color="auto" w:sz="8" w:space="0"/>
              <w:bottom w:val="single" w:color="auto" w:sz="8" w:space="0"/>
              <w:right w:val="single" w:color="auto" w:sz="8" w:space="0"/>
            </w:tcBorders>
            <w:vAlign w:val="center"/>
          </w:tcPr>
          <w:p w14:paraId="759234C5">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行政单位</w:t>
            </w:r>
          </w:p>
        </w:tc>
        <w:tc>
          <w:tcPr>
            <w:tcW w:w="1489" w:type="dxa"/>
            <w:tcBorders>
              <w:top w:val="single" w:color="auto" w:sz="8" w:space="0"/>
              <w:left w:val="single" w:color="auto" w:sz="8" w:space="0"/>
              <w:bottom w:val="single" w:color="auto" w:sz="8" w:space="0"/>
              <w:right w:val="single" w:color="auto" w:sz="8" w:space="0"/>
            </w:tcBorders>
            <w:vAlign w:val="center"/>
          </w:tcPr>
          <w:p w14:paraId="3B2276A0">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正科级</w:t>
            </w:r>
          </w:p>
        </w:tc>
        <w:tc>
          <w:tcPr>
            <w:tcW w:w="2453" w:type="dxa"/>
            <w:tcBorders>
              <w:top w:val="single" w:color="auto" w:sz="8" w:space="0"/>
              <w:left w:val="single" w:color="auto" w:sz="8" w:space="0"/>
              <w:bottom w:val="single" w:color="auto" w:sz="8" w:space="0"/>
              <w:right w:val="single" w:color="auto" w:sz="8" w:space="0"/>
            </w:tcBorders>
            <w:vAlign w:val="center"/>
          </w:tcPr>
          <w:p w14:paraId="6F68898B">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财政拨款</w:t>
            </w:r>
          </w:p>
        </w:tc>
      </w:tr>
      <w:tr w14:paraId="08AE880C">
        <w:tblPrEx>
          <w:tblCellMar>
            <w:top w:w="0" w:type="dxa"/>
            <w:left w:w="0" w:type="dxa"/>
            <w:bottom w:w="0" w:type="dxa"/>
            <w:right w:w="0" w:type="dxa"/>
          </w:tblCellMar>
        </w:tblPrEx>
        <w:trPr>
          <w:tblCellSpacing w:w="0" w:type="dxa"/>
        </w:trPr>
        <w:tc>
          <w:tcPr>
            <w:tcW w:w="388" w:type="dxa"/>
            <w:tcBorders>
              <w:top w:val="single" w:color="auto" w:sz="8" w:space="0"/>
              <w:left w:val="single" w:color="auto" w:sz="8" w:space="0"/>
              <w:bottom w:val="single" w:color="auto" w:sz="8" w:space="0"/>
              <w:right w:val="single" w:color="auto" w:sz="4" w:space="0"/>
            </w:tcBorders>
            <w:vAlign w:val="center"/>
          </w:tcPr>
          <w:p w14:paraId="728EB76A">
            <w:pPr>
              <w:widowControl/>
              <w:jc w:val="left"/>
              <w:rPr>
                <w:rFonts w:ascii="宋体" w:cs="宋体"/>
                <w:color w:val="000000"/>
                <w:kern w:val="0"/>
                <w:sz w:val="20"/>
                <w:szCs w:val="20"/>
              </w:rPr>
            </w:pPr>
            <w:r>
              <w:rPr>
                <w:rFonts w:ascii="宋体" w:cs="宋体"/>
                <w:color w:val="000000"/>
                <w:kern w:val="0"/>
                <w:sz w:val="20"/>
                <w:szCs w:val="20"/>
              </w:rPr>
              <w:t>2</w:t>
            </w:r>
          </w:p>
        </w:tc>
        <w:tc>
          <w:tcPr>
            <w:tcW w:w="2796" w:type="dxa"/>
            <w:tcBorders>
              <w:top w:val="single" w:color="auto" w:sz="8" w:space="0"/>
              <w:left w:val="single" w:color="auto" w:sz="4" w:space="0"/>
              <w:bottom w:val="single" w:color="auto" w:sz="8" w:space="0"/>
              <w:right w:val="single" w:color="auto" w:sz="8" w:space="0"/>
            </w:tcBorders>
            <w:vAlign w:val="center"/>
          </w:tcPr>
          <w:p w14:paraId="660BF7FA">
            <w:pPr>
              <w:ind w:left="45"/>
              <w:jc w:val="left"/>
              <w:rPr>
                <w:rFonts w:ascii="宋体" w:cs="宋体"/>
                <w:color w:val="000000"/>
                <w:kern w:val="0"/>
                <w:sz w:val="20"/>
                <w:szCs w:val="20"/>
              </w:rPr>
            </w:pPr>
            <w:r>
              <w:rPr>
                <w:rFonts w:hint="eastAsia" w:ascii="仿宋_GB2312" w:hAnsi="宋体" w:eastAsia="仿宋_GB2312" w:cs="宋体"/>
                <w:color w:val="000000"/>
                <w:kern w:val="0"/>
                <w:sz w:val="20"/>
                <w:szCs w:val="20"/>
              </w:rPr>
              <w:t>馆陶县劳动就业服务局</w:t>
            </w:r>
          </w:p>
        </w:tc>
        <w:tc>
          <w:tcPr>
            <w:tcW w:w="1758" w:type="dxa"/>
            <w:tcBorders>
              <w:top w:val="single" w:color="auto" w:sz="8" w:space="0"/>
              <w:left w:val="single" w:color="auto" w:sz="8" w:space="0"/>
              <w:bottom w:val="single" w:color="auto" w:sz="8" w:space="0"/>
              <w:right w:val="single" w:color="auto" w:sz="8" w:space="0"/>
            </w:tcBorders>
            <w:vAlign w:val="center"/>
          </w:tcPr>
          <w:p w14:paraId="35E40545">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财政补助事业单位</w:t>
            </w:r>
          </w:p>
        </w:tc>
        <w:tc>
          <w:tcPr>
            <w:tcW w:w="1489" w:type="dxa"/>
            <w:tcBorders>
              <w:top w:val="single" w:color="auto" w:sz="8" w:space="0"/>
              <w:left w:val="single" w:color="auto" w:sz="8" w:space="0"/>
              <w:bottom w:val="single" w:color="auto" w:sz="8" w:space="0"/>
              <w:right w:val="single" w:color="auto" w:sz="8" w:space="0"/>
            </w:tcBorders>
            <w:vAlign w:val="center"/>
          </w:tcPr>
          <w:p w14:paraId="6639F315">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正科级</w:t>
            </w:r>
          </w:p>
        </w:tc>
        <w:tc>
          <w:tcPr>
            <w:tcW w:w="2453" w:type="dxa"/>
            <w:tcBorders>
              <w:top w:val="single" w:color="auto" w:sz="8" w:space="0"/>
              <w:left w:val="single" w:color="auto" w:sz="8" w:space="0"/>
              <w:bottom w:val="single" w:color="auto" w:sz="8" w:space="0"/>
              <w:right w:val="single" w:color="auto" w:sz="8" w:space="0"/>
            </w:tcBorders>
            <w:vAlign w:val="center"/>
          </w:tcPr>
          <w:p w14:paraId="1CF909FB">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财政性资金基本保证</w:t>
            </w:r>
          </w:p>
        </w:tc>
      </w:tr>
      <w:tr w14:paraId="0F7904FC">
        <w:tblPrEx>
          <w:tblCellMar>
            <w:top w:w="0" w:type="dxa"/>
            <w:left w:w="0" w:type="dxa"/>
            <w:bottom w:w="0" w:type="dxa"/>
            <w:right w:w="0" w:type="dxa"/>
          </w:tblCellMar>
        </w:tblPrEx>
        <w:trPr>
          <w:tblCellSpacing w:w="0" w:type="dxa"/>
        </w:trPr>
        <w:tc>
          <w:tcPr>
            <w:tcW w:w="388" w:type="dxa"/>
            <w:tcBorders>
              <w:top w:val="single" w:color="auto" w:sz="8" w:space="0"/>
              <w:left w:val="single" w:color="auto" w:sz="8" w:space="0"/>
              <w:bottom w:val="single" w:color="auto" w:sz="8" w:space="0"/>
              <w:right w:val="single" w:color="auto" w:sz="4" w:space="0"/>
            </w:tcBorders>
            <w:vAlign w:val="center"/>
          </w:tcPr>
          <w:p w14:paraId="491F7BED">
            <w:pPr>
              <w:widowControl/>
              <w:jc w:val="left"/>
              <w:rPr>
                <w:rFonts w:ascii="宋体" w:cs="宋体"/>
                <w:color w:val="000000"/>
                <w:kern w:val="0"/>
                <w:sz w:val="20"/>
                <w:szCs w:val="20"/>
              </w:rPr>
            </w:pPr>
            <w:r>
              <w:rPr>
                <w:rFonts w:ascii="宋体" w:cs="宋体"/>
                <w:color w:val="000000"/>
                <w:kern w:val="0"/>
                <w:sz w:val="20"/>
                <w:szCs w:val="20"/>
              </w:rPr>
              <w:t>3</w:t>
            </w:r>
          </w:p>
        </w:tc>
        <w:tc>
          <w:tcPr>
            <w:tcW w:w="2796" w:type="dxa"/>
            <w:tcBorders>
              <w:top w:val="single" w:color="auto" w:sz="8" w:space="0"/>
              <w:left w:val="single" w:color="auto" w:sz="4" w:space="0"/>
              <w:bottom w:val="single" w:color="auto" w:sz="8" w:space="0"/>
              <w:right w:val="single" w:color="auto" w:sz="8" w:space="0"/>
            </w:tcBorders>
            <w:vAlign w:val="center"/>
          </w:tcPr>
          <w:p w14:paraId="2B179D25">
            <w:pPr>
              <w:ind w:left="45"/>
              <w:jc w:val="left"/>
              <w:rPr>
                <w:rFonts w:ascii="宋体" w:cs="宋体"/>
                <w:color w:val="000000"/>
                <w:kern w:val="0"/>
                <w:sz w:val="20"/>
                <w:szCs w:val="20"/>
              </w:rPr>
            </w:pPr>
            <w:r>
              <w:rPr>
                <w:rFonts w:hint="eastAsia" w:ascii="仿宋_GB2312" w:hAnsi="宋体" w:eastAsia="仿宋_GB2312" w:cs="宋体"/>
                <w:color w:val="000000"/>
                <w:kern w:val="0"/>
                <w:sz w:val="20"/>
                <w:szCs w:val="20"/>
              </w:rPr>
              <w:t>馆陶县人才交流开发中心</w:t>
            </w:r>
          </w:p>
        </w:tc>
        <w:tc>
          <w:tcPr>
            <w:tcW w:w="1758" w:type="dxa"/>
            <w:tcBorders>
              <w:top w:val="single" w:color="auto" w:sz="8" w:space="0"/>
              <w:left w:val="single" w:color="auto" w:sz="8" w:space="0"/>
              <w:bottom w:val="single" w:color="auto" w:sz="8" w:space="0"/>
              <w:right w:val="single" w:color="auto" w:sz="8" w:space="0"/>
            </w:tcBorders>
            <w:vAlign w:val="center"/>
          </w:tcPr>
          <w:p w14:paraId="44324536">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财政补助事业单位</w:t>
            </w:r>
          </w:p>
        </w:tc>
        <w:tc>
          <w:tcPr>
            <w:tcW w:w="1489" w:type="dxa"/>
            <w:tcBorders>
              <w:top w:val="single" w:color="auto" w:sz="8" w:space="0"/>
              <w:left w:val="single" w:color="auto" w:sz="8" w:space="0"/>
              <w:bottom w:val="single" w:color="auto" w:sz="8" w:space="0"/>
              <w:right w:val="single" w:color="auto" w:sz="8" w:space="0"/>
            </w:tcBorders>
            <w:vAlign w:val="center"/>
          </w:tcPr>
          <w:p w14:paraId="3BD2F393">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副科级</w:t>
            </w:r>
          </w:p>
        </w:tc>
        <w:tc>
          <w:tcPr>
            <w:tcW w:w="2453" w:type="dxa"/>
            <w:tcBorders>
              <w:top w:val="single" w:color="auto" w:sz="8" w:space="0"/>
              <w:left w:val="single" w:color="auto" w:sz="8" w:space="0"/>
              <w:bottom w:val="single" w:color="auto" w:sz="8" w:space="0"/>
              <w:right w:val="single" w:color="auto" w:sz="8" w:space="0"/>
            </w:tcBorders>
            <w:vAlign w:val="center"/>
          </w:tcPr>
          <w:p w14:paraId="6BE2F8C5">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财政性资金基本保证</w:t>
            </w:r>
          </w:p>
        </w:tc>
      </w:tr>
      <w:tr w14:paraId="528C2B22">
        <w:tblPrEx>
          <w:tblCellMar>
            <w:top w:w="0" w:type="dxa"/>
            <w:left w:w="0" w:type="dxa"/>
            <w:bottom w:w="0" w:type="dxa"/>
            <w:right w:w="0" w:type="dxa"/>
          </w:tblCellMar>
        </w:tblPrEx>
        <w:trPr>
          <w:tblCellSpacing w:w="0" w:type="dxa"/>
        </w:trPr>
        <w:tc>
          <w:tcPr>
            <w:tcW w:w="388" w:type="dxa"/>
            <w:tcBorders>
              <w:top w:val="single" w:color="auto" w:sz="8" w:space="0"/>
              <w:left w:val="single" w:color="auto" w:sz="8" w:space="0"/>
              <w:bottom w:val="single" w:color="auto" w:sz="8" w:space="0"/>
              <w:right w:val="single" w:color="auto" w:sz="4" w:space="0"/>
            </w:tcBorders>
            <w:vAlign w:val="center"/>
          </w:tcPr>
          <w:p w14:paraId="3DF6DB97">
            <w:pPr>
              <w:widowControl/>
              <w:jc w:val="left"/>
              <w:rPr>
                <w:rFonts w:ascii="宋体" w:cs="宋体"/>
                <w:color w:val="000000"/>
                <w:kern w:val="0"/>
                <w:sz w:val="20"/>
                <w:szCs w:val="20"/>
              </w:rPr>
            </w:pPr>
            <w:r>
              <w:rPr>
                <w:rFonts w:ascii="宋体" w:cs="宋体"/>
                <w:color w:val="000000"/>
                <w:kern w:val="0"/>
                <w:sz w:val="20"/>
                <w:szCs w:val="20"/>
              </w:rPr>
              <w:t>4</w:t>
            </w:r>
          </w:p>
        </w:tc>
        <w:tc>
          <w:tcPr>
            <w:tcW w:w="2796" w:type="dxa"/>
            <w:tcBorders>
              <w:top w:val="single" w:color="auto" w:sz="8" w:space="0"/>
              <w:left w:val="single" w:color="auto" w:sz="4" w:space="0"/>
              <w:bottom w:val="single" w:color="auto" w:sz="8" w:space="0"/>
              <w:right w:val="single" w:color="auto" w:sz="8" w:space="0"/>
            </w:tcBorders>
            <w:vAlign w:val="center"/>
          </w:tcPr>
          <w:p w14:paraId="0DD2B15F">
            <w:pPr>
              <w:ind w:left="45"/>
              <w:jc w:val="left"/>
              <w:rPr>
                <w:rFonts w:ascii="宋体" w:cs="宋体"/>
                <w:color w:val="000000"/>
                <w:kern w:val="0"/>
                <w:sz w:val="20"/>
                <w:szCs w:val="20"/>
              </w:rPr>
            </w:pPr>
            <w:r>
              <w:rPr>
                <w:rFonts w:hint="eastAsia" w:ascii="仿宋_GB2312" w:hAnsi="宋体" w:eastAsia="仿宋_GB2312" w:cs="宋体"/>
                <w:color w:val="000000"/>
                <w:kern w:val="0"/>
                <w:sz w:val="20"/>
                <w:szCs w:val="20"/>
              </w:rPr>
              <w:t>馆陶县劳动监察大队</w:t>
            </w:r>
          </w:p>
        </w:tc>
        <w:tc>
          <w:tcPr>
            <w:tcW w:w="1758" w:type="dxa"/>
            <w:tcBorders>
              <w:top w:val="single" w:color="auto" w:sz="8" w:space="0"/>
              <w:left w:val="single" w:color="auto" w:sz="8" w:space="0"/>
              <w:bottom w:val="single" w:color="auto" w:sz="8" w:space="0"/>
              <w:right w:val="single" w:color="auto" w:sz="8" w:space="0"/>
            </w:tcBorders>
            <w:vAlign w:val="center"/>
          </w:tcPr>
          <w:p w14:paraId="7E778B79">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参公事业单位</w:t>
            </w:r>
          </w:p>
        </w:tc>
        <w:tc>
          <w:tcPr>
            <w:tcW w:w="1489" w:type="dxa"/>
            <w:tcBorders>
              <w:top w:val="single" w:color="auto" w:sz="8" w:space="0"/>
              <w:left w:val="single" w:color="auto" w:sz="8" w:space="0"/>
              <w:bottom w:val="single" w:color="auto" w:sz="8" w:space="0"/>
              <w:right w:val="single" w:color="auto" w:sz="8" w:space="0"/>
            </w:tcBorders>
            <w:vAlign w:val="center"/>
          </w:tcPr>
          <w:p w14:paraId="33039344">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正股级</w:t>
            </w:r>
          </w:p>
        </w:tc>
        <w:tc>
          <w:tcPr>
            <w:tcW w:w="2453" w:type="dxa"/>
            <w:tcBorders>
              <w:top w:val="single" w:color="auto" w:sz="8" w:space="0"/>
              <w:left w:val="single" w:color="auto" w:sz="8" w:space="0"/>
              <w:bottom w:val="single" w:color="auto" w:sz="8" w:space="0"/>
              <w:right w:val="single" w:color="auto" w:sz="8" w:space="0"/>
            </w:tcBorders>
            <w:vAlign w:val="center"/>
          </w:tcPr>
          <w:p w14:paraId="48EEC12E">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财政性资金基本保证</w:t>
            </w:r>
          </w:p>
        </w:tc>
      </w:tr>
      <w:tr w14:paraId="45863CB1">
        <w:tblPrEx>
          <w:tblCellMar>
            <w:top w:w="0" w:type="dxa"/>
            <w:left w:w="0" w:type="dxa"/>
            <w:bottom w:w="0" w:type="dxa"/>
            <w:right w:w="0" w:type="dxa"/>
          </w:tblCellMar>
        </w:tblPrEx>
        <w:trPr>
          <w:tblCellSpacing w:w="0" w:type="dxa"/>
        </w:trPr>
        <w:tc>
          <w:tcPr>
            <w:tcW w:w="388" w:type="dxa"/>
            <w:tcBorders>
              <w:top w:val="single" w:color="auto" w:sz="8" w:space="0"/>
              <w:left w:val="single" w:color="auto" w:sz="8" w:space="0"/>
              <w:bottom w:val="single" w:color="auto" w:sz="8" w:space="0"/>
              <w:right w:val="single" w:color="auto" w:sz="4" w:space="0"/>
            </w:tcBorders>
            <w:vAlign w:val="center"/>
          </w:tcPr>
          <w:p w14:paraId="2143D55C">
            <w:pPr>
              <w:widowControl/>
              <w:jc w:val="left"/>
              <w:rPr>
                <w:rFonts w:ascii="宋体" w:cs="宋体"/>
                <w:color w:val="000000"/>
                <w:kern w:val="0"/>
                <w:sz w:val="20"/>
                <w:szCs w:val="20"/>
              </w:rPr>
            </w:pPr>
            <w:r>
              <w:rPr>
                <w:rFonts w:ascii="宋体" w:cs="宋体"/>
                <w:color w:val="000000"/>
                <w:kern w:val="0"/>
                <w:sz w:val="20"/>
                <w:szCs w:val="20"/>
              </w:rPr>
              <w:t>5</w:t>
            </w:r>
          </w:p>
        </w:tc>
        <w:tc>
          <w:tcPr>
            <w:tcW w:w="2796" w:type="dxa"/>
            <w:tcBorders>
              <w:top w:val="single" w:color="auto" w:sz="8" w:space="0"/>
              <w:left w:val="single" w:color="auto" w:sz="4" w:space="0"/>
              <w:bottom w:val="single" w:color="auto" w:sz="8" w:space="0"/>
              <w:right w:val="single" w:color="auto" w:sz="8" w:space="0"/>
            </w:tcBorders>
            <w:vAlign w:val="center"/>
          </w:tcPr>
          <w:p w14:paraId="0974CC83">
            <w:pPr>
              <w:ind w:left="45"/>
              <w:jc w:val="left"/>
              <w:rPr>
                <w:rFonts w:ascii="宋体" w:cs="宋体"/>
                <w:color w:val="000000"/>
                <w:kern w:val="0"/>
                <w:sz w:val="20"/>
                <w:szCs w:val="20"/>
              </w:rPr>
            </w:pPr>
            <w:r>
              <w:rPr>
                <w:rFonts w:hint="eastAsia" w:ascii="仿宋_GB2312" w:hAnsi="宋体" w:eastAsia="仿宋_GB2312" w:cs="宋体"/>
                <w:color w:val="000000"/>
                <w:kern w:val="0"/>
                <w:sz w:val="20"/>
                <w:szCs w:val="20"/>
              </w:rPr>
              <w:t>馆陶县职业能力建设科</w:t>
            </w:r>
          </w:p>
        </w:tc>
        <w:tc>
          <w:tcPr>
            <w:tcW w:w="1758" w:type="dxa"/>
            <w:tcBorders>
              <w:top w:val="single" w:color="auto" w:sz="8" w:space="0"/>
              <w:left w:val="single" w:color="auto" w:sz="8" w:space="0"/>
              <w:bottom w:val="single" w:color="auto" w:sz="8" w:space="0"/>
              <w:right w:val="single" w:color="auto" w:sz="8" w:space="0"/>
            </w:tcBorders>
            <w:vAlign w:val="center"/>
          </w:tcPr>
          <w:p w14:paraId="777A78BF">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财政补助事业单位</w:t>
            </w:r>
          </w:p>
        </w:tc>
        <w:tc>
          <w:tcPr>
            <w:tcW w:w="1489" w:type="dxa"/>
            <w:tcBorders>
              <w:top w:val="single" w:color="auto" w:sz="8" w:space="0"/>
              <w:left w:val="single" w:color="auto" w:sz="8" w:space="0"/>
              <w:bottom w:val="single" w:color="auto" w:sz="8" w:space="0"/>
              <w:right w:val="single" w:color="auto" w:sz="8" w:space="0"/>
            </w:tcBorders>
            <w:vAlign w:val="center"/>
          </w:tcPr>
          <w:p w14:paraId="6AAABE55">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正股级</w:t>
            </w:r>
          </w:p>
        </w:tc>
        <w:tc>
          <w:tcPr>
            <w:tcW w:w="2453" w:type="dxa"/>
            <w:tcBorders>
              <w:top w:val="single" w:color="auto" w:sz="8" w:space="0"/>
              <w:left w:val="single" w:color="auto" w:sz="8" w:space="0"/>
              <w:bottom w:val="single" w:color="auto" w:sz="8" w:space="0"/>
              <w:right w:val="single" w:color="auto" w:sz="8" w:space="0"/>
            </w:tcBorders>
            <w:vAlign w:val="center"/>
          </w:tcPr>
          <w:p w14:paraId="72FAEDCB">
            <w:pPr>
              <w:widowControl/>
              <w:ind w:firstLine="480"/>
              <w:jc w:val="center"/>
              <w:rPr>
                <w:rFonts w:ascii="宋体" w:cs="宋体"/>
                <w:color w:val="000000"/>
                <w:kern w:val="0"/>
                <w:sz w:val="20"/>
                <w:szCs w:val="20"/>
              </w:rPr>
            </w:pPr>
            <w:r>
              <w:rPr>
                <w:rFonts w:hint="eastAsia" w:ascii="仿宋_GB2312" w:hAnsi="宋体" w:eastAsia="仿宋_GB2312" w:cs="宋体"/>
                <w:color w:val="000000"/>
                <w:kern w:val="0"/>
                <w:sz w:val="20"/>
                <w:szCs w:val="20"/>
              </w:rPr>
              <w:t>财政性资金基本保证</w:t>
            </w:r>
          </w:p>
        </w:tc>
      </w:tr>
    </w:tbl>
    <w:p w14:paraId="5CF28CE9"/>
    <w:p w14:paraId="6329CD3D"/>
    <w:p w14:paraId="66A33E89"/>
    <w:p w14:paraId="594B5975">
      <w:pPr>
        <w:widowControl/>
        <w:spacing w:line="560" w:lineRule="exact"/>
        <w:jc w:val="center"/>
        <w:rPr>
          <w:rFonts w:ascii="黑体" w:hAnsi="Cambria" w:eastAsia="黑体" w:cs="MS-UIGothic,Bold"/>
          <w:bCs/>
          <w:kern w:val="0"/>
          <w:sz w:val="52"/>
          <w:szCs w:val="52"/>
        </w:rPr>
      </w:pPr>
    </w:p>
    <w:p w14:paraId="0A4607FD">
      <w:pPr>
        <w:widowControl/>
        <w:spacing w:line="560" w:lineRule="exact"/>
        <w:jc w:val="center"/>
        <w:rPr>
          <w:rFonts w:ascii="黑体" w:hAnsi="Cambria" w:eastAsia="黑体" w:cs="MS-UIGothic,Bold"/>
          <w:bCs/>
          <w:kern w:val="0"/>
          <w:sz w:val="52"/>
          <w:szCs w:val="52"/>
        </w:rPr>
        <w:sectPr>
          <w:pgSz w:w="11906" w:h="16838"/>
          <w:pgMar w:top="2098" w:right="1474" w:bottom="1984" w:left="1588" w:header="851" w:footer="992" w:gutter="0"/>
          <w:cols w:space="0" w:num="1"/>
          <w:docGrid w:type="lines" w:linePitch="312" w:charSpace="0"/>
        </w:sectPr>
      </w:pPr>
    </w:p>
    <w:p w14:paraId="45EA124C">
      <w:pPr>
        <w:widowControl/>
        <w:spacing w:line="560" w:lineRule="exact"/>
        <w:jc w:val="center"/>
        <w:rPr>
          <w:rFonts w:ascii="黑体" w:hAnsi="Cambria" w:eastAsia="黑体" w:cs="MS-UIGothic,Bold"/>
          <w:bCs/>
          <w:kern w:val="0"/>
          <w:sz w:val="52"/>
          <w:szCs w:val="52"/>
        </w:rPr>
      </w:pPr>
      <w:r>
        <w:pict>
          <v:shape id="图片 16" o:spid="_x0000_s1036" o:spt="75" alt="2" type="#_x0000_t75" style="position:absolute;left:0pt;margin-left:-80.6pt;margin-top:-104.5pt;height:840.95pt;width:596.15pt;z-index:-251653120;mso-width-relative:page;mso-height-relative:page;" filled="f" o:preferrelative="t" stroked="f" coordsize="21600,21600">
            <v:path/>
            <v:fill on="f" focussize="0,0"/>
            <v:stroke on="f" joinstyle="miter"/>
            <v:imagedata r:id="rId13" o:title=""/>
            <o:lock v:ext="edit" aspectratio="t"/>
          </v:shape>
        </w:pict>
      </w:r>
    </w:p>
    <w:p w14:paraId="536E3963">
      <w:pPr>
        <w:widowControl/>
        <w:spacing w:line="560" w:lineRule="exact"/>
        <w:jc w:val="center"/>
        <w:rPr>
          <w:rFonts w:ascii="黑体" w:hAnsi="Cambria" w:eastAsia="黑体" w:cs="MS-UIGothic,Bold"/>
          <w:bCs/>
          <w:kern w:val="0"/>
          <w:sz w:val="52"/>
          <w:szCs w:val="52"/>
        </w:rPr>
      </w:pPr>
    </w:p>
    <w:p w14:paraId="2F452F7C">
      <w:pPr>
        <w:rPr>
          <w:rFonts w:ascii="宋体" w:cs="ArialUnicodeMS"/>
          <w:color w:val="000000"/>
          <w:kern w:val="0"/>
        </w:rPr>
      </w:pPr>
    </w:p>
    <w:p w14:paraId="6B32CCC0">
      <w:pPr>
        <w:rPr>
          <w:rFonts w:ascii="宋体" w:cs="ArialUnicodeMS"/>
          <w:color w:val="000000"/>
          <w:kern w:val="0"/>
        </w:rPr>
        <w:sectPr>
          <w:pgSz w:w="11906" w:h="16838"/>
          <w:pgMar w:top="2098" w:right="1474" w:bottom="1984" w:left="1588" w:header="851" w:footer="992" w:gutter="0"/>
          <w:cols w:space="0" w:num="1"/>
          <w:docGrid w:type="lines" w:linePitch="312" w:charSpace="0"/>
        </w:sectPr>
      </w:pPr>
      <w:r>
        <w:pict>
          <v:shape id="_x0000_s1037" o:spid="_x0000_s1037" o:spt="202" type="#_x0000_t202" style="position:absolute;left:0pt;margin-left:-74.2pt;margin-top:120.3pt;height:159.1pt;width:596.2pt;z-index:251662336;mso-width-relative:page;mso-height-relative:page;" filled="f" stroked="f" coordsize="21600,21600">
            <v:path/>
            <v:fill on="f" focussize="0,0"/>
            <v:stroke on="f" weight="0.5pt" joinstyle="miter"/>
            <v:imagedata o:title=""/>
            <o:lock v:ext="edit"/>
            <v:textbox>
              <w:txbxContent>
                <w:p w14:paraId="47910561">
                  <w:pPr>
                    <w:widowControl/>
                    <w:spacing w:line="1200" w:lineRule="exact"/>
                    <w:jc w:val="center"/>
                    <w:rPr>
                      <w:rFonts w:ascii="黑体" w:hAnsi="宋体" w:eastAsia="黑体"/>
                      <w:color w:val="FDEFBE"/>
                      <w:sz w:val="96"/>
                      <w:szCs w:val="96"/>
                    </w:rPr>
                  </w:pPr>
                  <w:r>
                    <w:rPr>
                      <w:rFonts w:hint="eastAsia" w:ascii="黑体" w:hAnsi="宋体" w:eastAsia="黑体"/>
                      <w:color w:val="FDEFBE"/>
                      <w:sz w:val="96"/>
                      <w:szCs w:val="96"/>
                    </w:rPr>
                    <w:t>第二部分</w:t>
                  </w:r>
                </w:p>
                <w:p w14:paraId="0ED3FBA7">
                  <w:pPr>
                    <w:widowControl/>
                    <w:spacing w:line="1200" w:lineRule="exact"/>
                    <w:jc w:val="center"/>
                    <w:rPr>
                      <w:color w:val="FDEFBE"/>
                      <w:sz w:val="96"/>
                      <w:szCs w:val="96"/>
                    </w:rPr>
                  </w:pPr>
                  <w:r>
                    <w:rPr>
                      <w:rFonts w:ascii="黑体" w:hAnsi="宋体" w:eastAsia="黑体"/>
                      <w:color w:val="FDEFBE"/>
                      <w:sz w:val="96"/>
                      <w:szCs w:val="96"/>
                    </w:rPr>
                    <w:t>2018</w:t>
                  </w:r>
                  <w:r>
                    <w:rPr>
                      <w:rFonts w:hint="eastAsia" w:ascii="黑体" w:hAnsi="宋体" w:eastAsia="黑体"/>
                      <w:color w:val="FDEFBE"/>
                      <w:sz w:val="96"/>
                      <w:szCs w:val="96"/>
                    </w:rPr>
                    <w:t>年度部门决算报表</w:t>
                  </w:r>
                </w:p>
              </w:txbxContent>
            </v:textbox>
          </v:shape>
        </w:pict>
      </w:r>
    </w:p>
    <w:p w14:paraId="649C8777">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一、收入支出决算总表（见附表）</w:t>
      </w:r>
    </w:p>
    <w:p w14:paraId="5BE4F379">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二、收入决算表（见附表）</w:t>
      </w:r>
    </w:p>
    <w:p w14:paraId="57A38CBC">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三、支出决算表（见附表）</w:t>
      </w:r>
    </w:p>
    <w:p w14:paraId="047545DA">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四、财政拨款收入支出决算总表（见附表）</w:t>
      </w:r>
    </w:p>
    <w:p w14:paraId="4C64A5D5">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五、一般公共预算财政拨款支出决算表（见附表）</w:t>
      </w:r>
    </w:p>
    <w:p w14:paraId="04778A7D">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六、一般公共预算财政拨款基本支出决算表（见附表）</w:t>
      </w:r>
    </w:p>
    <w:p w14:paraId="67CA6A12">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七、一般公共预算财政拨款“三公”经费支出决算表（见附表）</w:t>
      </w:r>
    </w:p>
    <w:p w14:paraId="69F1CCC3">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八、政府性基金预算财政拨款收入支出决算表（见附表）</w:t>
      </w:r>
    </w:p>
    <w:p w14:paraId="1E804E3F">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九、国有资本经营预算财政拨款支出决算表（见附表）</w:t>
      </w:r>
    </w:p>
    <w:p w14:paraId="00628FDE">
      <w:pPr>
        <w:widowControl/>
        <w:ind w:firstLine="6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十、政府采购情况表（见附表）</w:t>
      </w:r>
      <w:bookmarkStart w:id="0" w:name="OLE_LINK1"/>
      <w:bookmarkEnd w:id="0"/>
    </w:p>
    <w:p w14:paraId="62576E54"/>
    <w:p w14:paraId="43A94D5A"/>
    <w:p w14:paraId="729D61CC"/>
    <w:p w14:paraId="1F58B258">
      <w:pPr>
        <w:tabs>
          <w:tab w:val="left" w:pos="1086"/>
        </w:tabs>
        <w:jc w:val="left"/>
        <w:rPr>
          <w:rFonts w:ascii="仿宋_GB2312" w:hAnsi="宋体" w:eastAsia="仿宋_GB2312"/>
          <w:b/>
          <w:sz w:val="28"/>
          <w:szCs w:val="28"/>
          <w:highlight w:val="yellow"/>
        </w:rPr>
        <w:sectPr>
          <w:pgSz w:w="11906" w:h="16838"/>
          <w:pgMar w:top="2098" w:right="1474" w:bottom="1984" w:left="1588" w:header="851" w:footer="992" w:gutter="0"/>
          <w:cols w:space="0" w:num="1"/>
          <w:docGrid w:type="lines" w:linePitch="312" w:charSpace="0"/>
        </w:sectPr>
      </w:pPr>
      <w:r>
        <w:tab/>
      </w:r>
    </w:p>
    <w:p w14:paraId="5099D4AA">
      <w:pPr>
        <w:rPr>
          <w:rFonts w:ascii="宋体" w:cs="ArialUnicodeMS"/>
          <w:color w:val="000000"/>
          <w:kern w:val="0"/>
        </w:rPr>
        <w:sectPr>
          <w:pgSz w:w="11906" w:h="16838"/>
          <w:pgMar w:top="2098" w:right="1474" w:bottom="1984" w:left="1588" w:header="851" w:footer="992" w:gutter="0"/>
          <w:cols w:space="0" w:num="1"/>
          <w:docGrid w:type="lines" w:linePitch="312" w:charSpace="0"/>
        </w:sectPr>
      </w:pPr>
      <w:r>
        <w:pict>
          <v:shape id="图片 4" o:spid="_x0000_s1038" o:spt="75" alt="2" type="#_x0000_t75" style="position:absolute;left:0pt;margin-left:-79.45pt;margin-top:-105.35pt;height:840.95pt;width:594.5pt;z-index:-251651072;mso-width-relative:page;mso-height-relative:page;" filled="f" o:preferrelative="t" stroked="f" coordsize="21600,21600">
            <v:path/>
            <v:fill on="f" focussize="0,0"/>
            <v:stroke on="f" joinstyle="miter"/>
            <v:imagedata r:id="rId13" o:title=""/>
            <o:lock v:ext="edit" aspectratio="t"/>
          </v:shape>
        </w:pict>
      </w:r>
      <w:r>
        <w:pict>
          <v:shape id="_x0000_s1039" o:spid="_x0000_s1039" o:spt="202" type="#_x0000_t202" style="position:absolute;left:0pt;margin-left:-78.7pt;margin-top:232.8pt;height:159.1pt;width:596.2pt;z-index:251664384;mso-width-relative:page;mso-height-relative:page;" filled="f" stroked="f" coordsize="21600,21600">
            <v:path/>
            <v:fill on="f" focussize="0,0"/>
            <v:stroke on="f" weight="0.5pt" joinstyle="miter"/>
            <v:imagedata o:title=""/>
            <o:lock v:ext="edit"/>
            <v:textbox>
              <w:txbxContent>
                <w:p w14:paraId="038F8472">
                  <w:pPr>
                    <w:widowControl/>
                    <w:spacing w:line="1200" w:lineRule="exact"/>
                    <w:jc w:val="center"/>
                    <w:rPr>
                      <w:rFonts w:ascii="黑体" w:hAnsi="宋体" w:eastAsia="黑体"/>
                      <w:color w:val="FDEFBE"/>
                      <w:sz w:val="96"/>
                      <w:szCs w:val="96"/>
                    </w:rPr>
                  </w:pPr>
                  <w:r>
                    <w:rPr>
                      <w:rFonts w:hint="eastAsia" w:ascii="黑体" w:hAnsi="宋体" w:eastAsia="黑体"/>
                      <w:color w:val="FDEFBE"/>
                      <w:sz w:val="96"/>
                      <w:szCs w:val="96"/>
                    </w:rPr>
                    <w:t>第三部分</w:t>
                  </w:r>
                </w:p>
                <w:p w14:paraId="7DCCB645">
                  <w:pPr>
                    <w:widowControl/>
                    <w:spacing w:line="1200" w:lineRule="exact"/>
                    <w:jc w:val="center"/>
                    <w:rPr>
                      <w:color w:val="FDEFBE"/>
                      <w:sz w:val="96"/>
                      <w:szCs w:val="96"/>
                    </w:rPr>
                  </w:pPr>
                  <w:r>
                    <w:rPr>
                      <w:rFonts w:hint="eastAsia" w:ascii="黑体" w:hAnsi="宋体" w:eastAsia="黑体"/>
                      <w:color w:val="FDEFBE"/>
                      <w:sz w:val="96"/>
                      <w:szCs w:val="96"/>
                    </w:rPr>
                    <w:t>部门决算情况说明</w:t>
                  </w:r>
                </w:p>
              </w:txbxContent>
            </v:textbox>
          </v:shape>
        </w:pict>
      </w:r>
    </w:p>
    <w:p w14:paraId="60F989E6">
      <w:pPr>
        <w:widowControl/>
        <w:ind w:firstLine="60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一、收入支出决算总体情况说明</w:t>
      </w:r>
    </w:p>
    <w:p w14:paraId="0B063EEC">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本部门</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年度收入合计</w:t>
      </w:r>
      <w:r>
        <w:rPr>
          <w:rFonts w:ascii="仿宋_GB2312" w:hAnsi="宋体" w:eastAsia="仿宋_GB2312" w:cs="宋体"/>
          <w:color w:val="000000"/>
          <w:kern w:val="0"/>
          <w:sz w:val="32"/>
          <w:szCs w:val="32"/>
        </w:rPr>
        <w:t>415.19</w:t>
      </w:r>
      <w:r>
        <w:rPr>
          <w:rFonts w:hint="eastAsia" w:ascii="仿宋_GB2312" w:hAnsi="宋体" w:eastAsia="仿宋_GB2312" w:cs="宋体"/>
          <w:color w:val="000000"/>
          <w:kern w:val="0"/>
          <w:sz w:val="32"/>
          <w:szCs w:val="32"/>
        </w:rPr>
        <w:t>万元，与</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年度相比增加</w:t>
      </w:r>
      <w:r>
        <w:rPr>
          <w:rFonts w:ascii="仿宋_GB2312" w:hAnsi="宋体" w:eastAsia="仿宋_GB2312" w:cs="宋体"/>
          <w:color w:val="000000"/>
          <w:kern w:val="0"/>
          <w:sz w:val="32"/>
          <w:szCs w:val="32"/>
        </w:rPr>
        <w:t>21.08</w:t>
      </w:r>
      <w:r>
        <w:rPr>
          <w:rFonts w:hint="eastAsia" w:ascii="仿宋_GB2312" w:hAnsi="宋体" w:eastAsia="仿宋_GB2312" w:cs="宋体"/>
          <w:color w:val="000000"/>
          <w:kern w:val="0"/>
          <w:sz w:val="32"/>
          <w:szCs w:val="32"/>
        </w:rPr>
        <w:t>万元，增长</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年决算支出</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万元，与</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年相比增加</w:t>
      </w:r>
      <w:r>
        <w:rPr>
          <w:rFonts w:ascii="仿宋_GB2312" w:hAnsi="宋体" w:eastAsia="仿宋_GB2312" w:cs="宋体"/>
          <w:color w:val="000000"/>
          <w:kern w:val="0"/>
          <w:sz w:val="32"/>
          <w:szCs w:val="32"/>
        </w:rPr>
        <w:t>14.21</w:t>
      </w:r>
      <w:r>
        <w:rPr>
          <w:rFonts w:hint="eastAsia" w:ascii="仿宋_GB2312" w:hAnsi="宋体" w:eastAsia="仿宋_GB2312" w:cs="宋体"/>
          <w:color w:val="000000"/>
          <w:kern w:val="0"/>
          <w:sz w:val="32"/>
          <w:szCs w:val="32"/>
        </w:rPr>
        <w:t>万元，增长</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w:t>
      </w:r>
    </w:p>
    <w:p w14:paraId="659DAB41">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支出总计</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万元，与</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年度决算相比，增加</w:t>
      </w:r>
      <w:r>
        <w:rPr>
          <w:rFonts w:ascii="仿宋_GB2312" w:hAnsi="宋体" w:eastAsia="仿宋_GB2312" w:cs="宋体"/>
          <w:color w:val="000000"/>
          <w:kern w:val="0"/>
          <w:sz w:val="32"/>
          <w:szCs w:val="32"/>
        </w:rPr>
        <w:t>14.21</w:t>
      </w:r>
      <w:r>
        <w:rPr>
          <w:rFonts w:hint="eastAsia" w:ascii="仿宋_GB2312" w:hAnsi="宋体" w:eastAsia="仿宋_GB2312" w:cs="宋体"/>
          <w:color w:val="000000"/>
          <w:kern w:val="0"/>
          <w:sz w:val="32"/>
          <w:szCs w:val="32"/>
        </w:rPr>
        <w:t>万元，</w:t>
      </w:r>
      <w:r>
        <w:rPr>
          <w:rFonts w:hint="eastAsia" w:ascii="仿宋_GB2312" w:eastAsia="仿宋_GB2312" w:cs="DengXian-Regular"/>
          <w:sz w:val="32"/>
          <w:szCs w:val="32"/>
        </w:rPr>
        <w:t>主要是工作津贴从</w:t>
      </w:r>
      <w:r>
        <w:rPr>
          <w:rFonts w:ascii="仿宋_GB2312" w:eastAsia="仿宋_GB2312" w:cs="DengXian-Regular"/>
          <w:sz w:val="32"/>
          <w:szCs w:val="32"/>
        </w:rPr>
        <w:t>2018</w:t>
      </w:r>
      <w:r>
        <w:rPr>
          <w:rFonts w:hint="eastAsia" w:ascii="仿宋_GB2312" w:eastAsia="仿宋_GB2312" w:cs="DengXian-Regular"/>
          <w:sz w:val="32"/>
          <w:szCs w:val="32"/>
        </w:rPr>
        <w:t>年</w:t>
      </w:r>
      <w:r>
        <w:rPr>
          <w:rFonts w:ascii="仿宋_GB2312" w:eastAsia="仿宋_GB2312" w:cs="DengXian-Regular"/>
          <w:sz w:val="32"/>
          <w:szCs w:val="32"/>
        </w:rPr>
        <w:t>8</w:t>
      </w:r>
      <w:r>
        <w:rPr>
          <w:rFonts w:hint="eastAsia" w:ascii="仿宋_GB2312" w:eastAsia="仿宋_GB2312" w:cs="DengXian-Regular"/>
          <w:sz w:val="32"/>
          <w:szCs w:val="32"/>
        </w:rPr>
        <w:t>月</w:t>
      </w:r>
      <w:r>
        <w:rPr>
          <w:rFonts w:hint="eastAsia" w:ascii="仿宋_GB2312" w:hAnsi="宋体" w:eastAsia="仿宋_GB2312" w:cs="宋体"/>
          <w:sz w:val="32"/>
          <w:szCs w:val="32"/>
        </w:rPr>
        <w:t>份执行，</w:t>
      </w:r>
      <w:r>
        <w:rPr>
          <w:rFonts w:hint="eastAsia" w:ascii="仿宋_GB2312" w:eastAsia="仿宋_GB2312" w:cs="DengXian-Regular"/>
          <w:sz w:val="32"/>
          <w:szCs w:val="32"/>
        </w:rPr>
        <w:t>人员经费支出增加较</w:t>
      </w:r>
      <w:r>
        <w:rPr>
          <w:rFonts w:hint="eastAsia" w:ascii="仿宋_GB2312" w:hAnsi="宋体" w:eastAsia="仿宋_GB2312" w:cs="宋体"/>
          <w:sz w:val="32"/>
          <w:szCs w:val="32"/>
        </w:rPr>
        <w:t>多</w:t>
      </w:r>
      <w:r>
        <w:rPr>
          <w:rFonts w:hint="eastAsia" w:ascii="仿宋_GB2312" w:eastAsia="仿宋_GB2312" w:cs="DengXian-Regular"/>
          <w:sz w:val="32"/>
          <w:szCs w:val="32"/>
        </w:rPr>
        <w:t>。</w:t>
      </w:r>
    </w:p>
    <w:p w14:paraId="2A9539A4">
      <w:pPr>
        <w:widowControl/>
        <w:ind w:firstLine="60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二、收入决算情况说明</w:t>
      </w:r>
    </w:p>
    <w:p w14:paraId="4D0388A1">
      <w:pPr>
        <w:widowControl/>
        <w:ind w:firstLine="45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年收入总计</w:t>
      </w:r>
      <w:r>
        <w:rPr>
          <w:rFonts w:ascii="仿宋_GB2312" w:hAnsi="宋体" w:eastAsia="仿宋_GB2312" w:cs="宋体"/>
          <w:color w:val="000000"/>
          <w:kern w:val="0"/>
          <w:sz w:val="32"/>
          <w:szCs w:val="32"/>
        </w:rPr>
        <w:t>415.19</w:t>
      </w:r>
      <w:r>
        <w:rPr>
          <w:rFonts w:hint="eastAsia" w:ascii="仿宋_GB2312" w:hAnsi="宋体" w:eastAsia="仿宋_GB2312" w:cs="宋体"/>
          <w:color w:val="000000"/>
          <w:kern w:val="0"/>
          <w:sz w:val="32"/>
          <w:szCs w:val="32"/>
        </w:rPr>
        <w:t>万元，其中：财政拨款收入</w:t>
      </w:r>
      <w:r>
        <w:rPr>
          <w:rFonts w:ascii="仿宋_GB2312" w:hAnsi="宋体" w:eastAsia="仿宋_GB2312" w:cs="宋体"/>
          <w:color w:val="000000"/>
          <w:kern w:val="0"/>
          <w:sz w:val="32"/>
          <w:szCs w:val="32"/>
        </w:rPr>
        <w:t>415.19</w:t>
      </w:r>
      <w:r>
        <w:rPr>
          <w:rFonts w:hint="eastAsia" w:ascii="仿宋_GB2312" w:hAnsi="宋体" w:eastAsia="仿宋_GB2312" w:cs="宋体"/>
          <w:color w:val="000000"/>
          <w:kern w:val="0"/>
          <w:sz w:val="32"/>
          <w:szCs w:val="32"/>
        </w:rPr>
        <w:t>万元。比</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年相比增长</w:t>
      </w:r>
      <w:r>
        <w:rPr>
          <w:rFonts w:ascii="仿宋_GB2312" w:hAnsi="宋体" w:eastAsia="仿宋_GB2312" w:cs="宋体"/>
          <w:color w:val="000000"/>
          <w:kern w:val="0"/>
          <w:sz w:val="32"/>
          <w:szCs w:val="32"/>
        </w:rPr>
        <w:t>21.08</w:t>
      </w:r>
      <w:r>
        <w:rPr>
          <w:rFonts w:hint="eastAsia" w:ascii="仿宋_GB2312" w:hAnsi="宋体" w:eastAsia="仿宋_GB2312" w:cs="宋体"/>
          <w:color w:val="000000"/>
          <w:kern w:val="0"/>
          <w:sz w:val="32"/>
          <w:szCs w:val="32"/>
        </w:rPr>
        <w:t>万元。</w:t>
      </w:r>
    </w:p>
    <w:p w14:paraId="7DF46FDA">
      <w:pPr>
        <w:widowControl/>
        <w:ind w:firstLine="60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三、支出决算情况说明</w:t>
      </w:r>
    </w:p>
    <w:p w14:paraId="6772AF84">
      <w:pPr>
        <w:widowControl/>
        <w:ind w:firstLine="6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年支出</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万元。其中基本支出</w:t>
      </w:r>
      <w:r>
        <w:rPr>
          <w:rFonts w:ascii="仿宋_GB2312" w:hAnsi="宋体" w:eastAsia="仿宋_GB2312" w:cs="宋体"/>
          <w:color w:val="000000"/>
          <w:kern w:val="0"/>
          <w:sz w:val="32"/>
          <w:szCs w:val="32"/>
        </w:rPr>
        <w:t>405.498</w:t>
      </w:r>
      <w:r>
        <w:rPr>
          <w:rFonts w:hint="eastAsia" w:ascii="仿宋_GB2312" w:hAnsi="宋体" w:eastAsia="仿宋_GB2312" w:cs="宋体"/>
          <w:color w:val="000000"/>
          <w:kern w:val="0"/>
          <w:sz w:val="32"/>
          <w:szCs w:val="32"/>
        </w:rPr>
        <w:t>万元。与</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年相比，支出增长</w:t>
      </w:r>
      <w:r>
        <w:rPr>
          <w:rFonts w:ascii="仿宋_GB2312" w:hAnsi="宋体" w:eastAsia="仿宋_GB2312" w:cs="宋体"/>
          <w:color w:val="000000"/>
          <w:kern w:val="0"/>
          <w:sz w:val="32"/>
          <w:szCs w:val="32"/>
        </w:rPr>
        <w:t>14.21</w:t>
      </w:r>
      <w:r>
        <w:rPr>
          <w:rFonts w:hint="eastAsia" w:ascii="仿宋_GB2312" w:hAnsi="宋体" w:eastAsia="仿宋_GB2312" w:cs="宋体"/>
          <w:color w:val="000000"/>
          <w:kern w:val="0"/>
          <w:sz w:val="32"/>
          <w:szCs w:val="32"/>
        </w:rPr>
        <w:t>万元。</w:t>
      </w:r>
    </w:p>
    <w:p w14:paraId="29F75770">
      <w:pPr>
        <w:widowControl/>
        <w:ind w:firstLine="60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四、财政拨款收入支出决算情况说明</w:t>
      </w:r>
    </w:p>
    <w:p w14:paraId="2CDBDFC7">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（一）财政拨款收支与</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年度决算对比情况</w:t>
      </w:r>
    </w:p>
    <w:p w14:paraId="38096200">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人社局</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年财政拨款收入</w:t>
      </w:r>
      <w:r>
        <w:rPr>
          <w:rFonts w:ascii="仿宋_GB2312" w:hAnsi="宋体" w:eastAsia="仿宋_GB2312" w:cs="宋体"/>
          <w:color w:val="000000"/>
          <w:kern w:val="0"/>
          <w:sz w:val="32"/>
          <w:szCs w:val="32"/>
        </w:rPr>
        <w:t>415.19</w:t>
      </w:r>
      <w:r>
        <w:rPr>
          <w:rFonts w:hint="eastAsia" w:ascii="仿宋_GB2312" w:hAnsi="宋体" w:eastAsia="仿宋_GB2312" w:cs="宋体"/>
          <w:color w:val="000000"/>
          <w:kern w:val="0"/>
          <w:sz w:val="32"/>
          <w:szCs w:val="32"/>
        </w:rPr>
        <w:t>万元，其中一般公共预算财政拨款收入</w:t>
      </w:r>
      <w:r>
        <w:rPr>
          <w:rFonts w:ascii="仿宋_GB2312" w:hAnsi="宋体" w:eastAsia="仿宋_GB2312" w:cs="宋体"/>
          <w:color w:val="000000"/>
          <w:kern w:val="0"/>
          <w:sz w:val="32"/>
          <w:szCs w:val="32"/>
        </w:rPr>
        <w:t>415.19</w:t>
      </w:r>
      <w:r>
        <w:rPr>
          <w:rFonts w:hint="eastAsia" w:ascii="仿宋_GB2312" w:hAnsi="宋体" w:eastAsia="仿宋_GB2312" w:cs="宋体"/>
          <w:color w:val="000000"/>
          <w:kern w:val="0"/>
          <w:sz w:val="32"/>
          <w:szCs w:val="32"/>
        </w:rPr>
        <w:t>万元，比</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年增长</w:t>
      </w:r>
      <w:r>
        <w:rPr>
          <w:rFonts w:ascii="仿宋_GB2312" w:hAnsi="宋体" w:eastAsia="仿宋_GB2312" w:cs="宋体"/>
          <w:color w:val="000000"/>
          <w:kern w:val="0"/>
          <w:sz w:val="32"/>
          <w:szCs w:val="32"/>
        </w:rPr>
        <w:t>21.08</w:t>
      </w:r>
      <w:r>
        <w:rPr>
          <w:rFonts w:hint="eastAsia" w:ascii="仿宋_GB2312" w:hAnsi="宋体" w:eastAsia="仿宋_GB2312" w:cs="宋体"/>
          <w:color w:val="000000"/>
          <w:kern w:val="0"/>
          <w:sz w:val="32"/>
          <w:szCs w:val="32"/>
        </w:rPr>
        <w:t>万元，增长</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年财政拨款支出</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万元，其中一般公共预算财政拨款</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万元，比</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年增长</w:t>
      </w:r>
      <w:r>
        <w:rPr>
          <w:rFonts w:ascii="仿宋_GB2312" w:hAnsi="宋体" w:eastAsia="仿宋_GB2312" w:cs="宋体"/>
          <w:color w:val="000000"/>
          <w:kern w:val="0"/>
          <w:sz w:val="32"/>
          <w:szCs w:val="32"/>
        </w:rPr>
        <w:t>14.21</w:t>
      </w:r>
      <w:r>
        <w:rPr>
          <w:rFonts w:hint="eastAsia" w:ascii="仿宋_GB2312" w:hAnsi="宋体" w:eastAsia="仿宋_GB2312" w:cs="宋体"/>
          <w:color w:val="000000"/>
          <w:kern w:val="0"/>
          <w:sz w:val="32"/>
          <w:szCs w:val="32"/>
        </w:rPr>
        <w:t>万元，增长</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w:t>
      </w:r>
    </w:p>
    <w:p w14:paraId="3C1CFB00">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（二）财政拨款收支与年初预算数对比情况</w:t>
      </w:r>
    </w:p>
    <w:p w14:paraId="5B611061">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人社局</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年度一般公共预算财政拨款收入</w:t>
      </w:r>
      <w:r>
        <w:rPr>
          <w:rFonts w:ascii="仿宋_GB2312" w:hAnsi="宋体" w:eastAsia="仿宋_GB2312" w:cs="宋体"/>
          <w:color w:val="000000"/>
          <w:kern w:val="0"/>
          <w:sz w:val="32"/>
          <w:szCs w:val="32"/>
        </w:rPr>
        <w:t>411</w:t>
      </w:r>
      <w:r>
        <w:rPr>
          <w:rFonts w:hint="eastAsia" w:ascii="仿宋_GB2312" w:hAnsi="宋体" w:eastAsia="仿宋_GB2312" w:cs="宋体"/>
          <w:color w:val="000000"/>
          <w:kern w:val="0"/>
          <w:sz w:val="32"/>
          <w:szCs w:val="32"/>
        </w:rPr>
        <w:t>万元，完成年初预算的</w:t>
      </w:r>
      <w:r>
        <w:rPr>
          <w:rFonts w:ascii="仿宋_GB2312" w:hAnsi="宋体" w:eastAsia="仿宋_GB2312" w:cs="宋体"/>
          <w:color w:val="000000"/>
          <w:kern w:val="0"/>
          <w:sz w:val="32"/>
          <w:szCs w:val="32"/>
        </w:rPr>
        <w:t>109.81%</w:t>
      </w:r>
      <w:r>
        <w:rPr>
          <w:rFonts w:hint="eastAsia" w:ascii="仿宋_GB2312" w:hAnsi="宋体" w:eastAsia="仿宋_GB2312" w:cs="宋体"/>
          <w:color w:val="000000"/>
          <w:kern w:val="0"/>
          <w:sz w:val="32"/>
          <w:szCs w:val="32"/>
        </w:rPr>
        <w:t>，比年初预算增加</w:t>
      </w:r>
      <w:r>
        <w:rPr>
          <w:rFonts w:ascii="仿宋_GB2312" w:hAnsi="宋体" w:eastAsia="仿宋_GB2312" w:cs="宋体"/>
          <w:color w:val="000000"/>
          <w:kern w:val="0"/>
          <w:sz w:val="32"/>
          <w:szCs w:val="32"/>
        </w:rPr>
        <w:t>36.72</w:t>
      </w:r>
      <w:r>
        <w:rPr>
          <w:rFonts w:hint="eastAsia" w:ascii="仿宋_GB2312" w:hAnsi="宋体" w:eastAsia="仿宋_GB2312" w:cs="宋体"/>
          <w:color w:val="000000"/>
          <w:kern w:val="0"/>
          <w:sz w:val="32"/>
          <w:szCs w:val="32"/>
        </w:rPr>
        <w:t>万元，主要原因是开展乡镇公共就业服务平台业务；本年支出</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万元，完成年初预算的</w:t>
      </w:r>
      <w:r>
        <w:rPr>
          <w:rFonts w:ascii="仿宋_GB2312" w:hAnsi="宋体" w:eastAsia="仿宋_GB2312" w:cs="宋体"/>
          <w:color w:val="000000"/>
          <w:kern w:val="0"/>
          <w:sz w:val="32"/>
          <w:szCs w:val="32"/>
        </w:rPr>
        <w:t>108.33%</w:t>
      </w:r>
      <w:r>
        <w:rPr>
          <w:rFonts w:hint="eastAsia" w:ascii="仿宋_GB2312" w:hAnsi="宋体" w:eastAsia="仿宋_GB2312" w:cs="宋体"/>
          <w:color w:val="000000"/>
          <w:kern w:val="0"/>
          <w:sz w:val="32"/>
          <w:szCs w:val="32"/>
        </w:rPr>
        <w:t>，主要原因是开展乡镇公共就业服务平台业务。</w:t>
      </w:r>
    </w:p>
    <w:p w14:paraId="15756DFE">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（三）财政拨款支出决算结构情况</w:t>
      </w:r>
    </w:p>
    <w:p w14:paraId="3436D2BB">
      <w:pPr>
        <w:widowControl/>
        <w:ind w:firstLine="6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年度财政拨款支出</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万元，主要用于以下方面：一般公共服务支出</w:t>
      </w:r>
      <w:r>
        <w:rPr>
          <w:rFonts w:ascii="仿宋_GB2312" w:hAnsi="宋体" w:eastAsia="仿宋_GB2312" w:cs="宋体"/>
          <w:color w:val="000000"/>
          <w:kern w:val="0"/>
          <w:sz w:val="32"/>
          <w:szCs w:val="32"/>
        </w:rPr>
        <w:t>307</w:t>
      </w:r>
      <w:r>
        <w:rPr>
          <w:rFonts w:hint="eastAsia" w:ascii="仿宋_GB2312" w:hAnsi="宋体" w:eastAsia="仿宋_GB2312" w:cs="宋体"/>
          <w:color w:val="000000"/>
          <w:kern w:val="0"/>
          <w:sz w:val="32"/>
          <w:szCs w:val="32"/>
        </w:rPr>
        <w:t>万元，占</w:t>
      </w:r>
      <w:r>
        <w:rPr>
          <w:rFonts w:ascii="仿宋_GB2312" w:hAnsi="宋体" w:eastAsia="仿宋_GB2312" w:cs="宋体"/>
          <w:color w:val="000000"/>
          <w:kern w:val="0"/>
          <w:sz w:val="32"/>
          <w:szCs w:val="32"/>
        </w:rPr>
        <w:t>76%</w:t>
      </w:r>
      <w:r>
        <w:rPr>
          <w:rFonts w:hint="eastAsia" w:ascii="仿宋_GB2312" w:hAnsi="宋体" w:eastAsia="仿宋_GB2312" w:cs="宋体"/>
          <w:color w:val="000000"/>
          <w:kern w:val="0"/>
          <w:sz w:val="32"/>
          <w:szCs w:val="32"/>
        </w:rPr>
        <w:t>；社会保障和就业支出</w:t>
      </w:r>
      <w:r>
        <w:rPr>
          <w:rFonts w:ascii="仿宋_GB2312" w:hAnsi="宋体" w:eastAsia="仿宋_GB2312" w:cs="宋体"/>
          <w:color w:val="000000"/>
          <w:kern w:val="0"/>
          <w:sz w:val="32"/>
          <w:szCs w:val="32"/>
        </w:rPr>
        <w:t>75.95</w:t>
      </w:r>
      <w:r>
        <w:rPr>
          <w:rFonts w:hint="eastAsia" w:ascii="仿宋_GB2312" w:hAnsi="宋体" w:eastAsia="仿宋_GB2312" w:cs="宋体"/>
          <w:color w:val="000000"/>
          <w:kern w:val="0"/>
          <w:sz w:val="32"/>
          <w:szCs w:val="32"/>
        </w:rPr>
        <w:t>万元，占</w:t>
      </w:r>
      <w:r>
        <w:rPr>
          <w:rFonts w:ascii="仿宋_GB2312" w:hAnsi="宋体" w:eastAsia="仿宋_GB2312" w:cs="宋体"/>
          <w:color w:val="000000"/>
          <w:kern w:val="0"/>
          <w:sz w:val="32"/>
          <w:szCs w:val="32"/>
        </w:rPr>
        <w:t>18.73%</w:t>
      </w:r>
      <w:r>
        <w:rPr>
          <w:rFonts w:hint="eastAsia" w:ascii="仿宋_GB2312" w:hAnsi="宋体" w:eastAsia="仿宋_GB2312" w:cs="宋体"/>
          <w:color w:val="000000"/>
          <w:kern w:val="0"/>
          <w:sz w:val="32"/>
          <w:szCs w:val="32"/>
        </w:rPr>
        <w:t>；农林水支出</w:t>
      </w:r>
      <w:r>
        <w:rPr>
          <w:rFonts w:ascii="仿宋_GB2312" w:hAnsi="宋体" w:eastAsia="仿宋_GB2312" w:cs="宋体"/>
          <w:color w:val="000000"/>
          <w:kern w:val="0"/>
          <w:sz w:val="32"/>
          <w:szCs w:val="32"/>
        </w:rPr>
        <w:t>22.54</w:t>
      </w:r>
      <w:r>
        <w:rPr>
          <w:rFonts w:hint="eastAsia" w:ascii="仿宋_GB2312" w:hAnsi="宋体" w:eastAsia="仿宋_GB2312" w:cs="宋体"/>
          <w:color w:val="000000"/>
          <w:kern w:val="0"/>
          <w:sz w:val="32"/>
          <w:szCs w:val="32"/>
        </w:rPr>
        <w:t>万元，占</w:t>
      </w:r>
      <w:r>
        <w:rPr>
          <w:rFonts w:ascii="仿宋_GB2312" w:hAnsi="宋体" w:eastAsia="仿宋_GB2312" w:cs="宋体"/>
          <w:color w:val="000000"/>
          <w:kern w:val="0"/>
          <w:sz w:val="32"/>
          <w:szCs w:val="32"/>
        </w:rPr>
        <w:t>5.27%</w:t>
      </w:r>
      <w:r>
        <w:rPr>
          <w:rFonts w:hint="eastAsia" w:ascii="仿宋_GB2312" w:hAnsi="宋体" w:eastAsia="仿宋_GB2312" w:cs="宋体"/>
          <w:color w:val="000000"/>
          <w:kern w:val="0"/>
          <w:sz w:val="32"/>
          <w:szCs w:val="32"/>
        </w:rPr>
        <w:t>。</w:t>
      </w:r>
    </w:p>
    <w:p w14:paraId="61114C0E">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（四）一般公共预算财政拨款基本支出决算情况说明</w:t>
      </w:r>
    </w:p>
    <w:p w14:paraId="44DF32D7">
      <w:pPr>
        <w:widowControl/>
        <w:ind w:firstLine="600"/>
        <w:jc w:val="left"/>
        <w:rPr>
          <w:rFonts w:ascii="仿宋_GB2312" w:eastAsia="仿宋_GB2312" w:cs="宋体"/>
          <w:color w:val="000000"/>
          <w:kern w:val="0"/>
          <w:sz w:val="32"/>
          <w:szCs w:val="32"/>
        </w:rPr>
      </w:pP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年度一般公共预算财政拨款基本支出</w:t>
      </w:r>
      <w:r>
        <w:rPr>
          <w:rFonts w:ascii="仿宋_GB2312" w:hAnsi="宋体" w:eastAsia="仿宋_GB2312" w:cs="宋体"/>
          <w:color w:val="000000"/>
          <w:kern w:val="0"/>
          <w:sz w:val="32"/>
          <w:szCs w:val="32"/>
        </w:rPr>
        <w:t>405.49</w:t>
      </w:r>
      <w:r>
        <w:rPr>
          <w:rFonts w:hint="eastAsia" w:ascii="仿宋_GB2312" w:hAnsi="宋体" w:eastAsia="仿宋_GB2312" w:cs="宋体"/>
          <w:color w:val="000000"/>
          <w:kern w:val="0"/>
          <w:sz w:val="32"/>
          <w:szCs w:val="32"/>
        </w:rPr>
        <w:t>万元，其中：人员经费</w:t>
      </w:r>
      <w:r>
        <w:rPr>
          <w:rFonts w:ascii="仿宋_GB2312" w:hAnsi="宋体" w:eastAsia="仿宋_GB2312" w:cs="宋体"/>
          <w:color w:val="000000"/>
          <w:kern w:val="0"/>
          <w:sz w:val="32"/>
          <w:szCs w:val="32"/>
        </w:rPr>
        <w:t>330.3</w:t>
      </w:r>
      <w:r>
        <w:rPr>
          <w:rFonts w:hint="eastAsia" w:ascii="仿宋_GB2312" w:hAnsi="宋体" w:eastAsia="仿宋_GB2312" w:cs="宋体"/>
          <w:color w:val="000000"/>
          <w:kern w:val="0"/>
          <w:sz w:val="32"/>
          <w:szCs w:val="32"/>
        </w:rPr>
        <w:t>万元，</w:t>
      </w:r>
      <w:r>
        <w:rPr>
          <w:rFonts w:hint="eastAsia" w:ascii="仿宋_GB2312" w:hAnsi="宋体" w:eastAsia="仿宋_GB2312" w:cs="DengXian-Regular"/>
          <w:sz w:val="32"/>
          <w:szCs w:val="32"/>
        </w:rPr>
        <w:t>主要包括基本工资、津贴补贴、奖金、绩效工资、生活补助、其他对个人和家庭的补助支出；公用经费</w:t>
      </w:r>
      <w:r>
        <w:rPr>
          <w:rFonts w:ascii="仿宋_GB2312" w:hAnsi="宋体" w:eastAsia="仿宋_GB2312" w:cs="DengXian-Regular"/>
          <w:sz w:val="32"/>
          <w:szCs w:val="32"/>
        </w:rPr>
        <w:t>52.65</w:t>
      </w:r>
      <w:r>
        <w:rPr>
          <w:rFonts w:hint="eastAsia" w:ascii="仿宋_GB2312" w:hAnsi="宋体" w:eastAsia="仿宋_GB2312" w:cs="DengXian-Regular"/>
          <w:sz w:val="32"/>
          <w:szCs w:val="32"/>
        </w:rPr>
        <w:t>万元，主要包括办公费、印刷费、水费、电费、邮电费、差旅费、维修（护）费、租赁费、会议费、培训费、公务接待费、公务用车运行维护费、其他交通费用、其他商品和服务支出、办公设备购置；普惠金融支出</w:t>
      </w:r>
      <w:r>
        <w:rPr>
          <w:rFonts w:ascii="仿宋_GB2312" w:hAnsi="宋体" w:eastAsia="仿宋_GB2312" w:cs="DengXian-Regular"/>
          <w:sz w:val="32"/>
          <w:szCs w:val="32"/>
        </w:rPr>
        <w:t>22.54</w:t>
      </w:r>
      <w:r>
        <w:rPr>
          <w:rFonts w:hint="eastAsia" w:ascii="仿宋_GB2312" w:hAnsi="宋体" w:eastAsia="仿宋_GB2312" w:cs="DengXian-Regular"/>
          <w:sz w:val="32"/>
          <w:szCs w:val="32"/>
        </w:rPr>
        <w:t>万元。</w:t>
      </w:r>
    </w:p>
    <w:p w14:paraId="5A1DDDF2">
      <w:pPr>
        <w:widowControl/>
        <w:ind w:firstLine="60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五、一般公共预算财政拨款“三公”经费支出决算情况说明</w:t>
      </w:r>
    </w:p>
    <w:p w14:paraId="19AD20C9">
      <w:pPr>
        <w:widowControl/>
        <w:ind w:firstLine="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人社局</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年度“三公”经费支出共计</w:t>
      </w:r>
      <w:r>
        <w:rPr>
          <w:rFonts w:ascii="仿宋_GB2312" w:hAnsi="宋体" w:eastAsia="仿宋_GB2312" w:cs="宋体"/>
          <w:color w:val="000000"/>
          <w:kern w:val="0"/>
          <w:sz w:val="32"/>
          <w:szCs w:val="32"/>
        </w:rPr>
        <w:t>2.19</w:t>
      </w:r>
      <w:r>
        <w:rPr>
          <w:rFonts w:hint="eastAsia" w:ascii="仿宋_GB2312" w:hAnsi="宋体" w:eastAsia="仿宋_GB2312" w:cs="宋体"/>
          <w:color w:val="000000"/>
          <w:kern w:val="0"/>
          <w:sz w:val="32"/>
          <w:szCs w:val="32"/>
        </w:rPr>
        <w:t>万元，教年初预算减少</w:t>
      </w:r>
      <w:r>
        <w:rPr>
          <w:rFonts w:ascii="仿宋_GB2312" w:hAnsi="宋体" w:eastAsia="仿宋_GB2312" w:cs="宋体"/>
          <w:color w:val="000000"/>
          <w:kern w:val="0"/>
          <w:sz w:val="32"/>
          <w:szCs w:val="32"/>
        </w:rPr>
        <w:t>0.1</w:t>
      </w:r>
      <w:r>
        <w:rPr>
          <w:rFonts w:hint="eastAsia" w:ascii="仿宋_GB2312" w:hAnsi="宋体" w:eastAsia="仿宋_GB2312" w:cs="宋体"/>
          <w:color w:val="000000"/>
          <w:kern w:val="0"/>
          <w:sz w:val="32"/>
          <w:szCs w:val="32"/>
        </w:rPr>
        <w:t>万元，主要是认真贯彻落实中央八项规定精神和厉行节约要求，从严控制“三公”经费开支，全年实际支出比预算有所节约。具体情况如下：</w:t>
      </w:r>
    </w:p>
    <w:p w14:paraId="45055604">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（一）因公出国（境）费支出</w:t>
      </w:r>
      <w:r>
        <w:rPr>
          <w:rFonts w:ascii="仿宋_GB2312" w:hAnsi="宋体" w:eastAsia="仿宋_GB2312" w:cs="宋体"/>
          <w:color w:val="000000"/>
          <w:kern w:val="0"/>
          <w:sz w:val="32"/>
          <w:szCs w:val="32"/>
        </w:rPr>
        <w:t>0</w:t>
      </w:r>
      <w:r>
        <w:rPr>
          <w:rFonts w:hint="eastAsia" w:ascii="仿宋_GB2312" w:hAnsi="宋体" w:eastAsia="仿宋_GB2312" w:cs="宋体"/>
          <w:color w:val="000000"/>
          <w:kern w:val="0"/>
          <w:sz w:val="32"/>
          <w:szCs w:val="32"/>
        </w:rPr>
        <w:t>万元。</w:t>
      </w:r>
    </w:p>
    <w:p w14:paraId="116EC2BF">
      <w:pPr>
        <w:widowControl/>
        <w:ind w:left="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（二）公务用车购置及运行维护费支出</w:t>
      </w:r>
      <w:r>
        <w:rPr>
          <w:rFonts w:ascii="仿宋_GB2312" w:hAnsi="宋体" w:eastAsia="仿宋_GB2312" w:cs="宋体"/>
          <w:color w:val="000000"/>
          <w:kern w:val="0"/>
          <w:sz w:val="32"/>
          <w:szCs w:val="32"/>
        </w:rPr>
        <w:t>2.19</w:t>
      </w:r>
      <w:r>
        <w:rPr>
          <w:rFonts w:hint="eastAsia" w:ascii="仿宋_GB2312" w:hAnsi="宋体" w:eastAsia="仿宋_GB2312" w:cs="宋体"/>
          <w:color w:val="000000"/>
          <w:kern w:val="0"/>
          <w:sz w:val="32"/>
          <w:szCs w:val="32"/>
        </w:rPr>
        <w:t>万元。人社局</w:t>
      </w: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年度公务用车购置及运行维护费较年</w:t>
      </w:r>
    </w:p>
    <w:p w14:paraId="50D3FBC1">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预算减少</w:t>
      </w:r>
      <w:r>
        <w:rPr>
          <w:rFonts w:ascii="仿宋_GB2312" w:hAnsi="宋体" w:eastAsia="仿宋_GB2312" w:cs="宋体"/>
          <w:color w:val="000000"/>
          <w:kern w:val="0"/>
          <w:sz w:val="32"/>
          <w:szCs w:val="32"/>
        </w:rPr>
        <w:t>0.1</w:t>
      </w:r>
      <w:r>
        <w:rPr>
          <w:rFonts w:hint="eastAsia" w:ascii="仿宋_GB2312" w:hAnsi="宋体" w:eastAsia="仿宋_GB2312" w:cs="宋体"/>
          <w:color w:val="000000"/>
          <w:kern w:val="0"/>
          <w:sz w:val="32"/>
          <w:szCs w:val="32"/>
        </w:rPr>
        <w:t>万元，降低</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，主要是贯彻落实中央八项规定精神和厉行节约要求，从严控制“三公”经费开支。其中：</w:t>
      </w:r>
    </w:p>
    <w:p w14:paraId="767BEFA5">
      <w:pPr>
        <w:widowControl/>
        <w:ind w:firstLine="6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公务用车购置费：未发生公务用车购置。</w:t>
      </w:r>
    </w:p>
    <w:p w14:paraId="0BC565A2">
      <w:pPr>
        <w:widowControl/>
        <w:ind w:firstLine="600"/>
        <w:jc w:val="left"/>
        <w:rPr>
          <w:rFonts w:ascii="仿宋_GB2312" w:hAnsi="微软雅黑" w:eastAsia="仿宋_GB2312" w:cs="宋体"/>
          <w:color w:val="000000"/>
          <w:kern w:val="0"/>
          <w:sz w:val="32"/>
          <w:szCs w:val="32"/>
        </w:rPr>
      </w:pPr>
      <w:r>
        <w:rPr>
          <w:rFonts w:hint="eastAsia" w:ascii="仿宋_GB2312" w:hAnsi="微软雅黑" w:eastAsia="仿宋_GB2312" w:cs="DengXian-Regular"/>
          <w:sz w:val="32"/>
          <w:szCs w:val="32"/>
        </w:rPr>
        <w:t>公务用车运行维护费：人社局</w:t>
      </w:r>
      <w:r>
        <w:rPr>
          <w:rFonts w:ascii="仿宋_GB2312" w:hAnsi="微软雅黑" w:eastAsia="仿宋_GB2312" w:cs="DengXian-Regular"/>
          <w:sz w:val="32"/>
          <w:szCs w:val="32"/>
        </w:rPr>
        <w:t>2018</w:t>
      </w:r>
      <w:r>
        <w:rPr>
          <w:rFonts w:hint="eastAsia" w:ascii="仿宋_GB2312" w:hAnsi="微软雅黑" w:eastAsia="仿宋_GB2312" w:cs="DengXian-Regular"/>
          <w:sz w:val="32"/>
          <w:szCs w:val="32"/>
        </w:rPr>
        <w:t>年度单位公务用车保有量</w:t>
      </w:r>
      <w:r>
        <w:rPr>
          <w:rFonts w:ascii="仿宋_GB2312" w:hAnsi="微软雅黑" w:eastAsia="仿宋_GB2312" w:cs="DengXian-Regular"/>
          <w:sz w:val="32"/>
          <w:szCs w:val="32"/>
        </w:rPr>
        <w:t>1</w:t>
      </w:r>
      <w:r>
        <w:rPr>
          <w:rFonts w:hint="eastAsia" w:ascii="仿宋_GB2312" w:hAnsi="微软雅黑" w:eastAsia="仿宋_GB2312" w:cs="DengXian-Regular"/>
          <w:sz w:val="32"/>
          <w:szCs w:val="32"/>
        </w:rPr>
        <w:t>辆。公务运行维护费支出较年初预算减少</w:t>
      </w:r>
      <w:r>
        <w:rPr>
          <w:rFonts w:ascii="仿宋_GB2312" w:hAnsi="微软雅黑" w:eastAsia="仿宋_GB2312" w:cs="DengXian-Regular"/>
          <w:sz w:val="32"/>
          <w:szCs w:val="32"/>
        </w:rPr>
        <w:t>0.1</w:t>
      </w:r>
      <w:r>
        <w:rPr>
          <w:rFonts w:hint="eastAsia" w:ascii="仿宋_GB2312" w:hAnsi="微软雅黑" w:eastAsia="仿宋_GB2312" w:cs="DengXian-Regular"/>
          <w:sz w:val="32"/>
          <w:szCs w:val="32"/>
        </w:rPr>
        <w:t>万元，主要是</w:t>
      </w:r>
      <w:r>
        <w:rPr>
          <w:rFonts w:hint="eastAsia" w:ascii="仿宋_GB2312" w:hAnsi="微软雅黑" w:eastAsia="仿宋_GB2312" w:cs="DengXian-Regular"/>
          <w:sz w:val="32"/>
          <w:szCs w:val="32"/>
          <w:lang w:val="en-US" w:eastAsia="zh-CN"/>
        </w:rPr>
        <w:t>贯</w:t>
      </w:r>
      <w:r>
        <w:rPr>
          <w:rFonts w:hint="eastAsia" w:ascii="仿宋_GB2312" w:hAnsi="微软雅黑" w:eastAsia="仿宋_GB2312" w:cs="宋体"/>
          <w:color w:val="000000"/>
          <w:kern w:val="0"/>
          <w:sz w:val="32"/>
          <w:szCs w:val="32"/>
        </w:rPr>
        <w:t>彻落实中央八项规定精神和厉行节约要求，从严控制“三公”经费开支。</w:t>
      </w:r>
    </w:p>
    <w:p w14:paraId="777DE252">
      <w:pPr>
        <w:widowControl/>
        <w:ind w:firstLine="6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（三）公务接待费支出</w:t>
      </w:r>
      <w:r>
        <w:rPr>
          <w:rFonts w:ascii="仿宋_GB2312" w:hAnsi="微软雅黑" w:eastAsia="仿宋_GB2312" w:cs="宋体"/>
          <w:color w:val="000000"/>
          <w:kern w:val="0"/>
          <w:sz w:val="32"/>
          <w:szCs w:val="32"/>
        </w:rPr>
        <w:t>0</w:t>
      </w:r>
      <w:r>
        <w:rPr>
          <w:rFonts w:hint="eastAsia" w:ascii="仿宋_GB2312" w:hAnsi="微软雅黑" w:eastAsia="仿宋_GB2312" w:cs="宋体"/>
          <w:color w:val="000000"/>
          <w:kern w:val="0"/>
          <w:sz w:val="32"/>
          <w:szCs w:val="32"/>
        </w:rPr>
        <w:t>万元。未发生公务接待活动。</w:t>
      </w:r>
    </w:p>
    <w:p w14:paraId="0CDE1D26">
      <w:pPr>
        <w:pStyle w:val="6"/>
        <w:spacing w:before="11" w:line="600" w:lineRule="exact"/>
        <w:ind w:firstLine="640" w:firstLineChars="200"/>
        <w:rPr>
          <w:rFonts w:ascii="黑体" w:eastAsia="黑体"/>
        </w:rPr>
      </w:pPr>
      <w:r>
        <w:rPr>
          <w:rFonts w:hint="eastAsia" w:ascii="黑体" w:eastAsia="黑体"/>
        </w:rPr>
        <w:t>六、预算绩效情况说明</w:t>
      </w:r>
    </w:p>
    <w:p w14:paraId="6AC8CF30">
      <w:pPr>
        <w:pStyle w:val="2"/>
        <w:tabs>
          <w:tab w:val="left" w:pos="2092"/>
        </w:tabs>
        <w:spacing w:before="171" w:line="600" w:lineRule="exact"/>
        <w:ind w:firstLine="643" w:firstLineChars="200"/>
        <w:rPr>
          <w:rFonts w:ascii="楷体_GB2312" w:eastAsia="楷体_GB2312"/>
          <w:sz w:val="32"/>
          <w:szCs w:val="32"/>
        </w:rPr>
      </w:pPr>
      <w:r>
        <w:rPr>
          <w:rFonts w:ascii="楷体_GB2312" w:eastAsia="楷体_GB2312"/>
          <w:sz w:val="32"/>
          <w:szCs w:val="32"/>
        </w:rPr>
        <w:t>1.</w:t>
      </w:r>
      <w:r>
        <w:rPr>
          <w:rFonts w:hint="eastAsia" w:ascii="楷体_GB2312" w:eastAsia="楷体_GB2312"/>
          <w:sz w:val="32"/>
          <w:szCs w:val="32"/>
        </w:rPr>
        <w:t>预算绩效管理工作开展情况。</w:t>
      </w:r>
    </w:p>
    <w:p w14:paraId="3D1CCB24">
      <w:pPr>
        <w:pStyle w:val="6"/>
        <w:spacing w:before="169" w:line="600" w:lineRule="exact"/>
        <w:ind w:right="-7" w:firstLine="780" w:firstLineChars="250"/>
        <w:rPr>
          <w:rFonts w:ascii="仿宋_GB2312" w:hAnsi="微软雅黑" w:eastAsia="仿宋_GB2312"/>
        </w:rPr>
      </w:pPr>
      <w:r>
        <w:rPr>
          <w:rFonts w:hint="eastAsia" w:ascii="仿宋_GB2312" w:hAnsi="微软雅黑" w:eastAsia="仿宋_GB2312"/>
          <w:spacing w:val="-4"/>
        </w:rPr>
        <w:t>根据预算绩效管理要求，本部门组织对</w:t>
      </w:r>
      <w:r>
        <w:rPr>
          <w:rFonts w:ascii="仿宋_GB2312" w:hAnsi="微软雅黑" w:eastAsia="仿宋_GB2312"/>
          <w:spacing w:val="-4"/>
        </w:rPr>
        <w:t xml:space="preserve"> </w:t>
      </w:r>
      <w:r>
        <w:rPr>
          <w:rFonts w:ascii="仿宋_GB2312" w:hAnsi="微软雅黑" w:eastAsia="仿宋_GB2312"/>
        </w:rPr>
        <w:t>2018</w:t>
      </w:r>
      <w:r>
        <w:rPr>
          <w:rFonts w:ascii="仿宋_GB2312" w:hAnsi="微软雅黑" w:eastAsia="仿宋_GB2312"/>
          <w:spacing w:val="-12"/>
        </w:rPr>
        <w:t xml:space="preserve"> </w:t>
      </w:r>
      <w:r>
        <w:rPr>
          <w:rFonts w:hint="eastAsia" w:ascii="仿宋_GB2312" w:hAnsi="微软雅黑" w:eastAsia="仿宋_GB2312"/>
          <w:spacing w:val="-12"/>
        </w:rPr>
        <w:t>年度一般公共</w:t>
      </w:r>
      <w:r>
        <w:rPr>
          <w:rFonts w:hint="eastAsia" w:ascii="仿宋_GB2312" w:hAnsi="微软雅黑" w:eastAsia="仿宋_GB2312"/>
          <w:spacing w:val="-8"/>
        </w:rPr>
        <w:t>预算项目支出开展绩效自评，其中一级项目</w:t>
      </w:r>
      <w:r>
        <w:rPr>
          <w:rFonts w:ascii="仿宋_GB2312" w:hAnsi="微软雅黑" w:eastAsia="仿宋_GB2312"/>
          <w:spacing w:val="-8"/>
        </w:rPr>
        <w:t>1</w:t>
      </w:r>
      <w:r>
        <w:rPr>
          <w:rFonts w:hint="eastAsia" w:ascii="仿宋_GB2312" w:hAnsi="微软雅黑" w:eastAsia="仿宋_GB2312"/>
          <w:spacing w:val="-8"/>
        </w:rPr>
        <w:t>个，共涉及资金</w:t>
      </w:r>
      <w:r>
        <w:rPr>
          <w:rFonts w:ascii="仿宋_GB2312" w:hAnsi="微软雅黑" w:eastAsia="仿宋_GB2312"/>
          <w:spacing w:val="-8"/>
          <w:lang w:val="en-US"/>
        </w:rPr>
        <w:t>22.55</w:t>
      </w:r>
      <w:r>
        <w:rPr>
          <w:rFonts w:hint="eastAsia" w:ascii="仿宋_GB2312" w:hAnsi="微软雅黑" w:eastAsia="仿宋_GB2312"/>
          <w:spacing w:val="-4"/>
        </w:rPr>
        <w:t>万元，占一般公共预算项目支出总额</w:t>
      </w:r>
      <w:r>
        <w:rPr>
          <w:rFonts w:hint="eastAsia" w:ascii="仿宋_GB2312" w:hAnsi="微软雅黑" w:eastAsia="仿宋_GB2312"/>
          <w:spacing w:val="-48"/>
        </w:rPr>
        <w:t>的</w:t>
      </w:r>
      <w:r>
        <w:rPr>
          <w:rFonts w:ascii="仿宋_GB2312" w:hAnsi="微软雅黑" w:eastAsia="仿宋_GB2312"/>
          <w:spacing w:val="-48"/>
        </w:rPr>
        <w:t xml:space="preserve"> </w:t>
      </w:r>
      <w:r>
        <w:rPr>
          <w:rFonts w:ascii="仿宋_GB2312" w:hAnsi="微软雅黑" w:eastAsia="仿宋_GB2312"/>
          <w:spacing w:val="-3"/>
          <w:lang w:val="en-US"/>
        </w:rPr>
        <w:t>5.5</w:t>
      </w:r>
      <w:r>
        <w:rPr>
          <w:rFonts w:ascii="仿宋_GB2312" w:hAnsi="微软雅黑" w:eastAsia="仿宋_GB2312"/>
          <w:spacing w:val="-3"/>
        </w:rPr>
        <w:t>%</w:t>
      </w:r>
      <w:r>
        <w:rPr>
          <w:rFonts w:hint="eastAsia" w:ascii="仿宋_GB2312" w:hAnsi="微软雅黑" w:eastAsia="仿宋_GB2312"/>
          <w:spacing w:val="-3"/>
        </w:rPr>
        <w:t>，本单位无政府性基金预算项目。组织对“</w:t>
      </w:r>
      <w:r>
        <w:rPr>
          <w:rFonts w:hint="eastAsia" w:ascii="仿宋_GB2312" w:hAnsi="微软雅黑" w:eastAsia="仿宋_GB2312"/>
          <w:color w:val="000000"/>
        </w:rPr>
        <w:t>普惠金融发展创业担保贷款贴息项目</w:t>
      </w:r>
      <w:r>
        <w:rPr>
          <w:rFonts w:hint="eastAsia" w:ascii="仿宋_GB2312" w:hAnsi="微软雅黑" w:eastAsia="仿宋_GB2312"/>
          <w:spacing w:val="-7"/>
        </w:rPr>
        <w:t>”</w:t>
      </w:r>
      <w:r>
        <w:rPr>
          <w:rFonts w:hint="eastAsia" w:ascii="仿宋_GB2312" w:hAnsi="微软雅黑" w:eastAsia="仿宋_GB2312"/>
          <w:spacing w:val="-7"/>
          <w:lang w:val="en-US"/>
        </w:rPr>
        <w:t>一</w:t>
      </w:r>
      <w:r>
        <w:rPr>
          <w:rFonts w:hint="eastAsia" w:ascii="仿宋_GB2312" w:hAnsi="微软雅黑" w:eastAsia="仿宋_GB2312"/>
          <w:spacing w:val="-9"/>
        </w:rPr>
        <w:t>个项目开展了部门评</w:t>
      </w:r>
      <w:r>
        <w:rPr>
          <w:rFonts w:hint="eastAsia" w:ascii="仿宋_GB2312" w:hAnsi="微软雅黑" w:eastAsia="仿宋_GB2312"/>
          <w:spacing w:val="-14"/>
        </w:rPr>
        <w:t>价，涉及一般公共预算支出</w:t>
      </w:r>
      <w:r>
        <w:rPr>
          <w:rFonts w:ascii="仿宋_GB2312" w:hAnsi="微软雅黑" w:eastAsia="仿宋_GB2312"/>
          <w:spacing w:val="-14"/>
          <w:lang w:val="en-US"/>
        </w:rPr>
        <w:t xml:space="preserve"> 22.55 </w:t>
      </w:r>
      <w:r>
        <w:rPr>
          <w:rFonts w:hint="eastAsia" w:ascii="仿宋_GB2312" w:hAnsi="微软雅黑" w:eastAsia="仿宋_GB2312"/>
          <w:spacing w:val="-15"/>
        </w:rPr>
        <w:t>万元。从评价情况来看，达到</w:t>
      </w:r>
      <w:r>
        <w:rPr>
          <w:rFonts w:hint="eastAsia" w:ascii="仿宋_GB2312" w:hAnsi="微软雅黑" w:eastAsia="仿宋_GB2312"/>
        </w:rPr>
        <w:t>了年初设定的绩效目标。</w:t>
      </w:r>
    </w:p>
    <w:p w14:paraId="34151F25">
      <w:pPr>
        <w:pStyle w:val="6"/>
        <w:spacing w:before="171" w:line="600" w:lineRule="exact"/>
        <w:ind w:right="-112" w:firstLine="640" w:firstLineChars="200"/>
        <w:jc w:val="both"/>
        <w:rPr>
          <w:rFonts w:ascii="仿宋_GB2312" w:hAnsi="微软雅黑" w:eastAsia="仿宋_GB2312"/>
        </w:rPr>
      </w:pPr>
      <w:r>
        <w:rPr>
          <w:rFonts w:hint="eastAsia" w:ascii="仿宋_GB2312" w:hAnsi="微软雅黑" w:eastAsia="仿宋_GB2312" w:cs="仿宋_GB2312"/>
          <w:bCs/>
        </w:rPr>
        <w:t>根据中国人民银行邯郸市中心支行、邯郸市财政局、邯郸市人力资源和社会保障局关于印发《邯郸市创业担保贷款实施办法》的通知（邯银发【</w:t>
      </w:r>
      <w:r>
        <w:rPr>
          <w:rFonts w:ascii="仿宋_GB2312" w:hAnsi="微软雅黑" w:eastAsia="仿宋_GB2312" w:cs="仿宋_GB2312"/>
          <w:bCs/>
        </w:rPr>
        <w:t>2017</w:t>
      </w:r>
      <w:r>
        <w:rPr>
          <w:rFonts w:hint="eastAsia" w:ascii="仿宋_GB2312" w:hAnsi="微软雅黑" w:eastAsia="仿宋_GB2312" w:cs="仿宋_GB2312"/>
          <w:bCs/>
        </w:rPr>
        <w:t>】</w:t>
      </w:r>
      <w:r>
        <w:rPr>
          <w:rFonts w:ascii="仿宋_GB2312" w:hAnsi="微软雅黑" w:eastAsia="仿宋_GB2312" w:cs="仿宋_GB2312"/>
          <w:bCs/>
        </w:rPr>
        <w:t>106</w:t>
      </w:r>
      <w:r>
        <w:rPr>
          <w:rFonts w:hint="eastAsia" w:ascii="仿宋_GB2312" w:hAnsi="微软雅黑" w:eastAsia="仿宋_GB2312" w:cs="仿宋_GB2312"/>
          <w:bCs/>
        </w:rPr>
        <w:t>号），</w:t>
      </w:r>
      <w:r>
        <w:rPr>
          <w:rFonts w:hint="eastAsia" w:ascii="仿宋_GB2312" w:hAnsi="微软雅黑" w:eastAsia="仿宋_GB2312" w:cs="仿宋_GB2312"/>
          <w:bCs/>
          <w:lang w:val="en-US"/>
        </w:rPr>
        <w:t>结合我县实际支出情况，拟发放贷款</w:t>
      </w:r>
      <w:r>
        <w:rPr>
          <w:rFonts w:ascii="仿宋_GB2312" w:hAnsi="微软雅黑" w:eastAsia="仿宋_GB2312" w:cs="仿宋_GB2312"/>
          <w:bCs/>
          <w:lang w:val="en-US"/>
        </w:rPr>
        <w:t>800</w:t>
      </w:r>
      <w:r>
        <w:rPr>
          <w:rFonts w:hint="eastAsia" w:ascii="仿宋_GB2312" w:hAnsi="微软雅黑" w:eastAsia="仿宋_GB2312" w:cs="仿宋_GB2312"/>
          <w:bCs/>
          <w:lang w:val="en-US"/>
        </w:rPr>
        <w:t>万元，专项用于大学生、下岗职工等创业贷款进行贴息，</w:t>
      </w:r>
      <w:r>
        <w:rPr>
          <w:rFonts w:hint="eastAsia" w:ascii="仿宋_GB2312" w:hAnsi="微软雅黑" w:eastAsia="仿宋_GB2312" w:cs="仿宋_GB2312"/>
          <w:bCs/>
        </w:rPr>
        <w:t>实现创业担保贷款业务精准管理、精准统计和精准查询，提高管理效率</w:t>
      </w:r>
      <w:r>
        <w:rPr>
          <w:rFonts w:hint="eastAsia" w:ascii="仿宋_GB2312" w:hAnsi="微软雅黑" w:eastAsia="仿宋_GB2312"/>
          <w:spacing w:val="-13"/>
        </w:rPr>
        <w:t>。</w:t>
      </w:r>
    </w:p>
    <w:p w14:paraId="583A8E11">
      <w:pPr>
        <w:pStyle w:val="2"/>
        <w:tabs>
          <w:tab w:val="left" w:pos="2191"/>
        </w:tabs>
        <w:spacing w:before="14" w:line="600" w:lineRule="exact"/>
        <w:ind w:firstLine="643" w:firstLineChars="200"/>
        <w:rPr>
          <w:rFonts w:ascii="楷体_GB2312" w:eastAsia="楷体_GB2312"/>
          <w:sz w:val="32"/>
          <w:szCs w:val="32"/>
        </w:rPr>
      </w:pPr>
      <w:r>
        <w:rPr>
          <w:rFonts w:ascii="楷体_GB2312" w:eastAsia="楷体_GB2312"/>
          <w:sz w:val="32"/>
          <w:szCs w:val="32"/>
        </w:rPr>
        <w:t>2.</w:t>
      </w:r>
      <w:r>
        <w:rPr>
          <w:rFonts w:hint="eastAsia" w:ascii="楷体_GB2312" w:eastAsia="楷体_GB2312"/>
          <w:sz w:val="32"/>
          <w:szCs w:val="32"/>
        </w:rPr>
        <w:t>部门决算中项目绩效自评结果。</w:t>
      </w:r>
    </w:p>
    <w:p w14:paraId="783F0ECD">
      <w:pPr>
        <w:pStyle w:val="6"/>
        <w:spacing w:before="168" w:line="600" w:lineRule="exact"/>
        <w:ind w:right="98" w:firstLine="640" w:firstLineChars="200"/>
        <w:rPr>
          <w:rFonts w:ascii="仿宋_GB2312" w:eastAsia="仿宋_GB2312"/>
        </w:rPr>
      </w:pPr>
      <w:r>
        <w:rPr>
          <w:rFonts w:hint="eastAsia" w:ascii="仿宋_GB2312" w:eastAsia="仿宋_GB2312"/>
        </w:rPr>
        <w:t>本部门在今年部门决算公开中反映“</w:t>
      </w:r>
      <w:r>
        <w:rPr>
          <w:rFonts w:hint="eastAsia" w:ascii="仿宋_GB2312" w:eastAsia="仿宋_GB2312"/>
          <w:color w:val="000000"/>
        </w:rPr>
        <w:t>普惠金融发展创业担保贷款贴息项目</w:t>
      </w:r>
      <w:r>
        <w:rPr>
          <w:rFonts w:hint="eastAsia" w:ascii="仿宋_GB2312" w:eastAsia="仿宋_GB2312"/>
        </w:rPr>
        <w:t>”</w:t>
      </w:r>
      <w:r>
        <w:rPr>
          <w:rFonts w:hint="eastAsia" w:ascii="仿宋_GB2312" w:eastAsia="仿宋_GB2312"/>
          <w:lang w:val="en-US"/>
        </w:rPr>
        <w:t>一</w:t>
      </w:r>
      <w:r>
        <w:rPr>
          <w:rFonts w:hint="eastAsia" w:ascii="仿宋_GB2312" w:eastAsia="仿宋_GB2312"/>
        </w:rPr>
        <w:t>个项目绩效自评结果。</w:t>
      </w:r>
    </w:p>
    <w:p w14:paraId="40A03479">
      <w:pPr>
        <w:pStyle w:val="6"/>
        <w:spacing w:line="600" w:lineRule="exact"/>
        <w:ind w:right="203" w:firstLine="314" w:firstLineChars="100"/>
        <w:rPr>
          <w:rFonts w:ascii="仿宋_GB2312" w:eastAsia="仿宋_GB2312"/>
          <w:spacing w:val="-18"/>
        </w:rPr>
      </w:pPr>
      <w:r>
        <w:rPr>
          <w:rFonts w:hint="eastAsia" w:ascii="仿宋_GB2312" w:eastAsia="仿宋_GB2312"/>
          <w:spacing w:val="-3"/>
        </w:rPr>
        <w:t>“</w:t>
      </w:r>
      <w:r>
        <w:rPr>
          <w:rFonts w:hint="eastAsia" w:ascii="仿宋_GB2312" w:eastAsia="仿宋_GB2312"/>
          <w:color w:val="000000"/>
        </w:rPr>
        <w:t>普惠金融发展创业担保贷款贴息项目</w:t>
      </w:r>
      <w:r>
        <w:rPr>
          <w:rFonts w:hint="eastAsia" w:ascii="仿宋_GB2312" w:eastAsia="仿宋_GB2312"/>
          <w:spacing w:val="-7"/>
        </w:rPr>
        <w:t>”</w:t>
      </w:r>
      <w:r>
        <w:rPr>
          <w:rFonts w:hint="eastAsia" w:ascii="仿宋_GB2312" w:eastAsia="仿宋_GB2312"/>
          <w:spacing w:val="-9"/>
        </w:rPr>
        <w:t>自评综述：根据年初设定的绩效</w:t>
      </w:r>
      <w:r>
        <w:rPr>
          <w:rFonts w:hint="eastAsia" w:ascii="仿宋_GB2312" w:eastAsia="仿宋_GB2312"/>
          <w:spacing w:val="-11"/>
        </w:rPr>
        <w:t>目标，</w:t>
      </w:r>
      <w:r>
        <w:rPr>
          <w:rFonts w:hint="eastAsia" w:ascii="仿宋_GB2312" w:eastAsia="仿宋_GB2312"/>
          <w:spacing w:val="-3"/>
        </w:rPr>
        <w:t>“</w:t>
      </w:r>
      <w:r>
        <w:rPr>
          <w:rFonts w:hint="eastAsia" w:ascii="仿宋_GB2312" w:eastAsia="仿宋_GB2312"/>
          <w:spacing w:val="-3"/>
          <w:lang w:val="en-US"/>
        </w:rPr>
        <w:t>就业创业担保贷款贴息</w:t>
      </w:r>
      <w:r>
        <w:rPr>
          <w:rFonts w:hint="eastAsia" w:ascii="仿宋_GB2312" w:eastAsia="仿宋_GB2312"/>
          <w:spacing w:val="-7"/>
        </w:rPr>
        <w:t>经费”</w:t>
      </w:r>
      <w:r>
        <w:rPr>
          <w:rFonts w:hint="eastAsia" w:ascii="仿宋_GB2312" w:eastAsia="仿宋_GB2312"/>
          <w:spacing w:val="-11"/>
        </w:rPr>
        <w:t>项目绩效自评得分为</w:t>
      </w:r>
      <w:r>
        <w:rPr>
          <w:rFonts w:ascii="仿宋_GB2312" w:eastAsia="仿宋_GB2312"/>
          <w:spacing w:val="-11"/>
        </w:rPr>
        <w:t xml:space="preserve"> </w:t>
      </w:r>
      <w:r>
        <w:rPr>
          <w:rFonts w:ascii="仿宋_GB2312" w:eastAsia="仿宋_GB2312"/>
          <w:lang w:val="en-US"/>
        </w:rPr>
        <w:t>96</w:t>
      </w:r>
      <w:r>
        <w:rPr>
          <w:rFonts w:ascii="仿宋_GB2312" w:eastAsia="仿宋_GB2312"/>
          <w:spacing w:val="-37"/>
        </w:rPr>
        <w:t xml:space="preserve"> </w:t>
      </w:r>
      <w:r>
        <w:rPr>
          <w:rFonts w:hint="eastAsia" w:ascii="仿宋_GB2312" w:eastAsia="仿宋_GB2312"/>
          <w:spacing w:val="-37"/>
        </w:rPr>
        <w:t>分</w:t>
      </w:r>
      <w:r>
        <w:rPr>
          <w:rFonts w:hint="eastAsia" w:ascii="仿宋_GB2312" w:eastAsia="仿宋_GB2312"/>
        </w:rPr>
        <w:t>（详见绩效自评表</w:t>
      </w:r>
      <w:r>
        <w:rPr>
          <w:rFonts w:hint="eastAsia" w:ascii="仿宋_GB2312" w:eastAsia="仿宋_GB2312"/>
          <w:spacing w:val="-27"/>
        </w:rPr>
        <w:t>）</w:t>
      </w:r>
      <w:r>
        <w:rPr>
          <w:rFonts w:hint="eastAsia" w:ascii="仿宋_GB2312" w:eastAsia="仿宋_GB2312"/>
          <w:spacing w:val="-16"/>
        </w:rPr>
        <w:t>。全年预算数为</w:t>
      </w:r>
      <w:r>
        <w:rPr>
          <w:rFonts w:ascii="仿宋_GB2312" w:eastAsia="仿宋_GB2312"/>
          <w:spacing w:val="-16"/>
          <w:lang w:val="en-US"/>
        </w:rPr>
        <w:t>22.55</w:t>
      </w:r>
      <w:r>
        <w:rPr>
          <w:rFonts w:ascii="仿宋_GB2312" w:eastAsia="仿宋_GB2312"/>
          <w:spacing w:val="-24"/>
        </w:rPr>
        <w:t xml:space="preserve"> </w:t>
      </w:r>
      <w:r>
        <w:rPr>
          <w:rFonts w:hint="eastAsia" w:ascii="仿宋_GB2312" w:eastAsia="仿宋_GB2312"/>
          <w:spacing w:val="-24"/>
        </w:rPr>
        <w:t>万元，执行数为</w:t>
      </w:r>
      <w:r>
        <w:rPr>
          <w:rFonts w:ascii="仿宋_GB2312" w:eastAsia="仿宋_GB2312"/>
          <w:spacing w:val="-24"/>
          <w:lang w:val="en-US"/>
        </w:rPr>
        <w:t>22.55</w:t>
      </w:r>
      <w:r>
        <w:rPr>
          <w:rFonts w:ascii="仿宋_GB2312" w:eastAsia="仿宋_GB2312"/>
          <w:spacing w:val="-24"/>
        </w:rPr>
        <w:t xml:space="preserve"> </w:t>
      </w:r>
      <w:r>
        <w:rPr>
          <w:rFonts w:hint="eastAsia" w:ascii="仿宋_GB2312" w:eastAsia="仿宋_GB2312"/>
          <w:spacing w:val="-24"/>
        </w:rPr>
        <w:t>万元，完</w:t>
      </w:r>
      <w:r>
        <w:rPr>
          <w:rFonts w:hint="eastAsia" w:ascii="仿宋_GB2312" w:eastAsia="仿宋_GB2312"/>
          <w:spacing w:val="-18"/>
        </w:rPr>
        <w:t>成预算</w:t>
      </w:r>
      <w:r>
        <w:rPr>
          <w:rFonts w:ascii="仿宋_GB2312" w:eastAsia="仿宋_GB2312"/>
          <w:spacing w:val="-18"/>
        </w:rPr>
        <w:t xml:space="preserve"> </w:t>
      </w:r>
      <w:r>
        <w:rPr>
          <w:rFonts w:ascii="仿宋_GB2312" w:eastAsia="仿宋_GB2312"/>
        </w:rPr>
        <w:t>100</w:t>
      </w:r>
      <w:r>
        <w:rPr>
          <w:rFonts w:ascii="仿宋_GB2312" w:eastAsia="仿宋_GB2312"/>
          <w:spacing w:val="2"/>
        </w:rPr>
        <w:t>%</w:t>
      </w:r>
      <w:r>
        <w:rPr>
          <w:rFonts w:hint="eastAsia" w:ascii="仿宋_GB2312" w:eastAsia="仿宋_GB2312"/>
          <w:spacing w:val="2"/>
        </w:rPr>
        <w:t>。项目绩效目标完成情况</w:t>
      </w:r>
      <w:r>
        <w:rPr>
          <w:rFonts w:ascii="仿宋_GB2312" w:eastAsia="仿宋_GB2312"/>
          <w:spacing w:val="2"/>
        </w:rPr>
        <w:t xml:space="preserve"> </w:t>
      </w:r>
      <w:r>
        <w:rPr>
          <w:rFonts w:hint="eastAsia" w:ascii="仿宋_GB2312" w:eastAsia="仿宋_GB2312"/>
          <w:spacing w:val="2"/>
        </w:rPr>
        <w:t>：</w:t>
      </w:r>
      <w:r>
        <w:rPr>
          <w:rFonts w:hint="eastAsia" w:ascii="仿宋_GB2312" w:eastAsia="仿宋_GB2312"/>
          <w:spacing w:val="4"/>
        </w:rPr>
        <w:t>一是发放创业担保贷款</w:t>
      </w:r>
      <w:r>
        <w:rPr>
          <w:rFonts w:ascii="仿宋_GB2312" w:eastAsia="仿宋_GB2312"/>
          <w:spacing w:val="4"/>
        </w:rPr>
        <w:t>800</w:t>
      </w:r>
      <w:r>
        <w:rPr>
          <w:rFonts w:hint="eastAsia" w:ascii="仿宋_GB2312" w:eastAsia="仿宋_GB2312"/>
          <w:spacing w:val="4"/>
        </w:rPr>
        <w:t>万元，发放贷款</w:t>
      </w:r>
      <w:r>
        <w:rPr>
          <w:rFonts w:ascii="仿宋_GB2312" w:eastAsia="仿宋_GB2312"/>
          <w:spacing w:val="4"/>
        </w:rPr>
        <w:t>60</w:t>
      </w:r>
      <w:r>
        <w:rPr>
          <w:rFonts w:hint="eastAsia" w:ascii="仿宋_GB2312" w:eastAsia="仿宋_GB2312"/>
          <w:spacing w:val="4"/>
        </w:rPr>
        <w:t>笔，创业担保贷款贴息到位。</w:t>
      </w:r>
      <w:r>
        <w:rPr>
          <w:rFonts w:hint="eastAsia" w:ascii="仿宋_GB2312" w:eastAsia="仿宋_GB2312"/>
          <w:spacing w:val="4"/>
          <w:lang w:val="en-US"/>
        </w:rPr>
        <w:t>二是实现创业担保贷款业务精准管理、精准统计和精准查询。三是通过创业担保贷款发放，提高就业率，解决创业资金难问题。</w:t>
      </w:r>
      <w:r>
        <w:rPr>
          <w:rFonts w:ascii="仿宋_GB2312" w:eastAsia="仿宋_GB2312"/>
          <w:spacing w:val="-18"/>
          <w:w w:val="95"/>
        </w:rPr>
        <w:t xml:space="preserve"> </w:t>
      </w:r>
      <w:r>
        <w:rPr>
          <w:rFonts w:hint="eastAsia" w:ascii="仿宋_GB2312" w:eastAsia="仿宋_GB2312"/>
          <w:spacing w:val="-18"/>
        </w:rPr>
        <w:t>建议：调整满意度调查的形式。</w:t>
      </w:r>
    </w:p>
    <w:p w14:paraId="2883EA1F">
      <w:pPr>
        <w:widowControl/>
        <w:spacing w:line="600" w:lineRule="exact"/>
        <w:ind w:firstLine="600"/>
        <w:jc w:val="left"/>
        <w:rPr>
          <w:rFonts w:ascii="仿宋_GB2312" w:hAnsi="微软雅黑" w:eastAsia="仿宋_GB2312" w:cs="DengXian-Regular"/>
          <w:sz w:val="32"/>
          <w:szCs w:val="32"/>
        </w:rPr>
      </w:pPr>
      <w:r>
        <w:rPr>
          <w:rFonts w:hint="eastAsia" w:ascii="仿宋_GB2312" w:hAnsi="微软雅黑" w:eastAsia="仿宋_GB2312"/>
          <w:spacing w:val="-18"/>
          <w:sz w:val="32"/>
          <w:szCs w:val="32"/>
        </w:rPr>
        <w:t>绩效自评表如下：</w:t>
      </w:r>
    </w:p>
    <w:p w14:paraId="7BE08A97">
      <w:pPr>
        <w:pStyle w:val="35"/>
        <w:rPr>
          <w:color w:val="000000"/>
        </w:rPr>
      </w:pPr>
      <w:r>
        <w:rPr>
          <w:rFonts w:hint="eastAsia"/>
          <w:color w:val="000000"/>
        </w:rPr>
        <w:t>普惠金融发展创业担保贷款贴息项目支出绩效自评表</w:t>
      </w:r>
    </w:p>
    <w:p w14:paraId="3A9963CE">
      <w:pPr>
        <w:pStyle w:val="6"/>
        <w:ind w:left="968"/>
        <w:rPr>
          <w:rFonts w:ascii="Times New Roman"/>
          <w:sz w:val="20"/>
        </w:rPr>
      </w:pPr>
    </w:p>
    <w:tbl>
      <w:tblPr>
        <w:tblStyle w:val="13"/>
        <w:tblW w:w="10310" w:type="dxa"/>
        <w:jc w:val="center"/>
        <w:tblLayout w:type="fixed"/>
        <w:tblCellMar>
          <w:top w:w="0" w:type="dxa"/>
          <w:left w:w="10" w:type="dxa"/>
          <w:bottom w:w="0" w:type="dxa"/>
          <w:right w:w="10" w:type="dxa"/>
        </w:tblCellMar>
      </w:tblPr>
      <w:tblGrid>
        <w:gridCol w:w="978"/>
        <w:gridCol w:w="978"/>
        <w:gridCol w:w="978"/>
        <w:gridCol w:w="978"/>
        <w:gridCol w:w="1195"/>
        <w:gridCol w:w="2106"/>
        <w:gridCol w:w="2119"/>
        <w:gridCol w:w="978"/>
      </w:tblGrid>
      <w:tr w14:paraId="23A24E27">
        <w:tblPrEx>
          <w:tblCellMar>
            <w:top w:w="0" w:type="dxa"/>
            <w:left w:w="10" w:type="dxa"/>
            <w:bottom w:w="0" w:type="dxa"/>
            <w:right w:w="10" w:type="dxa"/>
          </w:tblCellMar>
        </w:tblPrEx>
        <w:trPr>
          <w:trHeight w:val="285" w:hRule="exact"/>
          <w:jc w:val="center"/>
        </w:trPr>
        <w:tc>
          <w:tcPr>
            <w:tcW w:w="978" w:type="dxa"/>
            <w:tcBorders>
              <w:top w:val="single" w:color="auto" w:sz="4" w:space="0"/>
              <w:left w:val="single" w:color="auto" w:sz="4" w:space="0"/>
            </w:tcBorders>
            <w:shd w:val="clear" w:color="auto" w:fill="FFFFFF"/>
            <w:vAlign w:val="bottom"/>
          </w:tcPr>
          <w:p w14:paraId="576C1D0E">
            <w:pPr>
              <w:pStyle w:val="36"/>
            </w:pPr>
            <w:r>
              <w:rPr>
                <w:rFonts w:hint="eastAsia"/>
                <w:color w:val="000000"/>
              </w:rPr>
              <w:t>一级指标</w:t>
            </w:r>
          </w:p>
        </w:tc>
        <w:tc>
          <w:tcPr>
            <w:tcW w:w="978" w:type="dxa"/>
            <w:tcBorders>
              <w:top w:val="single" w:color="auto" w:sz="4" w:space="0"/>
              <w:left w:val="single" w:color="auto" w:sz="4" w:space="0"/>
            </w:tcBorders>
            <w:shd w:val="clear" w:color="auto" w:fill="FFFFFF"/>
            <w:vAlign w:val="bottom"/>
          </w:tcPr>
          <w:p w14:paraId="1902EDAD">
            <w:pPr>
              <w:pStyle w:val="36"/>
              <w:jc w:val="center"/>
            </w:pPr>
            <w:r>
              <w:rPr>
                <w:rFonts w:hint="eastAsia"/>
                <w:color w:val="000000"/>
              </w:rPr>
              <w:t>分值</w:t>
            </w:r>
          </w:p>
        </w:tc>
        <w:tc>
          <w:tcPr>
            <w:tcW w:w="978" w:type="dxa"/>
            <w:tcBorders>
              <w:top w:val="single" w:color="auto" w:sz="4" w:space="0"/>
              <w:left w:val="single" w:color="auto" w:sz="4" w:space="0"/>
            </w:tcBorders>
            <w:shd w:val="clear" w:color="auto" w:fill="FFFFFF"/>
            <w:vAlign w:val="bottom"/>
          </w:tcPr>
          <w:p w14:paraId="39121F31">
            <w:pPr>
              <w:pStyle w:val="36"/>
            </w:pPr>
            <w:r>
              <w:rPr>
                <w:rFonts w:hint="eastAsia"/>
                <w:color w:val="000000"/>
              </w:rPr>
              <w:t>二级指标</w:t>
            </w:r>
          </w:p>
        </w:tc>
        <w:tc>
          <w:tcPr>
            <w:tcW w:w="978" w:type="dxa"/>
            <w:tcBorders>
              <w:top w:val="single" w:color="auto" w:sz="4" w:space="0"/>
              <w:left w:val="single" w:color="auto" w:sz="4" w:space="0"/>
            </w:tcBorders>
            <w:shd w:val="clear" w:color="auto" w:fill="FFFFFF"/>
            <w:vAlign w:val="bottom"/>
          </w:tcPr>
          <w:p w14:paraId="601FCEB8">
            <w:pPr>
              <w:pStyle w:val="36"/>
              <w:jc w:val="center"/>
            </w:pPr>
            <w:r>
              <w:rPr>
                <w:rFonts w:hint="eastAsia"/>
                <w:color w:val="000000"/>
              </w:rPr>
              <w:t>分值</w:t>
            </w:r>
          </w:p>
        </w:tc>
        <w:tc>
          <w:tcPr>
            <w:tcW w:w="1195" w:type="dxa"/>
            <w:tcBorders>
              <w:top w:val="single" w:color="auto" w:sz="4" w:space="0"/>
              <w:left w:val="single" w:color="auto" w:sz="4" w:space="0"/>
            </w:tcBorders>
            <w:shd w:val="clear" w:color="auto" w:fill="FFFFFF"/>
            <w:vAlign w:val="bottom"/>
          </w:tcPr>
          <w:p w14:paraId="17534D1E">
            <w:pPr>
              <w:pStyle w:val="36"/>
              <w:ind w:firstLine="200"/>
            </w:pPr>
            <w:r>
              <w:rPr>
                <w:rFonts w:hint="eastAsia"/>
                <w:color w:val="000000"/>
              </w:rPr>
              <w:t>三缀指标</w:t>
            </w:r>
          </w:p>
        </w:tc>
        <w:tc>
          <w:tcPr>
            <w:tcW w:w="2106" w:type="dxa"/>
            <w:tcBorders>
              <w:top w:val="single" w:color="auto" w:sz="4" w:space="0"/>
              <w:left w:val="single" w:color="auto" w:sz="4" w:space="0"/>
            </w:tcBorders>
            <w:shd w:val="clear" w:color="auto" w:fill="FFFFFF"/>
            <w:vAlign w:val="bottom"/>
          </w:tcPr>
          <w:p w14:paraId="7545DAF6">
            <w:pPr>
              <w:pStyle w:val="36"/>
              <w:jc w:val="center"/>
            </w:pPr>
            <w:r>
              <w:rPr>
                <w:rFonts w:hint="eastAsia"/>
                <w:color w:val="000000"/>
              </w:rPr>
              <w:t>指标解韓</w:t>
            </w:r>
          </w:p>
        </w:tc>
        <w:tc>
          <w:tcPr>
            <w:tcW w:w="2119" w:type="dxa"/>
            <w:tcBorders>
              <w:top w:val="single" w:color="auto" w:sz="4" w:space="0"/>
              <w:left w:val="single" w:color="auto" w:sz="4" w:space="0"/>
            </w:tcBorders>
            <w:shd w:val="clear" w:color="auto" w:fill="FFFFFF"/>
            <w:vAlign w:val="bottom"/>
          </w:tcPr>
          <w:p w14:paraId="77A36A82">
            <w:pPr>
              <w:pStyle w:val="36"/>
              <w:jc w:val="center"/>
            </w:pPr>
            <w:r>
              <w:rPr>
                <w:rFonts w:hint="eastAsia"/>
                <w:color w:val="000000"/>
              </w:rPr>
              <w:t>评价标准</w:t>
            </w:r>
          </w:p>
        </w:tc>
        <w:tc>
          <w:tcPr>
            <w:tcW w:w="978" w:type="dxa"/>
            <w:tcBorders>
              <w:top w:val="single" w:color="auto" w:sz="4" w:space="0"/>
              <w:left w:val="single" w:color="auto" w:sz="4" w:space="0"/>
              <w:right w:val="single" w:color="auto" w:sz="4" w:space="0"/>
            </w:tcBorders>
            <w:shd w:val="clear" w:color="auto" w:fill="FFFFFF"/>
            <w:vAlign w:val="bottom"/>
          </w:tcPr>
          <w:p w14:paraId="0F5FD2BC">
            <w:pPr>
              <w:pStyle w:val="36"/>
              <w:ind w:right="320"/>
              <w:jc w:val="right"/>
            </w:pPr>
            <w:r>
              <w:rPr>
                <w:rFonts w:hint="eastAsia"/>
                <w:color w:val="000000"/>
              </w:rPr>
              <w:t>得分</w:t>
            </w:r>
          </w:p>
        </w:tc>
      </w:tr>
      <w:tr w14:paraId="246C1717">
        <w:tblPrEx>
          <w:tblCellMar>
            <w:top w:w="0" w:type="dxa"/>
            <w:left w:w="10" w:type="dxa"/>
            <w:bottom w:w="0" w:type="dxa"/>
            <w:right w:w="10" w:type="dxa"/>
          </w:tblCellMar>
        </w:tblPrEx>
        <w:trPr>
          <w:trHeight w:val="408" w:hRule="exact"/>
          <w:jc w:val="center"/>
        </w:trPr>
        <w:tc>
          <w:tcPr>
            <w:tcW w:w="978" w:type="dxa"/>
            <w:vMerge w:val="restart"/>
            <w:tcBorders>
              <w:top w:val="single" w:color="auto" w:sz="4" w:space="0"/>
              <w:left w:val="single" w:color="auto" w:sz="4" w:space="0"/>
            </w:tcBorders>
            <w:shd w:val="clear" w:color="auto" w:fill="FFFFFF"/>
            <w:vAlign w:val="center"/>
          </w:tcPr>
          <w:p w14:paraId="43A00CE9">
            <w:pPr>
              <w:pStyle w:val="36"/>
            </w:pPr>
            <w:r>
              <w:rPr>
                <w:rFonts w:hint="eastAsia"/>
                <w:color w:val="000000"/>
              </w:rPr>
              <w:t>项目决策</w:t>
            </w:r>
          </w:p>
        </w:tc>
        <w:tc>
          <w:tcPr>
            <w:tcW w:w="978" w:type="dxa"/>
            <w:vMerge w:val="restart"/>
            <w:tcBorders>
              <w:top w:val="single" w:color="auto" w:sz="4" w:space="0"/>
              <w:left w:val="single" w:color="auto" w:sz="4" w:space="0"/>
            </w:tcBorders>
            <w:shd w:val="clear" w:color="auto" w:fill="FFFFFF"/>
            <w:vAlign w:val="center"/>
          </w:tcPr>
          <w:p w14:paraId="55EC7787">
            <w:pPr>
              <w:pStyle w:val="36"/>
              <w:ind w:firstLine="380"/>
            </w:pPr>
            <w:r>
              <w:rPr>
                <w:rFonts w:ascii="Times New Roman" w:hAnsi="Times New Roman" w:cs="Times New Roman"/>
                <w:color w:val="000000"/>
              </w:rPr>
              <w:t>20</w:t>
            </w:r>
          </w:p>
        </w:tc>
        <w:tc>
          <w:tcPr>
            <w:tcW w:w="978" w:type="dxa"/>
            <w:tcBorders>
              <w:top w:val="single" w:color="auto" w:sz="4" w:space="0"/>
              <w:left w:val="single" w:color="auto" w:sz="4" w:space="0"/>
            </w:tcBorders>
            <w:shd w:val="clear" w:color="auto" w:fill="FFFFFF"/>
            <w:vAlign w:val="bottom"/>
          </w:tcPr>
          <w:p w14:paraId="506F764C">
            <w:pPr>
              <w:pStyle w:val="36"/>
            </w:pPr>
            <w:r>
              <w:rPr>
                <w:rFonts w:hint="eastAsia"/>
                <w:color w:val="000000"/>
              </w:rPr>
              <w:t>项目目标</w:t>
            </w:r>
          </w:p>
        </w:tc>
        <w:tc>
          <w:tcPr>
            <w:tcW w:w="978" w:type="dxa"/>
            <w:tcBorders>
              <w:top w:val="single" w:color="auto" w:sz="4" w:space="0"/>
              <w:left w:val="single" w:color="auto" w:sz="4" w:space="0"/>
            </w:tcBorders>
            <w:shd w:val="clear" w:color="auto" w:fill="FFFFFF"/>
            <w:vAlign w:val="bottom"/>
          </w:tcPr>
          <w:p w14:paraId="652663CF">
            <w:pPr>
              <w:pStyle w:val="36"/>
              <w:jc w:val="center"/>
            </w:pPr>
            <w:r>
              <w:rPr>
                <w:rFonts w:ascii="Times New Roman" w:hAnsi="Times New Roman" w:cs="Times New Roman"/>
                <w:color w:val="000000"/>
              </w:rPr>
              <w:t>10</w:t>
            </w:r>
          </w:p>
        </w:tc>
        <w:tc>
          <w:tcPr>
            <w:tcW w:w="1195" w:type="dxa"/>
            <w:tcBorders>
              <w:top w:val="single" w:color="auto" w:sz="4" w:space="0"/>
              <w:left w:val="single" w:color="auto" w:sz="4" w:space="0"/>
            </w:tcBorders>
            <w:shd w:val="clear" w:color="auto" w:fill="FFFFFF"/>
            <w:vAlign w:val="bottom"/>
          </w:tcPr>
          <w:p w14:paraId="22F3BA5E">
            <w:pPr>
              <w:pStyle w:val="36"/>
              <w:ind w:firstLine="200"/>
            </w:pPr>
            <w:r>
              <w:rPr>
                <w:rFonts w:hint="eastAsia"/>
                <w:color w:val="000000"/>
              </w:rPr>
              <w:t>目标内容</w:t>
            </w:r>
          </w:p>
        </w:tc>
        <w:tc>
          <w:tcPr>
            <w:tcW w:w="2106" w:type="dxa"/>
            <w:tcBorders>
              <w:top w:val="single" w:color="auto" w:sz="4" w:space="0"/>
              <w:left w:val="single" w:color="auto" w:sz="4" w:space="0"/>
            </w:tcBorders>
            <w:shd w:val="clear" w:color="auto" w:fill="FFFFFF"/>
          </w:tcPr>
          <w:p w14:paraId="0A028AA9">
            <w:pPr>
              <w:pStyle w:val="36"/>
              <w:spacing w:line="204" w:lineRule="exact"/>
              <w:jc w:val="both"/>
            </w:pPr>
            <w:r>
              <w:rPr>
                <w:rFonts w:hint="eastAsia"/>
                <w:color w:val="000000"/>
              </w:rPr>
              <w:t>目标是否明确，是否符合法</w:t>
            </w:r>
            <w:r>
              <w:rPr>
                <w:color w:val="000000"/>
              </w:rPr>
              <w:t xml:space="preserve"> </w:t>
            </w:r>
            <w:r>
              <w:rPr>
                <w:rFonts w:hint="eastAsia"/>
                <w:color w:val="000000"/>
              </w:rPr>
              <w:t>定要求</w:t>
            </w:r>
          </w:p>
        </w:tc>
        <w:tc>
          <w:tcPr>
            <w:tcW w:w="2119" w:type="dxa"/>
            <w:tcBorders>
              <w:top w:val="single" w:color="auto" w:sz="4" w:space="0"/>
              <w:left w:val="single" w:color="auto" w:sz="4" w:space="0"/>
            </w:tcBorders>
            <w:shd w:val="clear" w:color="auto" w:fill="FFFFFF"/>
          </w:tcPr>
          <w:p w14:paraId="41299337">
            <w:pPr>
              <w:pStyle w:val="36"/>
              <w:spacing w:line="204" w:lineRule="exact"/>
              <w:jc w:val="both"/>
            </w:pPr>
            <w:r>
              <w:rPr>
                <w:rFonts w:hint="eastAsia"/>
                <w:color w:val="000000"/>
              </w:rPr>
              <w:t>目标明确（</w:t>
            </w:r>
            <w:r>
              <w:rPr>
                <w:rFonts w:ascii="Times New Roman" w:hAnsi="Times New Roman" w:cs="Times New Roman"/>
                <w:color w:val="000000"/>
              </w:rPr>
              <w:t>5</w:t>
            </w:r>
            <w:r>
              <w:rPr>
                <w:rFonts w:hint="eastAsia"/>
                <w:color w:val="000000"/>
              </w:rPr>
              <w:t>分），目标符合</w:t>
            </w:r>
            <w:r>
              <w:rPr>
                <w:color w:val="000000"/>
              </w:rPr>
              <w:t xml:space="preserve"> </w:t>
            </w:r>
            <w:r>
              <w:rPr>
                <w:rFonts w:hint="eastAsia"/>
                <w:color w:val="000000"/>
              </w:rPr>
              <w:t>法定要求（</w:t>
            </w:r>
            <w:r>
              <w:rPr>
                <w:rFonts w:ascii="Times New Roman" w:hAnsi="Times New Roman" w:cs="Times New Roman"/>
                <w:color w:val="000000"/>
              </w:rPr>
              <w:t>5</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36B52E17">
            <w:pPr>
              <w:pStyle w:val="36"/>
              <w:jc w:val="right"/>
            </w:pPr>
            <w:r>
              <w:rPr>
                <w:rFonts w:ascii="Times New Roman" w:hAnsi="Times New Roman" w:cs="Times New Roman"/>
                <w:color w:val="000000"/>
              </w:rPr>
              <w:t>10</w:t>
            </w:r>
          </w:p>
        </w:tc>
      </w:tr>
      <w:tr w14:paraId="09544844">
        <w:tblPrEx>
          <w:tblCellMar>
            <w:top w:w="0" w:type="dxa"/>
            <w:left w:w="10" w:type="dxa"/>
            <w:bottom w:w="0" w:type="dxa"/>
            <w:right w:w="10" w:type="dxa"/>
          </w:tblCellMar>
        </w:tblPrEx>
        <w:trPr>
          <w:trHeight w:val="421" w:hRule="exact"/>
          <w:jc w:val="center"/>
        </w:trPr>
        <w:tc>
          <w:tcPr>
            <w:tcW w:w="978" w:type="dxa"/>
            <w:vMerge w:val="continue"/>
            <w:tcBorders>
              <w:left w:val="single" w:color="auto" w:sz="4" w:space="0"/>
            </w:tcBorders>
            <w:shd w:val="clear" w:color="auto" w:fill="FFFFFF"/>
            <w:vAlign w:val="center"/>
          </w:tcPr>
          <w:p w14:paraId="0E792E63"/>
        </w:tc>
        <w:tc>
          <w:tcPr>
            <w:tcW w:w="978" w:type="dxa"/>
            <w:vMerge w:val="continue"/>
            <w:tcBorders>
              <w:left w:val="single" w:color="auto" w:sz="4" w:space="0"/>
            </w:tcBorders>
            <w:shd w:val="clear" w:color="auto" w:fill="FFFFFF"/>
            <w:vAlign w:val="center"/>
          </w:tcPr>
          <w:p w14:paraId="30FDAF7B"/>
        </w:tc>
        <w:tc>
          <w:tcPr>
            <w:tcW w:w="978" w:type="dxa"/>
            <w:vMerge w:val="restart"/>
            <w:tcBorders>
              <w:top w:val="single" w:color="auto" w:sz="4" w:space="0"/>
              <w:left w:val="single" w:color="auto" w:sz="4" w:space="0"/>
            </w:tcBorders>
            <w:shd w:val="clear" w:color="auto" w:fill="FFFFFF"/>
            <w:vAlign w:val="center"/>
          </w:tcPr>
          <w:p w14:paraId="2244268F">
            <w:pPr>
              <w:pStyle w:val="36"/>
            </w:pPr>
            <w:r>
              <w:rPr>
                <w:rFonts w:hint="eastAsia"/>
                <w:color w:val="000000"/>
              </w:rPr>
              <w:t>决策过程</w:t>
            </w:r>
          </w:p>
        </w:tc>
        <w:tc>
          <w:tcPr>
            <w:tcW w:w="978" w:type="dxa"/>
            <w:vMerge w:val="restart"/>
            <w:tcBorders>
              <w:top w:val="single" w:color="auto" w:sz="4" w:space="0"/>
              <w:left w:val="single" w:color="auto" w:sz="4" w:space="0"/>
            </w:tcBorders>
            <w:shd w:val="clear" w:color="auto" w:fill="FFFFFF"/>
            <w:vAlign w:val="center"/>
          </w:tcPr>
          <w:p w14:paraId="1B98E23E">
            <w:pPr>
              <w:pStyle w:val="36"/>
              <w:jc w:val="center"/>
            </w:pPr>
            <w:r>
              <w:rPr>
                <w:rFonts w:ascii="Times New Roman" w:hAnsi="Times New Roman" w:cs="Times New Roman"/>
                <w:color w:val="000000"/>
              </w:rPr>
              <w:t>10</w:t>
            </w:r>
          </w:p>
        </w:tc>
        <w:tc>
          <w:tcPr>
            <w:tcW w:w="1195" w:type="dxa"/>
            <w:tcBorders>
              <w:top w:val="single" w:color="auto" w:sz="4" w:space="0"/>
              <w:left w:val="single" w:color="auto" w:sz="4" w:space="0"/>
            </w:tcBorders>
            <w:shd w:val="clear" w:color="auto" w:fill="FFFFFF"/>
            <w:vAlign w:val="bottom"/>
          </w:tcPr>
          <w:p w14:paraId="0F9AA99B">
            <w:pPr>
              <w:pStyle w:val="36"/>
              <w:ind w:firstLine="200"/>
            </w:pPr>
            <w:r>
              <w:rPr>
                <w:rFonts w:hint="eastAsia"/>
                <w:color w:val="000000"/>
              </w:rPr>
              <w:t>决策依据</w:t>
            </w:r>
          </w:p>
        </w:tc>
        <w:tc>
          <w:tcPr>
            <w:tcW w:w="2106" w:type="dxa"/>
            <w:tcBorders>
              <w:top w:val="single" w:color="auto" w:sz="4" w:space="0"/>
              <w:left w:val="single" w:color="auto" w:sz="4" w:space="0"/>
            </w:tcBorders>
            <w:shd w:val="clear" w:color="auto" w:fill="FFFFFF"/>
          </w:tcPr>
          <w:p w14:paraId="6FF53F4B">
            <w:pPr>
              <w:pStyle w:val="36"/>
              <w:spacing w:line="204" w:lineRule="exact"/>
              <w:jc w:val="both"/>
            </w:pPr>
            <w:r>
              <w:rPr>
                <w:rFonts w:hint="eastAsia"/>
                <w:color w:val="000000"/>
              </w:rPr>
              <w:t>项目是否符合经济社会发展</w:t>
            </w:r>
            <w:r>
              <w:rPr>
                <w:color w:val="000000"/>
              </w:rPr>
              <w:t xml:space="preserve"> </w:t>
            </w:r>
            <w:r>
              <w:rPr>
                <w:rFonts w:hint="eastAsia"/>
                <w:color w:val="000000"/>
              </w:rPr>
              <w:t>规划和部门年度</w:t>
            </w:r>
            <w:r>
              <w:rPr>
                <w:rFonts w:ascii="Times New Roman" w:hAnsi="Times New Roman" w:cs="Times New Roman"/>
                <w:color w:val="000000"/>
                <w:lang w:val="en-US" w:eastAsia="en-US"/>
              </w:rPr>
              <w:t>T</w:t>
            </w:r>
            <w:r>
              <w:rPr>
                <w:rFonts w:hint="eastAsia"/>
                <w:color w:val="000000"/>
              </w:rPr>
              <w:t>作计划</w:t>
            </w:r>
          </w:p>
        </w:tc>
        <w:tc>
          <w:tcPr>
            <w:tcW w:w="2119" w:type="dxa"/>
            <w:tcBorders>
              <w:top w:val="single" w:color="auto" w:sz="4" w:space="0"/>
              <w:left w:val="single" w:color="auto" w:sz="4" w:space="0"/>
            </w:tcBorders>
            <w:shd w:val="clear" w:color="auto" w:fill="FFFFFF"/>
          </w:tcPr>
          <w:p w14:paraId="7358D342">
            <w:pPr>
              <w:pStyle w:val="36"/>
              <w:spacing w:line="190" w:lineRule="exact"/>
              <w:jc w:val="both"/>
            </w:pPr>
            <w:r>
              <w:rPr>
                <w:rFonts w:hint="eastAsia"/>
                <w:color w:val="000000"/>
              </w:rPr>
              <w:t>项目符合经济社会发展规划</w:t>
            </w:r>
            <w:r>
              <w:rPr>
                <w:color w:val="000000"/>
              </w:rPr>
              <w:t xml:space="preserve"> </w:t>
            </w:r>
            <w:r>
              <w:rPr>
                <w:rFonts w:hint="eastAsia"/>
                <w:color w:val="000000"/>
              </w:rPr>
              <w:t>和部门年度</w:t>
            </w:r>
            <w:r>
              <w:rPr>
                <w:rFonts w:ascii="Times New Roman" w:hAnsi="Times New Roman" w:cs="Times New Roman"/>
                <w:color w:val="000000"/>
                <w:lang w:val="en-US" w:eastAsia="en-US"/>
              </w:rPr>
              <w:t>T</w:t>
            </w:r>
            <w:r>
              <w:rPr>
                <w:rFonts w:hint="eastAsia"/>
                <w:color w:val="000000"/>
              </w:rPr>
              <w:t>作计划（</w:t>
            </w:r>
            <w:r>
              <w:rPr>
                <w:rFonts w:ascii="Times New Roman" w:hAnsi="Times New Roman" w:cs="Times New Roman"/>
                <w:color w:val="000000"/>
              </w:rPr>
              <w:t>5</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752D533F">
            <w:pPr>
              <w:pStyle w:val="36"/>
              <w:jc w:val="right"/>
            </w:pPr>
            <w:r>
              <w:rPr>
                <w:rFonts w:ascii="Times New Roman" w:hAnsi="Times New Roman" w:cs="Times New Roman"/>
                <w:color w:val="000000"/>
              </w:rPr>
              <w:t>5</w:t>
            </w:r>
          </w:p>
        </w:tc>
      </w:tr>
      <w:tr w14:paraId="73F54741">
        <w:tblPrEx>
          <w:tblCellMar>
            <w:top w:w="0" w:type="dxa"/>
            <w:left w:w="10" w:type="dxa"/>
            <w:bottom w:w="0" w:type="dxa"/>
            <w:right w:w="10" w:type="dxa"/>
          </w:tblCellMar>
        </w:tblPrEx>
        <w:trPr>
          <w:trHeight w:val="638" w:hRule="exact"/>
          <w:jc w:val="center"/>
        </w:trPr>
        <w:tc>
          <w:tcPr>
            <w:tcW w:w="978" w:type="dxa"/>
            <w:vMerge w:val="continue"/>
            <w:tcBorders>
              <w:left w:val="single" w:color="auto" w:sz="4" w:space="0"/>
            </w:tcBorders>
            <w:shd w:val="clear" w:color="auto" w:fill="FFFFFF"/>
            <w:vAlign w:val="center"/>
          </w:tcPr>
          <w:p w14:paraId="0DEC4EF2"/>
        </w:tc>
        <w:tc>
          <w:tcPr>
            <w:tcW w:w="978" w:type="dxa"/>
            <w:vMerge w:val="continue"/>
            <w:tcBorders>
              <w:left w:val="single" w:color="auto" w:sz="4" w:space="0"/>
            </w:tcBorders>
            <w:shd w:val="clear" w:color="auto" w:fill="FFFFFF"/>
            <w:vAlign w:val="center"/>
          </w:tcPr>
          <w:p w14:paraId="29208678"/>
        </w:tc>
        <w:tc>
          <w:tcPr>
            <w:tcW w:w="978" w:type="dxa"/>
            <w:vMerge w:val="continue"/>
            <w:tcBorders>
              <w:left w:val="single" w:color="auto" w:sz="4" w:space="0"/>
            </w:tcBorders>
            <w:shd w:val="clear" w:color="auto" w:fill="FFFFFF"/>
            <w:vAlign w:val="center"/>
          </w:tcPr>
          <w:p w14:paraId="4243310C"/>
        </w:tc>
        <w:tc>
          <w:tcPr>
            <w:tcW w:w="978" w:type="dxa"/>
            <w:vMerge w:val="continue"/>
            <w:tcBorders>
              <w:left w:val="single" w:color="auto" w:sz="4" w:space="0"/>
            </w:tcBorders>
            <w:shd w:val="clear" w:color="auto" w:fill="FFFFFF"/>
            <w:vAlign w:val="center"/>
          </w:tcPr>
          <w:p w14:paraId="19A3DD63"/>
        </w:tc>
        <w:tc>
          <w:tcPr>
            <w:tcW w:w="1195" w:type="dxa"/>
            <w:tcBorders>
              <w:top w:val="single" w:color="auto" w:sz="4" w:space="0"/>
              <w:left w:val="single" w:color="auto" w:sz="4" w:space="0"/>
            </w:tcBorders>
            <w:shd w:val="clear" w:color="auto" w:fill="FFFFFF"/>
            <w:vAlign w:val="center"/>
          </w:tcPr>
          <w:p w14:paraId="66593F7D">
            <w:pPr>
              <w:pStyle w:val="36"/>
              <w:ind w:firstLine="200"/>
            </w:pPr>
            <w:r>
              <w:rPr>
                <w:rFonts w:hint="eastAsia"/>
                <w:color w:val="000000"/>
              </w:rPr>
              <w:t>决策程序</w:t>
            </w:r>
          </w:p>
        </w:tc>
        <w:tc>
          <w:tcPr>
            <w:tcW w:w="2106" w:type="dxa"/>
            <w:tcBorders>
              <w:top w:val="single" w:color="auto" w:sz="4" w:space="0"/>
              <w:left w:val="single" w:color="auto" w:sz="4" w:space="0"/>
            </w:tcBorders>
            <w:shd w:val="clear" w:color="auto" w:fill="FFFFFF"/>
          </w:tcPr>
          <w:p w14:paraId="4E7585F0">
            <w:pPr>
              <w:pStyle w:val="36"/>
              <w:spacing w:line="210" w:lineRule="exact"/>
              <w:jc w:val="both"/>
            </w:pPr>
            <w:r>
              <w:rPr>
                <w:rFonts w:hint="eastAsia"/>
                <w:color w:val="000000"/>
              </w:rPr>
              <w:t>项目是否符合</w:t>
            </w:r>
            <w:r>
              <w:rPr>
                <w:rFonts w:hint="eastAsia"/>
                <w:color w:val="000000"/>
                <w:lang w:val="en-US" w:eastAsia="zh-CN"/>
              </w:rPr>
              <w:t>申</w:t>
            </w:r>
            <w:r>
              <w:rPr>
                <w:rFonts w:hint="eastAsia"/>
                <w:color w:val="000000"/>
              </w:rPr>
              <w:t>报条件；申</w:t>
            </w:r>
            <w:r>
              <w:rPr>
                <w:color w:val="000000"/>
              </w:rPr>
              <w:t xml:space="preserve"> </w:t>
            </w:r>
            <w:r>
              <w:rPr>
                <w:rFonts w:hint="eastAsia"/>
                <w:color w:val="000000"/>
              </w:rPr>
              <w:t>报、批复程序是否符合相关</w:t>
            </w:r>
            <w:r>
              <w:rPr>
                <w:color w:val="000000"/>
              </w:rPr>
              <w:t xml:space="preserve"> </w:t>
            </w:r>
            <w:r>
              <w:rPr>
                <w:rFonts w:hint="eastAsia"/>
                <w:color w:val="000000"/>
              </w:rPr>
              <w:t>管理办法</w:t>
            </w:r>
          </w:p>
        </w:tc>
        <w:tc>
          <w:tcPr>
            <w:tcW w:w="2119" w:type="dxa"/>
            <w:tcBorders>
              <w:top w:val="single" w:color="auto" w:sz="4" w:space="0"/>
              <w:left w:val="single" w:color="auto" w:sz="4" w:space="0"/>
            </w:tcBorders>
            <w:shd w:val="clear" w:color="auto" w:fill="FFFFFF"/>
          </w:tcPr>
          <w:p w14:paraId="711DCD2E">
            <w:pPr>
              <w:pStyle w:val="36"/>
              <w:spacing w:line="204" w:lineRule="exact"/>
              <w:jc w:val="both"/>
            </w:pPr>
            <w:r>
              <w:rPr>
                <w:rFonts w:hint="eastAsia"/>
                <w:color w:val="000000"/>
              </w:rPr>
              <w:t>项目符合</w:t>
            </w:r>
            <w:r>
              <w:rPr>
                <w:rFonts w:hint="eastAsia"/>
                <w:color w:val="000000"/>
                <w:lang w:val="en-US" w:eastAsia="zh-CN"/>
              </w:rPr>
              <w:t>申</w:t>
            </w:r>
            <w:r>
              <w:rPr>
                <w:rFonts w:hint="eastAsia"/>
                <w:color w:val="000000"/>
              </w:rPr>
              <w:t>报条件（</w:t>
            </w:r>
            <w:r>
              <w:rPr>
                <w:rFonts w:ascii="Times New Roman" w:hAnsi="Times New Roman" w:cs="Times New Roman"/>
                <w:color w:val="000000"/>
              </w:rPr>
              <w:t>2</w:t>
            </w:r>
            <w:r>
              <w:rPr>
                <w:rFonts w:hint="eastAsia"/>
                <w:color w:val="000000"/>
              </w:rPr>
              <w:t>分），</w:t>
            </w:r>
            <w:r>
              <w:rPr>
                <w:color w:val="000000"/>
              </w:rPr>
              <w:t xml:space="preserve"> </w:t>
            </w:r>
            <w:r>
              <w:rPr>
                <w:rFonts w:hint="eastAsia"/>
                <w:color w:val="000000"/>
              </w:rPr>
              <w:t>申报、批复程序符合相关管</w:t>
            </w:r>
            <w:r>
              <w:rPr>
                <w:color w:val="000000"/>
              </w:rPr>
              <w:t xml:space="preserve"> </w:t>
            </w:r>
            <w:r>
              <w:rPr>
                <w:rFonts w:hint="eastAsia"/>
                <w:color w:val="000000"/>
              </w:rPr>
              <w:t>理办法（</w:t>
            </w:r>
            <w:r>
              <w:rPr>
                <w:rFonts w:ascii="Times New Roman" w:hAnsi="Times New Roman" w:cs="Times New Roman"/>
                <w:color w:val="000000"/>
              </w:rPr>
              <w:t>3</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7F63D7FE">
            <w:pPr>
              <w:pStyle w:val="36"/>
              <w:jc w:val="right"/>
            </w:pPr>
            <w:r>
              <w:rPr>
                <w:rFonts w:ascii="Times New Roman" w:hAnsi="Times New Roman" w:cs="Times New Roman"/>
                <w:color w:val="000000"/>
              </w:rPr>
              <w:t>5</w:t>
            </w:r>
          </w:p>
        </w:tc>
      </w:tr>
      <w:tr w14:paraId="4970F4B9">
        <w:tblPrEx>
          <w:tblCellMar>
            <w:top w:w="0" w:type="dxa"/>
            <w:left w:w="10" w:type="dxa"/>
            <w:bottom w:w="0" w:type="dxa"/>
            <w:right w:w="10" w:type="dxa"/>
          </w:tblCellMar>
        </w:tblPrEx>
        <w:trPr>
          <w:trHeight w:val="421" w:hRule="exact"/>
          <w:jc w:val="center"/>
        </w:trPr>
        <w:tc>
          <w:tcPr>
            <w:tcW w:w="978" w:type="dxa"/>
            <w:vMerge w:val="restart"/>
            <w:tcBorders>
              <w:top w:val="single" w:color="auto" w:sz="4" w:space="0"/>
              <w:left w:val="single" w:color="auto" w:sz="4" w:space="0"/>
            </w:tcBorders>
            <w:shd w:val="clear" w:color="auto" w:fill="FFFFFF"/>
            <w:vAlign w:val="center"/>
          </w:tcPr>
          <w:p w14:paraId="02C2ED9A">
            <w:pPr>
              <w:pStyle w:val="36"/>
            </w:pPr>
            <w:r>
              <w:rPr>
                <w:rFonts w:hint="eastAsia"/>
                <w:color w:val="000000"/>
              </w:rPr>
              <w:t>项目管理</w:t>
            </w:r>
          </w:p>
        </w:tc>
        <w:tc>
          <w:tcPr>
            <w:tcW w:w="978" w:type="dxa"/>
            <w:vMerge w:val="restart"/>
            <w:tcBorders>
              <w:top w:val="single" w:color="auto" w:sz="4" w:space="0"/>
              <w:left w:val="single" w:color="auto" w:sz="4" w:space="0"/>
            </w:tcBorders>
            <w:shd w:val="clear" w:color="auto" w:fill="FFFFFF"/>
            <w:vAlign w:val="center"/>
          </w:tcPr>
          <w:p w14:paraId="4CBD7E9F">
            <w:pPr>
              <w:pStyle w:val="36"/>
              <w:ind w:firstLine="380"/>
            </w:pPr>
            <w:r>
              <w:rPr>
                <w:rFonts w:ascii="Times New Roman" w:hAnsi="Times New Roman" w:cs="Times New Roman"/>
                <w:color w:val="000000"/>
              </w:rPr>
              <w:t>25</w:t>
            </w:r>
          </w:p>
        </w:tc>
        <w:tc>
          <w:tcPr>
            <w:tcW w:w="978" w:type="dxa"/>
            <w:vMerge w:val="restart"/>
            <w:tcBorders>
              <w:top w:val="single" w:color="auto" w:sz="4" w:space="0"/>
              <w:left w:val="single" w:color="auto" w:sz="4" w:space="0"/>
            </w:tcBorders>
            <w:shd w:val="clear" w:color="auto" w:fill="FFFFFF"/>
            <w:vAlign w:val="center"/>
          </w:tcPr>
          <w:p w14:paraId="16EF7341">
            <w:pPr>
              <w:pStyle w:val="36"/>
            </w:pPr>
            <w:r>
              <w:rPr>
                <w:rFonts w:hint="eastAsia"/>
                <w:color w:val="000000"/>
              </w:rPr>
              <w:t>资金到位</w:t>
            </w:r>
          </w:p>
        </w:tc>
        <w:tc>
          <w:tcPr>
            <w:tcW w:w="978" w:type="dxa"/>
            <w:vMerge w:val="restart"/>
            <w:tcBorders>
              <w:top w:val="single" w:color="auto" w:sz="4" w:space="0"/>
              <w:left w:val="single" w:color="auto" w:sz="4" w:space="0"/>
            </w:tcBorders>
            <w:shd w:val="clear" w:color="auto" w:fill="FFFFFF"/>
            <w:vAlign w:val="center"/>
          </w:tcPr>
          <w:p w14:paraId="61BA593A">
            <w:pPr>
              <w:pStyle w:val="36"/>
              <w:jc w:val="center"/>
            </w:pPr>
            <w:r>
              <w:rPr>
                <w:rFonts w:ascii="Times New Roman" w:hAnsi="Times New Roman" w:cs="Times New Roman"/>
                <w:color w:val="000000"/>
              </w:rPr>
              <w:t>5</w:t>
            </w:r>
          </w:p>
        </w:tc>
        <w:tc>
          <w:tcPr>
            <w:tcW w:w="1195" w:type="dxa"/>
            <w:tcBorders>
              <w:top w:val="single" w:color="auto" w:sz="4" w:space="0"/>
              <w:left w:val="single" w:color="auto" w:sz="4" w:space="0"/>
            </w:tcBorders>
            <w:shd w:val="clear" w:color="auto" w:fill="FFFFFF"/>
            <w:vAlign w:val="bottom"/>
          </w:tcPr>
          <w:p w14:paraId="156B155C">
            <w:pPr>
              <w:pStyle w:val="36"/>
              <w:jc w:val="center"/>
            </w:pPr>
            <w:r>
              <w:rPr>
                <w:rFonts w:hint="eastAsia"/>
                <w:color w:val="000000"/>
              </w:rPr>
              <w:t>到位率</w:t>
            </w:r>
          </w:p>
        </w:tc>
        <w:tc>
          <w:tcPr>
            <w:tcW w:w="2106" w:type="dxa"/>
            <w:tcBorders>
              <w:top w:val="single" w:color="auto" w:sz="4" w:space="0"/>
              <w:left w:val="single" w:color="auto" w:sz="4" w:space="0"/>
            </w:tcBorders>
            <w:shd w:val="clear" w:color="auto" w:fill="FFFFFF"/>
            <w:vAlign w:val="bottom"/>
          </w:tcPr>
          <w:p w14:paraId="1B83FFDD">
            <w:pPr>
              <w:pStyle w:val="36"/>
              <w:jc w:val="both"/>
            </w:pPr>
            <w:r>
              <w:rPr>
                <w:rFonts w:hint="eastAsia"/>
                <w:color w:val="000000"/>
              </w:rPr>
              <w:t>实际到位</w:t>
            </w:r>
            <w:r>
              <w:rPr>
                <w:color w:val="000000"/>
              </w:rPr>
              <w:t>/</w:t>
            </w:r>
            <w:r>
              <w:rPr>
                <w:rFonts w:hint="eastAsia"/>
                <w:color w:val="000000"/>
              </w:rPr>
              <w:t>计划到位</w:t>
            </w:r>
            <w:r>
              <w:rPr>
                <w:rFonts w:hint="eastAsia" w:ascii="Times New Roman" w:hAnsi="Times New Roman" w:cs="Times New Roman"/>
                <w:color w:val="000000"/>
                <w:lang w:val="en-US" w:eastAsia="zh-CN"/>
              </w:rPr>
              <w:t>×</w:t>
            </w:r>
            <w:r>
              <w:rPr>
                <w:rFonts w:ascii="Times New Roman" w:hAnsi="Times New Roman" w:cs="Times New Roman"/>
                <w:color w:val="000000"/>
                <w:lang w:val="en-US" w:eastAsia="en-US"/>
              </w:rPr>
              <w:t>100%</w:t>
            </w:r>
          </w:p>
        </w:tc>
        <w:tc>
          <w:tcPr>
            <w:tcW w:w="2119" w:type="dxa"/>
            <w:tcBorders>
              <w:top w:val="single" w:color="auto" w:sz="4" w:space="0"/>
              <w:left w:val="single" w:color="auto" w:sz="4" w:space="0"/>
            </w:tcBorders>
            <w:shd w:val="clear" w:color="auto" w:fill="FFFFFF"/>
          </w:tcPr>
          <w:p w14:paraId="71D1C5A1">
            <w:pPr>
              <w:pStyle w:val="36"/>
              <w:spacing w:line="190" w:lineRule="exact"/>
              <w:jc w:val="both"/>
            </w:pPr>
            <w:r>
              <w:rPr>
                <w:rFonts w:hint="eastAsia"/>
                <w:color w:val="000000"/>
              </w:rPr>
              <w:t>根据项目实际到位资金占计</w:t>
            </w:r>
            <w:r>
              <w:rPr>
                <w:color w:val="000000"/>
              </w:rPr>
              <w:t xml:space="preserve"> </w:t>
            </w:r>
            <w:r>
              <w:rPr>
                <w:rFonts w:hint="eastAsia"/>
                <w:color w:val="000000"/>
              </w:rPr>
              <w:t>划的比</w:t>
            </w:r>
            <w:r>
              <w:rPr>
                <w:rFonts w:hint="eastAsia"/>
                <w:color w:val="000000"/>
                <w:lang w:val="en-US" w:eastAsia="zh-CN"/>
              </w:rPr>
              <w:t>重</w:t>
            </w:r>
            <w:r>
              <w:rPr>
                <w:rFonts w:hint="eastAsia"/>
                <w:color w:val="000000"/>
              </w:rPr>
              <w:t>计算得分（</w:t>
            </w:r>
            <w:r>
              <w:rPr>
                <w:rFonts w:ascii="Times New Roman" w:hAnsi="Times New Roman" w:cs="Times New Roman"/>
                <w:color w:val="000000"/>
              </w:rPr>
              <w:t>3</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617F186B">
            <w:pPr>
              <w:pStyle w:val="36"/>
              <w:jc w:val="right"/>
            </w:pPr>
            <w:r>
              <w:rPr>
                <w:rFonts w:ascii="Times New Roman" w:hAnsi="Times New Roman" w:cs="Times New Roman"/>
                <w:color w:val="000000"/>
              </w:rPr>
              <w:t>3</w:t>
            </w:r>
          </w:p>
        </w:tc>
      </w:tr>
      <w:tr w14:paraId="09A6B0C3">
        <w:tblPrEx>
          <w:tblCellMar>
            <w:top w:w="0" w:type="dxa"/>
            <w:left w:w="10" w:type="dxa"/>
            <w:bottom w:w="0" w:type="dxa"/>
            <w:right w:w="10" w:type="dxa"/>
          </w:tblCellMar>
        </w:tblPrEx>
        <w:trPr>
          <w:trHeight w:val="829" w:hRule="exact"/>
          <w:jc w:val="center"/>
        </w:trPr>
        <w:tc>
          <w:tcPr>
            <w:tcW w:w="978" w:type="dxa"/>
            <w:vMerge w:val="continue"/>
            <w:tcBorders>
              <w:left w:val="single" w:color="auto" w:sz="4" w:space="0"/>
            </w:tcBorders>
            <w:shd w:val="clear" w:color="auto" w:fill="FFFFFF"/>
            <w:vAlign w:val="center"/>
          </w:tcPr>
          <w:p w14:paraId="2C0A6714"/>
        </w:tc>
        <w:tc>
          <w:tcPr>
            <w:tcW w:w="978" w:type="dxa"/>
            <w:vMerge w:val="continue"/>
            <w:tcBorders>
              <w:left w:val="single" w:color="auto" w:sz="4" w:space="0"/>
            </w:tcBorders>
            <w:shd w:val="clear" w:color="auto" w:fill="FFFFFF"/>
            <w:vAlign w:val="center"/>
          </w:tcPr>
          <w:p w14:paraId="3D760B36"/>
        </w:tc>
        <w:tc>
          <w:tcPr>
            <w:tcW w:w="978" w:type="dxa"/>
            <w:vMerge w:val="continue"/>
            <w:tcBorders>
              <w:left w:val="single" w:color="auto" w:sz="4" w:space="0"/>
            </w:tcBorders>
            <w:shd w:val="clear" w:color="auto" w:fill="FFFFFF"/>
            <w:vAlign w:val="center"/>
          </w:tcPr>
          <w:p w14:paraId="4996B4BA"/>
        </w:tc>
        <w:tc>
          <w:tcPr>
            <w:tcW w:w="978" w:type="dxa"/>
            <w:vMerge w:val="continue"/>
            <w:tcBorders>
              <w:left w:val="single" w:color="auto" w:sz="4" w:space="0"/>
            </w:tcBorders>
            <w:shd w:val="clear" w:color="auto" w:fill="FFFFFF"/>
            <w:vAlign w:val="center"/>
          </w:tcPr>
          <w:p w14:paraId="7707B5C7"/>
        </w:tc>
        <w:tc>
          <w:tcPr>
            <w:tcW w:w="1195" w:type="dxa"/>
            <w:tcBorders>
              <w:top w:val="single" w:color="auto" w:sz="4" w:space="0"/>
              <w:left w:val="single" w:color="auto" w:sz="4" w:space="0"/>
            </w:tcBorders>
            <w:shd w:val="clear" w:color="auto" w:fill="FFFFFF"/>
            <w:vAlign w:val="center"/>
          </w:tcPr>
          <w:p w14:paraId="3D64D8B1">
            <w:pPr>
              <w:pStyle w:val="36"/>
              <w:ind w:firstLine="200"/>
            </w:pPr>
            <w:r>
              <w:rPr>
                <w:rFonts w:hint="eastAsia"/>
                <w:color w:val="000000"/>
              </w:rPr>
              <w:t>到位时效</w:t>
            </w:r>
          </w:p>
        </w:tc>
        <w:tc>
          <w:tcPr>
            <w:tcW w:w="2106" w:type="dxa"/>
            <w:tcBorders>
              <w:top w:val="single" w:color="auto" w:sz="4" w:space="0"/>
              <w:left w:val="single" w:color="auto" w:sz="4" w:space="0"/>
            </w:tcBorders>
            <w:shd w:val="clear" w:color="auto" w:fill="FFFFFF"/>
            <w:vAlign w:val="center"/>
          </w:tcPr>
          <w:p w14:paraId="1EB7B3BC">
            <w:pPr>
              <w:pStyle w:val="36"/>
              <w:spacing w:line="204" w:lineRule="exact"/>
              <w:jc w:val="both"/>
            </w:pPr>
            <w:r>
              <w:rPr>
                <w:rFonts w:hint="eastAsia"/>
                <w:color w:val="000000"/>
              </w:rPr>
              <w:t>资金是否及时到位；若未及</w:t>
            </w:r>
            <w:r>
              <w:rPr>
                <w:color w:val="000000"/>
              </w:rPr>
              <w:t xml:space="preserve"> </w:t>
            </w:r>
            <w:r>
              <w:rPr>
                <w:rFonts w:hint="eastAsia"/>
                <w:color w:val="000000"/>
              </w:rPr>
              <w:t>时到位，是否影响项目进度</w:t>
            </w:r>
          </w:p>
        </w:tc>
        <w:tc>
          <w:tcPr>
            <w:tcW w:w="2119" w:type="dxa"/>
            <w:tcBorders>
              <w:top w:val="single" w:color="auto" w:sz="4" w:space="0"/>
              <w:left w:val="single" w:color="auto" w:sz="4" w:space="0"/>
            </w:tcBorders>
            <w:shd w:val="clear" w:color="auto" w:fill="FFFFFF"/>
            <w:vAlign w:val="bottom"/>
          </w:tcPr>
          <w:p w14:paraId="7095F8A7">
            <w:pPr>
              <w:pStyle w:val="36"/>
              <w:spacing w:line="231" w:lineRule="exact"/>
              <w:jc w:val="both"/>
            </w:pPr>
            <w:r>
              <w:rPr>
                <w:rFonts w:hint="eastAsia"/>
                <w:color w:val="000000"/>
              </w:rPr>
              <w:t>及时到位（</w:t>
            </w:r>
            <w:r>
              <w:rPr>
                <w:rFonts w:ascii="Times New Roman" w:hAnsi="Times New Roman" w:cs="Times New Roman"/>
                <w:color w:val="000000"/>
              </w:rPr>
              <w:t>2</w:t>
            </w:r>
            <w:r>
              <w:rPr>
                <w:rFonts w:hint="eastAsia"/>
                <w:color w:val="000000"/>
              </w:rPr>
              <w:t>分），未及时到</w:t>
            </w:r>
            <w:r>
              <w:rPr>
                <w:color w:val="000000"/>
              </w:rPr>
              <w:t xml:space="preserve"> </w:t>
            </w:r>
            <w:r>
              <w:rPr>
                <w:rFonts w:hint="eastAsia"/>
                <w:color w:val="000000"/>
              </w:rPr>
              <w:t>位但未影响项目进度</w:t>
            </w:r>
          </w:p>
          <w:p w14:paraId="355CDFB3">
            <w:pPr>
              <w:pStyle w:val="36"/>
              <w:spacing w:line="217" w:lineRule="exact"/>
              <w:jc w:val="both"/>
            </w:pPr>
            <w:r>
              <w:rPr>
                <w:rFonts w:hint="eastAsia"/>
                <w:color w:val="000000"/>
                <w:lang w:val="en-US" w:eastAsia="en-US"/>
              </w:rPr>
              <w:t>（</w:t>
            </w:r>
            <w:r>
              <w:rPr>
                <w:rFonts w:ascii="Times New Roman" w:hAnsi="Times New Roman" w:cs="Times New Roman"/>
                <w:color w:val="000000"/>
                <w:lang w:val="en-US" w:eastAsia="en-US"/>
              </w:rPr>
              <w:t>1.5</w:t>
            </w:r>
            <w:r>
              <w:rPr>
                <w:rFonts w:hint="eastAsia"/>
                <w:color w:val="000000"/>
              </w:rPr>
              <w:t>分），未及时到位并影</w:t>
            </w:r>
            <w:r>
              <w:rPr>
                <w:color w:val="000000"/>
              </w:rPr>
              <w:t xml:space="preserve"> </w:t>
            </w:r>
            <w:r>
              <w:rPr>
                <w:rFonts w:hint="eastAsia"/>
                <w:color w:val="000000"/>
              </w:rPr>
              <w:t>响项目讲唐</w:t>
            </w:r>
            <w:r>
              <w:rPr>
                <w:rFonts w:hint="eastAsia"/>
                <w:color w:val="000000"/>
                <w:lang w:val="en-US" w:eastAsia="en-US"/>
              </w:rPr>
              <w:t>（</w:t>
            </w:r>
            <w:r>
              <w:rPr>
                <w:rFonts w:ascii="Times New Roman" w:hAnsi="Times New Roman" w:cs="Times New Roman"/>
                <w:color w:val="000000"/>
                <w:lang w:val="en-US" w:eastAsia="en-US"/>
              </w:rPr>
              <w:t>0T</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04EA1E6A">
            <w:pPr>
              <w:pStyle w:val="36"/>
              <w:jc w:val="right"/>
            </w:pPr>
            <w:r>
              <w:rPr>
                <w:rFonts w:ascii="Times New Roman" w:hAnsi="Times New Roman" w:cs="Times New Roman"/>
                <w:color w:val="000000"/>
              </w:rPr>
              <w:t>2</w:t>
            </w:r>
          </w:p>
        </w:tc>
      </w:tr>
      <w:tr w14:paraId="7E358320">
        <w:tblPrEx>
          <w:tblCellMar>
            <w:top w:w="0" w:type="dxa"/>
            <w:left w:w="10" w:type="dxa"/>
            <w:bottom w:w="0" w:type="dxa"/>
            <w:right w:w="10" w:type="dxa"/>
          </w:tblCellMar>
        </w:tblPrEx>
        <w:trPr>
          <w:trHeight w:val="1032" w:hRule="exact"/>
          <w:jc w:val="center"/>
        </w:trPr>
        <w:tc>
          <w:tcPr>
            <w:tcW w:w="978" w:type="dxa"/>
            <w:vMerge w:val="continue"/>
            <w:tcBorders>
              <w:left w:val="single" w:color="auto" w:sz="4" w:space="0"/>
            </w:tcBorders>
            <w:shd w:val="clear" w:color="auto" w:fill="FFFFFF"/>
            <w:vAlign w:val="center"/>
          </w:tcPr>
          <w:p w14:paraId="346A14A6"/>
        </w:tc>
        <w:tc>
          <w:tcPr>
            <w:tcW w:w="978" w:type="dxa"/>
            <w:vMerge w:val="continue"/>
            <w:tcBorders>
              <w:left w:val="single" w:color="auto" w:sz="4" w:space="0"/>
            </w:tcBorders>
            <w:shd w:val="clear" w:color="auto" w:fill="FFFFFF"/>
            <w:vAlign w:val="center"/>
          </w:tcPr>
          <w:p w14:paraId="09185BD7"/>
        </w:tc>
        <w:tc>
          <w:tcPr>
            <w:tcW w:w="978" w:type="dxa"/>
            <w:vMerge w:val="restart"/>
            <w:tcBorders>
              <w:top w:val="single" w:color="auto" w:sz="4" w:space="0"/>
              <w:left w:val="single" w:color="auto" w:sz="4" w:space="0"/>
            </w:tcBorders>
            <w:shd w:val="clear" w:color="auto" w:fill="FFFFFF"/>
            <w:vAlign w:val="center"/>
          </w:tcPr>
          <w:p w14:paraId="21A4516F">
            <w:pPr>
              <w:pStyle w:val="36"/>
            </w:pPr>
            <w:r>
              <w:rPr>
                <w:rFonts w:hint="eastAsia"/>
                <w:color w:val="000000"/>
              </w:rPr>
              <w:t>资金管理</w:t>
            </w:r>
          </w:p>
        </w:tc>
        <w:tc>
          <w:tcPr>
            <w:tcW w:w="978" w:type="dxa"/>
            <w:vMerge w:val="restart"/>
            <w:tcBorders>
              <w:top w:val="single" w:color="auto" w:sz="4" w:space="0"/>
              <w:left w:val="single" w:color="auto" w:sz="4" w:space="0"/>
            </w:tcBorders>
            <w:shd w:val="clear" w:color="auto" w:fill="FFFFFF"/>
            <w:vAlign w:val="center"/>
          </w:tcPr>
          <w:p w14:paraId="635B25F3">
            <w:pPr>
              <w:pStyle w:val="36"/>
              <w:jc w:val="center"/>
            </w:pPr>
            <w:r>
              <w:rPr>
                <w:rFonts w:ascii="Times New Roman" w:hAnsi="Times New Roman" w:cs="Times New Roman"/>
                <w:color w:val="000000"/>
              </w:rPr>
              <w:t>10</w:t>
            </w:r>
          </w:p>
        </w:tc>
        <w:tc>
          <w:tcPr>
            <w:tcW w:w="1195" w:type="dxa"/>
            <w:tcBorders>
              <w:top w:val="single" w:color="auto" w:sz="4" w:space="0"/>
              <w:left w:val="single" w:color="auto" w:sz="4" w:space="0"/>
            </w:tcBorders>
            <w:shd w:val="clear" w:color="auto" w:fill="FFFFFF"/>
            <w:vAlign w:val="center"/>
          </w:tcPr>
          <w:p w14:paraId="00AFBA63">
            <w:pPr>
              <w:pStyle w:val="36"/>
              <w:ind w:firstLine="200"/>
            </w:pPr>
            <w:r>
              <w:rPr>
                <w:rFonts w:hint="eastAsia"/>
                <w:color w:val="000000"/>
              </w:rPr>
              <w:t>资金使用</w:t>
            </w:r>
          </w:p>
        </w:tc>
        <w:tc>
          <w:tcPr>
            <w:tcW w:w="2106" w:type="dxa"/>
            <w:tcBorders>
              <w:top w:val="single" w:color="auto" w:sz="4" w:space="0"/>
              <w:left w:val="single" w:color="auto" w:sz="4" w:space="0"/>
            </w:tcBorders>
            <w:shd w:val="clear" w:color="auto" w:fill="FFFFFF"/>
          </w:tcPr>
          <w:p w14:paraId="565B9D08">
            <w:pPr>
              <w:pStyle w:val="36"/>
              <w:spacing w:line="204" w:lineRule="exact"/>
              <w:jc w:val="both"/>
            </w:pPr>
            <w:r>
              <w:rPr>
                <w:rFonts w:hint="eastAsia"/>
                <w:color w:val="000000"/>
              </w:rPr>
              <w:t>是否存在支出依据不合规、</w:t>
            </w:r>
            <w:r>
              <w:rPr>
                <w:color w:val="000000"/>
              </w:rPr>
              <w:t xml:space="preserve"> </w:t>
            </w:r>
            <w:r>
              <w:rPr>
                <w:rFonts w:hint="eastAsia"/>
                <w:color w:val="000000"/>
              </w:rPr>
              <w:t>虚列项目支出的情况；是否</w:t>
            </w:r>
            <w:r>
              <w:rPr>
                <w:color w:val="000000"/>
              </w:rPr>
              <w:t xml:space="preserve"> </w:t>
            </w:r>
            <w:r>
              <w:rPr>
                <w:rFonts w:hint="eastAsia"/>
                <w:color w:val="000000"/>
              </w:rPr>
              <w:t>存在截留、挤占、挪用项目</w:t>
            </w:r>
            <w:r>
              <w:rPr>
                <w:color w:val="000000"/>
              </w:rPr>
              <w:t xml:space="preserve"> </w:t>
            </w:r>
            <w:r>
              <w:rPr>
                <w:rFonts w:hint="eastAsia"/>
                <w:color w:val="000000"/>
              </w:rPr>
              <w:t>资金情况；是否存在超标准</w:t>
            </w:r>
            <w:r>
              <w:rPr>
                <w:color w:val="000000"/>
              </w:rPr>
              <w:t xml:space="preserve"> </w:t>
            </w:r>
            <w:r>
              <w:rPr>
                <w:rFonts w:hint="eastAsia"/>
                <w:color w:val="000000"/>
              </w:rPr>
              <w:t>开支情况</w:t>
            </w:r>
          </w:p>
        </w:tc>
        <w:tc>
          <w:tcPr>
            <w:tcW w:w="2119" w:type="dxa"/>
            <w:tcBorders>
              <w:top w:val="single" w:color="auto" w:sz="4" w:space="0"/>
              <w:left w:val="single" w:color="auto" w:sz="4" w:space="0"/>
            </w:tcBorders>
            <w:shd w:val="clear" w:color="auto" w:fill="FFFFFF"/>
            <w:vAlign w:val="bottom"/>
          </w:tcPr>
          <w:p w14:paraId="50446065">
            <w:pPr>
              <w:pStyle w:val="36"/>
              <w:spacing w:line="204" w:lineRule="exact"/>
              <w:jc w:val="both"/>
            </w:pPr>
            <w:r>
              <w:rPr>
                <w:rFonts w:hint="eastAsia"/>
                <w:color w:val="000000"/>
              </w:rPr>
              <w:t>虚列（套取）扣</w:t>
            </w:r>
            <w:r>
              <w:rPr>
                <w:rFonts w:ascii="Times New Roman" w:hAnsi="Times New Roman" w:cs="Times New Roman"/>
                <w:color w:val="000000"/>
                <w:lang w:val="en-US" w:eastAsia="en-US"/>
              </w:rPr>
              <w:t>4T</w:t>
            </w:r>
            <w:r>
              <w:rPr>
                <w:rFonts w:hint="eastAsia"/>
                <w:color w:val="000000"/>
              </w:rPr>
              <w:t>分，支出</w:t>
            </w:r>
            <w:r>
              <w:rPr>
                <w:color w:val="000000"/>
              </w:rPr>
              <w:t xml:space="preserve"> </w:t>
            </w:r>
            <w:r>
              <w:rPr>
                <w:rFonts w:hint="eastAsia"/>
                <w:color w:val="000000"/>
              </w:rPr>
              <w:t>依据不合规扣</w:t>
            </w:r>
            <w:r>
              <w:rPr>
                <w:rFonts w:ascii="Times New Roman" w:hAnsi="Times New Roman" w:cs="Times New Roman"/>
                <w:color w:val="000000"/>
              </w:rPr>
              <w:t>1</w:t>
            </w:r>
            <w:r>
              <w:rPr>
                <w:rFonts w:hint="eastAsia"/>
                <w:color w:val="000000"/>
              </w:rPr>
              <w:t>分，截留、挤</w:t>
            </w:r>
            <w:r>
              <w:rPr>
                <w:color w:val="000000"/>
              </w:rPr>
              <w:t xml:space="preserve"> </w:t>
            </w:r>
            <w:r>
              <w:rPr>
                <w:rFonts w:hint="eastAsia"/>
                <w:color w:val="000000"/>
              </w:rPr>
              <w:t>占、挪用扣</w:t>
            </w:r>
            <w:r>
              <w:rPr>
                <w:rFonts w:ascii="Times New Roman" w:hAnsi="Times New Roman" w:cs="Times New Roman"/>
                <w:color w:val="000000"/>
                <w:lang w:val="en-US" w:eastAsia="en-US"/>
              </w:rPr>
              <w:t>3-6</w:t>
            </w:r>
            <w:r>
              <w:rPr>
                <w:rFonts w:hint="eastAsia"/>
                <w:color w:val="000000"/>
              </w:rPr>
              <w:t>分，超标准开</w:t>
            </w:r>
            <w:r>
              <w:rPr>
                <w:color w:val="000000"/>
              </w:rPr>
              <w:t xml:space="preserve"> </w:t>
            </w:r>
            <w:r>
              <w:rPr>
                <w:rFonts w:hint="eastAsia"/>
                <w:color w:val="000000"/>
              </w:rPr>
              <w:t>支扣</w:t>
            </w:r>
            <w:r>
              <w:rPr>
                <w:rFonts w:ascii="Times New Roman" w:hAnsi="Times New Roman" w:cs="Times New Roman"/>
                <w:color w:val="000000"/>
                <w:lang w:val="en-US" w:eastAsia="en-US"/>
              </w:rPr>
              <w:t>2-5</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5D5E6F96">
            <w:pPr>
              <w:pStyle w:val="36"/>
              <w:jc w:val="right"/>
            </w:pPr>
            <w:r>
              <w:rPr>
                <w:rFonts w:ascii="Times New Roman" w:hAnsi="Times New Roman" w:cs="Times New Roman"/>
                <w:color w:val="000000"/>
              </w:rPr>
              <w:t>7</w:t>
            </w:r>
          </w:p>
        </w:tc>
      </w:tr>
      <w:tr w14:paraId="204871AE">
        <w:tblPrEx>
          <w:tblCellMar>
            <w:top w:w="0" w:type="dxa"/>
            <w:left w:w="10" w:type="dxa"/>
            <w:bottom w:w="0" w:type="dxa"/>
            <w:right w:w="10" w:type="dxa"/>
          </w:tblCellMar>
        </w:tblPrEx>
        <w:trPr>
          <w:trHeight w:val="625" w:hRule="exact"/>
          <w:jc w:val="center"/>
        </w:trPr>
        <w:tc>
          <w:tcPr>
            <w:tcW w:w="978" w:type="dxa"/>
            <w:vMerge w:val="continue"/>
            <w:tcBorders>
              <w:left w:val="single" w:color="auto" w:sz="4" w:space="0"/>
            </w:tcBorders>
            <w:shd w:val="clear" w:color="auto" w:fill="FFFFFF"/>
            <w:vAlign w:val="center"/>
          </w:tcPr>
          <w:p w14:paraId="2A158465"/>
        </w:tc>
        <w:tc>
          <w:tcPr>
            <w:tcW w:w="978" w:type="dxa"/>
            <w:vMerge w:val="continue"/>
            <w:tcBorders>
              <w:left w:val="single" w:color="auto" w:sz="4" w:space="0"/>
            </w:tcBorders>
            <w:shd w:val="clear" w:color="auto" w:fill="FFFFFF"/>
            <w:vAlign w:val="center"/>
          </w:tcPr>
          <w:p w14:paraId="59781DEF"/>
        </w:tc>
        <w:tc>
          <w:tcPr>
            <w:tcW w:w="978" w:type="dxa"/>
            <w:vMerge w:val="continue"/>
            <w:tcBorders>
              <w:left w:val="single" w:color="auto" w:sz="4" w:space="0"/>
            </w:tcBorders>
            <w:shd w:val="clear" w:color="auto" w:fill="FFFFFF"/>
            <w:vAlign w:val="center"/>
          </w:tcPr>
          <w:p w14:paraId="2B6A182A"/>
        </w:tc>
        <w:tc>
          <w:tcPr>
            <w:tcW w:w="978" w:type="dxa"/>
            <w:vMerge w:val="continue"/>
            <w:tcBorders>
              <w:left w:val="single" w:color="auto" w:sz="4" w:space="0"/>
            </w:tcBorders>
            <w:shd w:val="clear" w:color="auto" w:fill="FFFFFF"/>
            <w:vAlign w:val="center"/>
          </w:tcPr>
          <w:p w14:paraId="179B32A1"/>
        </w:tc>
        <w:tc>
          <w:tcPr>
            <w:tcW w:w="1195" w:type="dxa"/>
            <w:tcBorders>
              <w:top w:val="single" w:color="auto" w:sz="4" w:space="0"/>
              <w:left w:val="single" w:color="auto" w:sz="4" w:space="0"/>
            </w:tcBorders>
            <w:shd w:val="clear" w:color="auto" w:fill="FFFFFF"/>
            <w:vAlign w:val="center"/>
          </w:tcPr>
          <w:p w14:paraId="7CB443E4">
            <w:pPr>
              <w:pStyle w:val="36"/>
              <w:ind w:firstLine="200"/>
            </w:pPr>
            <w:r>
              <w:rPr>
                <w:rFonts w:hint="eastAsia"/>
                <w:color w:val="000000"/>
              </w:rPr>
              <w:t>财务管理</w:t>
            </w:r>
          </w:p>
        </w:tc>
        <w:tc>
          <w:tcPr>
            <w:tcW w:w="2106" w:type="dxa"/>
            <w:tcBorders>
              <w:top w:val="single" w:color="auto" w:sz="4" w:space="0"/>
              <w:left w:val="single" w:color="auto" w:sz="4" w:space="0"/>
            </w:tcBorders>
            <w:shd w:val="clear" w:color="auto" w:fill="FFFFFF"/>
            <w:vAlign w:val="bottom"/>
          </w:tcPr>
          <w:p w14:paraId="79142D0A">
            <w:pPr>
              <w:pStyle w:val="36"/>
              <w:spacing w:line="204" w:lineRule="exact"/>
              <w:jc w:val="both"/>
            </w:pPr>
            <w:r>
              <w:rPr>
                <w:rFonts w:hint="eastAsia"/>
                <w:color w:val="000000"/>
              </w:rPr>
              <w:t>资金管理、房用支出等制度</w:t>
            </w:r>
            <w:r>
              <w:rPr>
                <w:color w:val="000000"/>
              </w:rPr>
              <w:t xml:space="preserve"> </w:t>
            </w:r>
            <w:r>
              <w:rPr>
                <w:rFonts w:hint="eastAsia"/>
                <w:color w:val="000000"/>
              </w:rPr>
              <w:t>是否健全，是否严格执行；</w:t>
            </w:r>
            <w:r>
              <w:rPr>
                <w:color w:val="000000"/>
              </w:rPr>
              <w:t xml:space="preserve"> </w:t>
            </w:r>
            <w:r>
              <w:rPr>
                <w:rFonts w:hint="eastAsia"/>
                <w:color w:val="000000"/>
              </w:rPr>
              <w:t>会计核算是否规范</w:t>
            </w:r>
          </w:p>
        </w:tc>
        <w:tc>
          <w:tcPr>
            <w:tcW w:w="2119" w:type="dxa"/>
            <w:tcBorders>
              <w:top w:val="single" w:color="auto" w:sz="4" w:space="0"/>
              <w:left w:val="single" w:color="auto" w:sz="4" w:space="0"/>
            </w:tcBorders>
            <w:shd w:val="clear" w:color="auto" w:fill="FFFFFF"/>
            <w:vAlign w:val="bottom"/>
          </w:tcPr>
          <w:p w14:paraId="0AA46F01">
            <w:pPr>
              <w:pStyle w:val="36"/>
              <w:spacing w:line="204" w:lineRule="exact"/>
              <w:jc w:val="both"/>
            </w:pPr>
            <w:r>
              <w:rPr>
                <w:rFonts w:hint="eastAsia"/>
                <w:color w:val="000000"/>
              </w:rPr>
              <w:t>财务制度健全（</w:t>
            </w:r>
            <w:r>
              <w:rPr>
                <w:rFonts w:ascii="Times New Roman" w:hAnsi="Times New Roman" w:cs="Times New Roman"/>
                <w:color w:val="000000"/>
              </w:rPr>
              <w:t>1</w:t>
            </w:r>
            <w:r>
              <w:rPr>
                <w:rFonts w:hint="eastAsia"/>
                <w:color w:val="000000"/>
              </w:rPr>
              <w:t>分），严格</w:t>
            </w:r>
            <w:r>
              <w:rPr>
                <w:color w:val="000000"/>
              </w:rPr>
              <w:t xml:space="preserve"> </w:t>
            </w:r>
            <w:r>
              <w:rPr>
                <w:rFonts w:hint="eastAsia"/>
                <w:color w:val="000000"/>
              </w:rPr>
              <w:t>执行制度（</w:t>
            </w:r>
            <w:r>
              <w:rPr>
                <w:rFonts w:ascii="Times New Roman" w:hAnsi="Times New Roman" w:cs="Times New Roman"/>
                <w:color w:val="000000"/>
              </w:rPr>
              <w:t>1</w:t>
            </w:r>
            <w:r>
              <w:rPr>
                <w:rFonts w:hint="eastAsia"/>
                <w:color w:val="000000"/>
              </w:rPr>
              <w:t>分），会计核算</w:t>
            </w:r>
            <w:r>
              <w:rPr>
                <w:color w:val="000000"/>
              </w:rPr>
              <w:t xml:space="preserve"> </w:t>
            </w:r>
            <w:r>
              <w:rPr>
                <w:rFonts w:hint="eastAsia"/>
                <w:color w:val="000000"/>
              </w:rPr>
              <w:t>规范</w:t>
            </w:r>
            <w:r>
              <w:rPr>
                <w:rFonts w:hint="eastAsia" w:ascii="Times New Roman" w:hAnsi="Times New Roman" w:cs="Times New Roman"/>
                <w:color w:val="000000"/>
              </w:rPr>
              <w:t>（</w:t>
            </w:r>
            <w:r>
              <w:rPr>
                <w:rFonts w:ascii="Times New Roman" w:hAnsi="Times New Roman" w:cs="Times New Roman"/>
                <w:color w:val="000000"/>
              </w:rPr>
              <w:t>1</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6187997E">
            <w:pPr>
              <w:pStyle w:val="36"/>
              <w:jc w:val="right"/>
            </w:pPr>
            <w:r>
              <w:rPr>
                <w:rFonts w:ascii="Times New Roman" w:hAnsi="Times New Roman" w:cs="Times New Roman"/>
                <w:color w:val="000000"/>
              </w:rPr>
              <w:t>3</w:t>
            </w:r>
          </w:p>
        </w:tc>
      </w:tr>
      <w:tr w14:paraId="41A0E6F4">
        <w:tblPrEx>
          <w:tblCellMar>
            <w:top w:w="0" w:type="dxa"/>
            <w:left w:w="10" w:type="dxa"/>
            <w:bottom w:w="0" w:type="dxa"/>
            <w:right w:w="10" w:type="dxa"/>
          </w:tblCellMar>
        </w:tblPrEx>
        <w:trPr>
          <w:trHeight w:val="435" w:hRule="exact"/>
          <w:jc w:val="center"/>
        </w:trPr>
        <w:tc>
          <w:tcPr>
            <w:tcW w:w="978" w:type="dxa"/>
            <w:vMerge w:val="continue"/>
            <w:tcBorders>
              <w:left w:val="single" w:color="auto" w:sz="4" w:space="0"/>
            </w:tcBorders>
            <w:shd w:val="clear" w:color="auto" w:fill="FFFFFF"/>
            <w:vAlign w:val="center"/>
          </w:tcPr>
          <w:p w14:paraId="0BBFEA61"/>
        </w:tc>
        <w:tc>
          <w:tcPr>
            <w:tcW w:w="978" w:type="dxa"/>
            <w:vMerge w:val="continue"/>
            <w:tcBorders>
              <w:left w:val="single" w:color="auto" w:sz="4" w:space="0"/>
            </w:tcBorders>
            <w:shd w:val="clear" w:color="auto" w:fill="FFFFFF"/>
            <w:vAlign w:val="center"/>
          </w:tcPr>
          <w:p w14:paraId="1D7198AE"/>
        </w:tc>
        <w:tc>
          <w:tcPr>
            <w:tcW w:w="978" w:type="dxa"/>
            <w:vMerge w:val="restart"/>
            <w:tcBorders>
              <w:top w:val="single" w:color="auto" w:sz="4" w:space="0"/>
              <w:left w:val="single" w:color="auto" w:sz="4" w:space="0"/>
            </w:tcBorders>
            <w:shd w:val="clear" w:color="auto" w:fill="FFFFFF"/>
            <w:vAlign w:val="center"/>
          </w:tcPr>
          <w:p w14:paraId="6615691E">
            <w:pPr>
              <w:pStyle w:val="36"/>
            </w:pPr>
            <w:r>
              <w:rPr>
                <w:rFonts w:hint="eastAsia"/>
                <w:color w:val="000000"/>
              </w:rPr>
              <w:t>组织实施</w:t>
            </w:r>
          </w:p>
        </w:tc>
        <w:tc>
          <w:tcPr>
            <w:tcW w:w="978" w:type="dxa"/>
            <w:vMerge w:val="restart"/>
            <w:tcBorders>
              <w:top w:val="single" w:color="auto" w:sz="4" w:space="0"/>
              <w:left w:val="single" w:color="auto" w:sz="4" w:space="0"/>
            </w:tcBorders>
            <w:shd w:val="clear" w:color="auto" w:fill="FFFFFF"/>
            <w:vAlign w:val="center"/>
          </w:tcPr>
          <w:p w14:paraId="20440A22">
            <w:pPr>
              <w:pStyle w:val="36"/>
              <w:jc w:val="center"/>
            </w:pPr>
            <w:r>
              <w:rPr>
                <w:rFonts w:ascii="Times New Roman" w:hAnsi="Times New Roman" w:cs="Times New Roman"/>
                <w:color w:val="000000"/>
              </w:rPr>
              <w:t>10</w:t>
            </w:r>
          </w:p>
        </w:tc>
        <w:tc>
          <w:tcPr>
            <w:tcW w:w="1195" w:type="dxa"/>
            <w:tcBorders>
              <w:top w:val="single" w:color="auto" w:sz="4" w:space="0"/>
              <w:left w:val="single" w:color="auto" w:sz="4" w:space="0"/>
            </w:tcBorders>
            <w:shd w:val="clear" w:color="auto" w:fill="FFFFFF"/>
            <w:vAlign w:val="bottom"/>
          </w:tcPr>
          <w:p w14:paraId="387B2197">
            <w:pPr>
              <w:pStyle w:val="36"/>
              <w:ind w:firstLine="200"/>
            </w:pPr>
            <w:r>
              <w:rPr>
                <w:rFonts w:hint="eastAsia"/>
                <w:color w:val="000000"/>
              </w:rPr>
              <w:t>组织机构</w:t>
            </w:r>
          </w:p>
        </w:tc>
        <w:tc>
          <w:tcPr>
            <w:tcW w:w="2106" w:type="dxa"/>
            <w:tcBorders>
              <w:top w:val="single" w:color="auto" w:sz="4" w:space="0"/>
              <w:left w:val="single" w:color="auto" w:sz="4" w:space="0"/>
            </w:tcBorders>
            <w:shd w:val="clear" w:color="auto" w:fill="FFFFFF"/>
          </w:tcPr>
          <w:p w14:paraId="7B7C7DDC">
            <w:pPr>
              <w:pStyle w:val="36"/>
              <w:spacing w:line="204" w:lineRule="exact"/>
              <w:jc w:val="both"/>
            </w:pPr>
            <w:r>
              <w:rPr>
                <w:rFonts w:hint="eastAsia"/>
                <w:color w:val="000000"/>
              </w:rPr>
              <w:t>机构是否健全、分工是否明</w:t>
            </w:r>
            <w:r>
              <w:rPr>
                <w:color w:val="000000"/>
              </w:rPr>
              <w:t xml:space="preserve"> </w:t>
            </w:r>
            <w:r>
              <w:rPr>
                <w:rFonts w:hint="eastAsia"/>
                <w:color w:val="000000"/>
              </w:rPr>
              <w:t>确</w:t>
            </w:r>
          </w:p>
        </w:tc>
        <w:tc>
          <w:tcPr>
            <w:tcW w:w="2119" w:type="dxa"/>
            <w:tcBorders>
              <w:top w:val="single" w:color="auto" w:sz="4" w:space="0"/>
              <w:left w:val="single" w:color="auto" w:sz="4" w:space="0"/>
            </w:tcBorders>
            <w:shd w:val="clear" w:color="auto" w:fill="FFFFFF"/>
            <w:vAlign w:val="bottom"/>
          </w:tcPr>
          <w:p w14:paraId="49A53E61">
            <w:pPr>
              <w:pStyle w:val="36"/>
              <w:jc w:val="both"/>
            </w:pPr>
            <w:r>
              <w:rPr>
                <w:rFonts w:hint="eastAsia"/>
                <w:color w:val="000000"/>
              </w:rPr>
              <w:t>机构健全、分工明确（</w:t>
            </w:r>
            <w:r>
              <w:rPr>
                <w:rFonts w:ascii="Times New Roman" w:hAnsi="Times New Roman" w:cs="Times New Roman"/>
                <w:color w:val="000000"/>
              </w:rPr>
              <w:t>4</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4525C15F">
            <w:pPr>
              <w:pStyle w:val="36"/>
              <w:jc w:val="right"/>
            </w:pPr>
            <w:r>
              <w:rPr>
                <w:rFonts w:ascii="Times New Roman" w:hAnsi="Times New Roman" w:cs="Times New Roman"/>
                <w:color w:val="000000"/>
              </w:rPr>
              <w:t>4</w:t>
            </w:r>
          </w:p>
        </w:tc>
      </w:tr>
      <w:tr w14:paraId="3BB57818">
        <w:tblPrEx>
          <w:tblCellMar>
            <w:top w:w="0" w:type="dxa"/>
            <w:left w:w="10" w:type="dxa"/>
            <w:bottom w:w="0" w:type="dxa"/>
            <w:right w:w="10" w:type="dxa"/>
          </w:tblCellMar>
        </w:tblPrEx>
        <w:trPr>
          <w:trHeight w:val="611" w:hRule="exact"/>
          <w:jc w:val="center"/>
        </w:trPr>
        <w:tc>
          <w:tcPr>
            <w:tcW w:w="978" w:type="dxa"/>
            <w:vMerge w:val="continue"/>
            <w:tcBorders>
              <w:left w:val="single" w:color="auto" w:sz="4" w:space="0"/>
            </w:tcBorders>
            <w:shd w:val="clear" w:color="auto" w:fill="FFFFFF"/>
            <w:vAlign w:val="center"/>
          </w:tcPr>
          <w:p w14:paraId="23DBBE46"/>
        </w:tc>
        <w:tc>
          <w:tcPr>
            <w:tcW w:w="978" w:type="dxa"/>
            <w:vMerge w:val="continue"/>
            <w:tcBorders>
              <w:left w:val="single" w:color="auto" w:sz="4" w:space="0"/>
            </w:tcBorders>
            <w:shd w:val="clear" w:color="auto" w:fill="FFFFFF"/>
            <w:vAlign w:val="center"/>
          </w:tcPr>
          <w:p w14:paraId="5F9F8CAB"/>
        </w:tc>
        <w:tc>
          <w:tcPr>
            <w:tcW w:w="978" w:type="dxa"/>
            <w:vMerge w:val="continue"/>
            <w:tcBorders>
              <w:left w:val="single" w:color="auto" w:sz="4" w:space="0"/>
            </w:tcBorders>
            <w:shd w:val="clear" w:color="auto" w:fill="FFFFFF"/>
            <w:vAlign w:val="center"/>
          </w:tcPr>
          <w:p w14:paraId="42C69A9D"/>
        </w:tc>
        <w:tc>
          <w:tcPr>
            <w:tcW w:w="978" w:type="dxa"/>
            <w:vMerge w:val="continue"/>
            <w:tcBorders>
              <w:left w:val="single" w:color="auto" w:sz="4" w:space="0"/>
            </w:tcBorders>
            <w:shd w:val="clear" w:color="auto" w:fill="FFFFFF"/>
            <w:vAlign w:val="center"/>
          </w:tcPr>
          <w:p w14:paraId="1D3234FD"/>
        </w:tc>
        <w:tc>
          <w:tcPr>
            <w:tcW w:w="1195" w:type="dxa"/>
            <w:tcBorders>
              <w:top w:val="single" w:color="auto" w:sz="4" w:space="0"/>
              <w:left w:val="single" w:color="auto" w:sz="4" w:space="0"/>
            </w:tcBorders>
            <w:shd w:val="clear" w:color="auto" w:fill="FFFFFF"/>
            <w:vAlign w:val="center"/>
          </w:tcPr>
          <w:p w14:paraId="2F3D024A">
            <w:pPr>
              <w:pStyle w:val="36"/>
              <w:ind w:firstLine="200"/>
            </w:pPr>
            <w:r>
              <w:rPr>
                <w:rFonts w:hint="eastAsia"/>
                <w:color w:val="000000"/>
              </w:rPr>
              <w:t>管理制度</w:t>
            </w:r>
          </w:p>
        </w:tc>
        <w:tc>
          <w:tcPr>
            <w:tcW w:w="2106" w:type="dxa"/>
            <w:tcBorders>
              <w:top w:val="single" w:color="auto" w:sz="4" w:space="0"/>
              <w:left w:val="single" w:color="auto" w:sz="4" w:space="0"/>
            </w:tcBorders>
            <w:shd w:val="clear" w:color="auto" w:fill="FFFFFF"/>
            <w:vAlign w:val="bottom"/>
          </w:tcPr>
          <w:p w14:paraId="7FEF18DE">
            <w:pPr>
              <w:pStyle w:val="36"/>
              <w:spacing w:line="204" w:lineRule="exact"/>
              <w:jc w:val="both"/>
            </w:pPr>
            <w:r>
              <w:rPr>
                <w:rFonts w:hint="eastAsia"/>
                <w:color w:val="000000"/>
              </w:rPr>
              <w:t>是否建立健全项目管理制</w:t>
            </w:r>
            <w:r>
              <w:rPr>
                <w:color w:val="000000"/>
              </w:rPr>
              <w:t xml:space="preserve"> </w:t>
            </w:r>
            <w:r>
              <w:rPr>
                <w:rFonts w:hint="eastAsia"/>
                <w:color w:val="000000"/>
              </w:rPr>
              <w:t>度；是否严格执行相关项目</w:t>
            </w:r>
            <w:r>
              <w:rPr>
                <w:color w:val="000000"/>
              </w:rPr>
              <w:t xml:space="preserve"> </w:t>
            </w:r>
            <w:r>
              <w:rPr>
                <w:rFonts w:hint="eastAsia"/>
                <w:color w:val="000000"/>
              </w:rPr>
              <w:t>管理制度</w:t>
            </w:r>
          </w:p>
        </w:tc>
        <w:tc>
          <w:tcPr>
            <w:tcW w:w="2119" w:type="dxa"/>
            <w:tcBorders>
              <w:top w:val="single" w:color="auto" w:sz="4" w:space="0"/>
              <w:left w:val="single" w:color="auto" w:sz="4" w:space="0"/>
            </w:tcBorders>
            <w:shd w:val="clear" w:color="auto" w:fill="FFFFFF"/>
            <w:vAlign w:val="bottom"/>
          </w:tcPr>
          <w:p w14:paraId="7FE0031F">
            <w:pPr>
              <w:pStyle w:val="36"/>
              <w:jc w:val="both"/>
            </w:pPr>
            <w:r>
              <w:rPr>
                <w:rFonts w:hint="eastAsia"/>
                <w:color w:val="000000"/>
              </w:rPr>
              <w:t>建立健全项目管理制度</w:t>
            </w:r>
          </w:p>
          <w:p w14:paraId="5692053E">
            <w:pPr>
              <w:pStyle w:val="36"/>
            </w:pPr>
            <w:r>
              <w:rPr>
                <w:rFonts w:hint="eastAsia"/>
                <w:color w:val="000000"/>
              </w:rPr>
              <w:t>（</w:t>
            </w:r>
            <w:r>
              <w:rPr>
                <w:rFonts w:ascii="Times New Roman" w:hAnsi="Times New Roman" w:cs="Times New Roman"/>
                <w:color w:val="000000"/>
              </w:rPr>
              <w:t>2</w:t>
            </w:r>
            <w:r>
              <w:rPr>
                <w:rFonts w:hint="eastAsia"/>
                <w:color w:val="000000"/>
              </w:rPr>
              <w:t>分）；严格执行相关项目</w:t>
            </w:r>
          </w:p>
          <w:p w14:paraId="0E6384C3">
            <w:pPr>
              <w:pStyle w:val="36"/>
            </w:pPr>
            <w:r>
              <w:rPr>
                <w:rFonts w:hint="eastAsia"/>
                <w:color w:val="000000"/>
              </w:rPr>
              <w:t>管理制度（</w:t>
            </w:r>
            <w:r>
              <w:rPr>
                <w:rFonts w:ascii="Times New Roman" w:hAnsi="Times New Roman" w:cs="Times New Roman"/>
                <w:color w:val="000000"/>
              </w:rPr>
              <w:t>4</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033A2254">
            <w:pPr>
              <w:pStyle w:val="36"/>
              <w:jc w:val="right"/>
            </w:pPr>
            <w:r>
              <w:rPr>
                <w:rFonts w:ascii="Times New Roman" w:hAnsi="Times New Roman" w:cs="Times New Roman"/>
                <w:color w:val="000000"/>
              </w:rPr>
              <w:t>6</w:t>
            </w:r>
          </w:p>
        </w:tc>
      </w:tr>
      <w:tr w14:paraId="5A4B7EC2">
        <w:tblPrEx>
          <w:tblCellMar>
            <w:top w:w="0" w:type="dxa"/>
            <w:left w:w="10" w:type="dxa"/>
            <w:bottom w:w="0" w:type="dxa"/>
            <w:right w:w="10" w:type="dxa"/>
          </w:tblCellMar>
        </w:tblPrEx>
        <w:trPr>
          <w:trHeight w:val="421" w:hRule="exact"/>
          <w:jc w:val="center"/>
        </w:trPr>
        <w:tc>
          <w:tcPr>
            <w:tcW w:w="978" w:type="dxa"/>
            <w:vMerge w:val="restart"/>
            <w:tcBorders>
              <w:top w:val="single" w:color="auto" w:sz="4" w:space="0"/>
              <w:left w:val="single" w:color="auto" w:sz="4" w:space="0"/>
            </w:tcBorders>
            <w:shd w:val="clear" w:color="auto" w:fill="FFFFFF"/>
            <w:vAlign w:val="center"/>
          </w:tcPr>
          <w:p w14:paraId="3A5C153D">
            <w:pPr>
              <w:pStyle w:val="36"/>
            </w:pPr>
            <w:r>
              <w:rPr>
                <w:rFonts w:hint="eastAsia"/>
                <w:color w:val="000000"/>
              </w:rPr>
              <w:t>项目勰</w:t>
            </w:r>
          </w:p>
        </w:tc>
        <w:tc>
          <w:tcPr>
            <w:tcW w:w="978" w:type="dxa"/>
            <w:vMerge w:val="restart"/>
            <w:tcBorders>
              <w:top w:val="single" w:color="auto" w:sz="4" w:space="0"/>
              <w:left w:val="single" w:color="auto" w:sz="4" w:space="0"/>
            </w:tcBorders>
            <w:shd w:val="clear" w:color="auto" w:fill="FFFFFF"/>
            <w:vAlign w:val="center"/>
          </w:tcPr>
          <w:p w14:paraId="6C516D15">
            <w:pPr>
              <w:pStyle w:val="36"/>
              <w:jc w:val="center"/>
            </w:pPr>
            <w:r>
              <w:rPr>
                <w:rFonts w:ascii="Times New Roman" w:hAnsi="Times New Roman" w:cs="Times New Roman"/>
                <w:color w:val="000000"/>
              </w:rPr>
              <w:t>55</w:t>
            </w:r>
          </w:p>
        </w:tc>
        <w:tc>
          <w:tcPr>
            <w:tcW w:w="978" w:type="dxa"/>
            <w:vMerge w:val="restart"/>
            <w:tcBorders>
              <w:top w:val="single" w:color="auto" w:sz="4" w:space="0"/>
              <w:left w:val="single" w:color="auto" w:sz="4" w:space="0"/>
            </w:tcBorders>
            <w:shd w:val="clear" w:color="auto" w:fill="FFFFFF"/>
            <w:vAlign w:val="center"/>
          </w:tcPr>
          <w:p w14:paraId="5B521A3A">
            <w:pPr>
              <w:pStyle w:val="36"/>
            </w:pPr>
            <w:r>
              <w:rPr>
                <w:rFonts w:hint="eastAsia"/>
                <w:color w:val="000000"/>
              </w:rPr>
              <w:t>项目产出</w:t>
            </w:r>
          </w:p>
        </w:tc>
        <w:tc>
          <w:tcPr>
            <w:tcW w:w="978" w:type="dxa"/>
            <w:vMerge w:val="restart"/>
            <w:tcBorders>
              <w:top w:val="single" w:color="auto" w:sz="4" w:space="0"/>
              <w:left w:val="single" w:color="auto" w:sz="4" w:space="0"/>
            </w:tcBorders>
            <w:shd w:val="clear" w:color="auto" w:fill="FFFFFF"/>
            <w:vAlign w:val="center"/>
          </w:tcPr>
          <w:p w14:paraId="18726C56">
            <w:pPr>
              <w:pStyle w:val="36"/>
              <w:jc w:val="center"/>
            </w:pPr>
            <w:r>
              <w:rPr>
                <w:rFonts w:ascii="Times New Roman" w:hAnsi="Times New Roman" w:cs="Times New Roman"/>
                <w:color w:val="000000"/>
              </w:rPr>
              <w:t>15</w:t>
            </w:r>
          </w:p>
        </w:tc>
        <w:tc>
          <w:tcPr>
            <w:tcW w:w="1195" w:type="dxa"/>
            <w:tcBorders>
              <w:top w:val="single" w:color="auto" w:sz="4" w:space="0"/>
              <w:left w:val="single" w:color="auto" w:sz="4" w:space="0"/>
            </w:tcBorders>
            <w:shd w:val="clear" w:color="auto" w:fill="FFFFFF"/>
            <w:vAlign w:val="bottom"/>
          </w:tcPr>
          <w:p w14:paraId="6F432D52">
            <w:pPr>
              <w:pStyle w:val="36"/>
              <w:ind w:firstLine="200"/>
              <w:rPr>
                <w:lang w:val="en-US" w:eastAsia="zh-CN"/>
              </w:rPr>
            </w:pPr>
            <w:r>
              <w:rPr>
                <w:rFonts w:hint="eastAsia"/>
                <w:color w:val="000000"/>
              </w:rPr>
              <w:t>产出数</w:t>
            </w:r>
            <w:r>
              <w:rPr>
                <w:rFonts w:hint="eastAsia"/>
                <w:color w:val="000000"/>
                <w:lang w:val="en-US" w:eastAsia="zh-CN"/>
              </w:rPr>
              <w:t>量</w:t>
            </w:r>
          </w:p>
        </w:tc>
        <w:tc>
          <w:tcPr>
            <w:tcW w:w="2106" w:type="dxa"/>
            <w:tcBorders>
              <w:top w:val="single" w:color="auto" w:sz="4" w:space="0"/>
              <w:left w:val="single" w:color="auto" w:sz="4" w:space="0"/>
            </w:tcBorders>
            <w:shd w:val="clear" w:color="auto" w:fill="FFFFFF"/>
          </w:tcPr>
          <w:p w14:paraId="303E91D9">
            <w:pPr>
              <w:pStyle w:val="36"/>
              <w:spacing w:line="190" w:lineRule="exact"/>
              <w:jc w:val="both"/>
            </w:pPr>
            <w:r>
              <w:rPr>
                <w:rFonts w:hint="eastAsia"/>
                <w:color w:val="000000"/>
              </w:rPr>
              <w:t>项目产出数里是否达到绩效</w:t>
            </w:r>
            <w:r>
              <w:rPr>
                <w:color w:val="000000"/>
              </w:rPr>
              <w:t xml:space="preserve"> </w:t>
            </w:r>
            <w:r>
              <w:rPr>
                <w:rFonts w:hint="eastAsia"/>
                <w:color w:val="000000"/>
              </w:rPr>
              <w:t>目标（</w:t>
            </w:r>
            <w:r>
              <w:rPr>
                <w:rFonts w:hint="eastAsia"/>
                <w:color w:val="000000"/>
                <w:lang w:val="en-US" w:eastAsia="zh-CN"/>
              </w:rPr>
              <w:t>发放贷款</w:t>
            </w:r>
            <w:r>
              <w:rPr>
                <w:color w:val="000000"/>
                <w:lang w:val="en-US" w:eastAsia="zh-CN"/>
              </w:rPr>
              <w:t>&gt;60</w:t>
            </w:r>
            <w:r>
              <w:rPr>
                <w:rFonts w:hint="eastAsia"/>
                <w:color w:val="000000"/>
                <w:lang w:val="en-US" w:eastAsia="zh-CN"/>
              </w:rPr>
              <w:t>笔</w:t>
            </w:r>
            <w:r>
              <w:rPr>
                <w:rFonts w:hint="eastAsia" w:ascii="Times New Roman" w:hAnsi="Times New Roman" w:cs="Times New Roman"/>
                <w:color w:val="000000"/>
              </w:rPr>
              <w:t>）</w:t>
            </w:r>
          </w:p>
        </w:tc>
        <w:tc>
          <w:tcPr>
            <w:tcW w:w="2119" w:type="dxa"/>
            <w:tcBorders>
              <w:top w:val="single" w:color="auto" w:sz="4" w:space="0"/>
              <w:left w:val="single" w:color="auto" w:sz="4" w:space="0"/>
            </w:tcBorders>
            <w:shd w:val="clear" w:color="auto" w:fill="FFFFFF"/>
          </w:tcPr>
          <w:p w14:paraId="7BF60E56">
            <w:pPr>
              <w:pStyle w:val="36"/>
              <w:jc w:val="both"/>
            </w:pPr>
            <w:r>
              <w:rPr>
                <w:rFonts w:hint="eastAsia"/>
                <w:color w:val="000000"/>
              </w:rPr>
              <w:t>对照绩效目标评价产出数里</w:t>
            </w:r>
          </w:p>
          <w:p w14:paraId="3399029F">
            <w:pPr>
              <w:pStyle w:val="36"/>
              <w:spacing w:line="230" w:lineRule="auto"/>
            </w:pPr>
            <w:r>
              <w:rPr>
                <w:rFonts w:hint="eastAsia" w:ascii="Times New Roman" w:hAnsi="Times New Roman" w:cs="Times New Roman"/>
                <w:color w:val="000000"/>
              </w:rPr>
              <w:t>（</w:t>
            </w:r>
            <w:r>
              <w:rPr>
                <w:rFonts w:ascii="Times New Roman" w:hAnsi="Times New Roman" w:cs="Times New Roman"/>
                <w:color w:val="000000"/>
              </w:rPr>
              <w:t>5</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5C4EF227">
            <w:pPr>
              <w:pStyle w:val="36"/>
              <w:jc w:val="right"/>
            </w:pPr>
            <w:r>
              <w:rPr>
                <w:rFonts w:ascii="Times New Roman" w:hAnsi="Times New Roman" w:cs="Times New Roman"/>
                <w:color w:val="000000"/>
              </w:rPr>
              <w:t>5</w:t>
            </w:r>
          </w:p>
        </w:tc>
      </w:tr>
      <w:tr w14:paraId="71D9A49E">
        <w:tblPrEx>
          <w:tblCellMar>
            <w:top w:w="0" w:type="dxa"/>
            <w:left w:w="10" w:type="dxa"/>
            <w:bottom w:w="0" w:type="dxa"/>
            <w:right w:w="10" w:type="dxa"/>
          </w:tblCellMar>
        </w:tblPrEx>
        <w:trPr>
          <w:trHeight w:val="625" w:hRule="exact"/>
          <w:jc w:val="center"/>
        </w:trPr>
        <w:tc>
          <w:tcPr>
            <w:tcW w:w="978" w:type="dxa"/>
            <w:vMerge w:val="continue"/>
            <w:tcBorders>
              <w:left w:val="single" w:color="auto" w:sz="4" w:space="0"/>
            </w:tcBorders>
            <w:shd w:val="clear" w:color="auto" w:fill="FFFFFF"/>
            <w:vAlign w:val="center"/>
          </w:tcPr>
          <w:p w14:paraId="2E2E227A"/>
        </w:tc>
        <w:tc>
          <w:tcPr>
            <w:tcW w:w="978" w:type="dxa"/>
            <w:vMerge w:val="continue"/>
            <w:tcBorders>
              <w:left w:val="single" w:color="auto" w:sz="4" w:space="0"/>
            </w:tcBorders>
            <w:shd w:val="clear" w:color="auto" w:fill="FFFFFF"/>
            <w:vAlign w:val="center"/>
          </w:tcPr>
          <w:p w14:paraId="60E53A6B"/>
        </w:tc>
        <w:tc>
          <w:tcPr>
            <w:tcW w:w="978" w:type="dxa"/>
            <w:vMerge w:val="continue"/>
            <w:tcBorders>
              <w:left w:val="single" w:color="auto" w:sz="4" w:space="0"/>
            </w:tcBorders>
            <w:shd w:val="clear" w:color="auto" w:fill="FFFFFF"/>
            <w:vAlign w:val="center"/>
          </w:tcPr>
          <w:p w14:paraId="75FD8609"/>
        </w:tc>
        <w:tc>
          <w:tcPr>
            <w:tcW w:w="978" w:type="dxa"/>
            <w:vMerge w:val="continue"/>
            <w:tcBorders>
              <w:left w:val="single" w:color="auto" w:sz="4" w:space="0"/>
            </w:tcBorders>
            <w:shd w:val="clear" w:color="auto" w:fill="FFFFFF"/>
            <w:vAlign w:val="center"/>
          </w:tcPr>
          <w:p w14:paraId="3F66A376"/>
        </w:tc>
        <w:tc>
          <w:tcPr>
            <w:tcW w:w="1195" w:type="dxa"/>
            <w:tcBorders>
              <w:top w:val="single" w:color="auto" w:sz="4" w:space="0"/>
              <w:left w:val="single" w:color="auto" w:sz="4" w:space="0"/>
            </w:tcBorders>
            <w:shd w:val="clear" w:color="auto" w:fill="FFFFFF"/>
            <w:vAlign w:val="center"/>
          </w:tcPr>
          <w:p w14:paraId="184D71D4">
            <w:pPr>
              <w:pStyle w:val="36"/>
              <w:ind w:firstLine="200"/>
              <w:rPr>
                <w:lang w:eastAsia="zh-CN"/>
              </w:rPr>
            </w:pPr>
            <w:r>
              <w:rPr>
                <w:rFonts w:hint="eastAsia"/>
                <w:color w:val="000000"/>
              </w:rPr>
              <w:t>产出质</w:t>
            </w:r>
            <w:r>
              <w:rPr>
                <w:rFonts w:hint="eastAsia"/>
                <w:color w:val="000000"/>
                <w:lang w:val="en-US" w:eastAsia="zh-CN"/>
              </w:rPr>
              <w:t>量</w:t>
            </w:r>
          </w:p>
        </w:tc>
        <w:tc>
          <w:tcPr>
            <w:tcW w:w="2106" w:type="dxa"/>
            <w:tcBorders>
              <w:top w:val="single" w:color="auto" w:sz="4" w:space="0"/>
              <w:left w:val="single" w:color="auto" w:sz="4" w:space="0"/>
            </w:tcBorders>
            <w:shd w:val="clear" w:color="auto" w:fill="FFFFFF"/>
          </w:tcPr>
          <w:p w14:paraId="1387C7D1">
            <w:pPr>
              <w:pStyle w:val="36"/>
              <w:spacing w:line="190" w:lineRule="exact"/>
              <w:jc w:val="both"/>
            </w:pPr>
            <w:r>
              <w:rPr>
                <w:rFonts w:hint="eastAsia"/>
                <w:color w:val="000000"/>
              </w:rPr>
              <w:t>项目产由质量是否达到绩效</w:t>
            </w:r>
            <w:r>
              <w:rPr>
                <w:color w:val="000000"/>
              </w:rPr>
              <w:t xml:space="preserve"> </w:t>
            </w:r>
            <w:r>
              <w:rPr>
                <w:rFonts w:hint="eastAsia"/>
                <w:color w:val="000000"/>
              </w:rPr>
              <w:t>目标（</w:t>
            </w:r>
            <w:r>
              <w:rPr>
                <w:rFonts w:hint="eastAsia"/>
                <w:color w:val="000000"/>
                <w:lang w:val="en-US" w:eastAsia="zh-CN"/>
              </w:rPr>
              <w:t>担保贴息到位率</w:t>
            </w:r>
            <w:r>
              <w:rPr>
                <w:color w:val="000000"/>
                <w:lang w:val="en-US" w:eastAsia="zh-CN"/>
              </w:rPr>
              <w:t>=</w:t>
            </w:r>
            <w:r>
              <w:rPr>
                <w:rFonts w:ascii="Times New Roman" w:hAnsi="Times New Roman" w:cs="Times New Roman"/>
                <w:color w:val="000000"/>
                <w:lang w:val="en-US" w:eastAsia="zh-CN"/>
              </w:rPr>
              <w:t>100</w:t>
            </w:r>
            <w:r>
              <w:rPr>
                <w:rFonts w:ascii="Times New Roman" w:hAnsi="Times New Roman" w:cs="Times New Roman"/>
                <w:color w:val="000000"/>
              </w:rPr>
              <w:t>%</w:t>
            </w:r>
            <w:r>
              <w:rPr>
                <w:rFonts w:hint="eastAsia" w:ascii="Times New Roman" w:hAnsi="Times New Roman" w:cs="Times New Roman"/>
                <w:color w:val="000000"/>
              </w:rPr>
              <w:t>）</w:t>
            </w:r>
          </w:p>
        </w:tc>
        <w:tc>
          <w:tcPr>
            <w:tcW w:w="2119" w:type="dxa"/>
            <w:tcBorders>
              <w:top w:val="single" w:color="auto" w:sz="4" w:space="0"/>
              <w:left w:val="single" w:color="auto" w:sz="4" w:space="0"/>
            </w:tcBorders>
            <w:shd w:val="clear" w:color="auto" w:fill="FFFFFF"/>
            <w:vAlign w:val="bottom"/>
          </w:tcPr>
          <w:p w14:paraId="684224AC">
            <w:pPr>
              <w:pStyle w:val="36"/>
              <w:spacing w:line="190" w:lineRule="exact"/>
            </w:pPr>
            <w:r>
              <w:rPr>
                <w:rFonts w:hint="eastAsia"/>
                <w:color w:val="000000"/>
              </w:rPr>
              <w:t>对照绩效目标评价产出质里</w:t>
            </w:r>
            <w:r>
              <w:rPr>
                <w:color w:val="000000"/>
              </w:rPr>
              <w:t xml:space="preserve"> </w:t>
            </w:r>
            <w:r>
              <w:rPr>
                <w:rFonts w:hint="eastAsia"/>
                <w:color w:val="000000"/>
              </w:rPr>
              <w:t>（</w:t>
            </w:r>
            <w:r>
              <w:rPr>
                <w:rFonts w:ascii="Times New Roman" w:hAnsi="Times New Roman" w:cs="Times New Roman"/>
                <w:color w:val="000000"/>
              </w:rPr>
              <w:t>4</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16B910D9">
            <w:pPr>
              <w:pStyle w:val="36"/>
              <w:jc w:val="right"/>
            </w:pPr>
            <w:r>
              <w:rPr>
                <w:rFonts w:ascii="Times New Roman" w:hAnsi="Times New Roman" w:cs="Times New Roman"/>
                <w:color w:val="000000"/>
              </w:rPr>
              <w:t>4</w:t>
            </w:r>
          </w:p>
        </w:tc>
      </w:tr>
      <w:tr w14:paraId="6E6A0BFD">
        <w:tblPrEx>
          <w:tblCellMar>
            <w:top w:w="0" w:type="dxa"/>
            <w:left w:w="10" w:type="dxa"/>
            <w:bottom w:w="0" w:type="dxa"/>
            <w:right w:w="10" w:type="dxa"/>
          </w:tblCellMar>
        </w:tblPrEx>
        <w:trPr>
          <w:trHeight w:val="638" w:hRule="exact"/>
          <w:jc w:val="center"/>
        </w:trPr>
        <w:tc>
          <w:tcPr>
            <w:tcW w:w="978" w:type="dxa"/>
            <w:vMerge w:val="continue"/>
            <w:tcBorders>
              <w:left w:val="single" w:color="auto" w:sz="4" w:space="0"/>
            </w:tcBorders>
            <w:shd w:val="clear" w:color="auto" w:fill="FFFFFF"/>
            <w:vAlign w:val="center"/>
          </w:tcPr>
          <w:p w14:paraId="3DDFC8EF"/>
        </w:tc>
        <w:tc>
          <w:tcPr>
            <w:tcW w:w="978" w:type="dxa"/>
            <w:vMerge w:val="continue"/>
            <w:tcBorders>
              <w:left w:val="single" w:color="auto" w:sz="4" w:space="0"/>
            </w:tcBorders>
            <w:shd w:val="clear" w:color="auto" w:fill="FFFFFF"/>
            <w:vAlign w:val="center"/>
          </w:tcPr>
          <w:p w14:paraId="19CD0698"/>
        </w:tc>
        <w:tc>
          <w:tcPr>
            <w:tcW w:w="978" w:type="dxa"/>
            <w:vMerge w:val="continue"/>
            <w:tcBorders>
              <w:left w:val="single" w:color="auto" w:sz="4" w:space="0"/>
            </w:tcBorders>
            <w:shd w:val="clear" w:color="auto" w:fill="FFFFFF"/>
            <w:vAlign w:val="center"/>
          </w:tcPr>
          <w:p w14:paraId="59C5A58A"/>
        </w:tc>
        <w:tc>
          <w:tcPr>
            <w:tcW w:w="978" w:type="dxa"/>
            <w:vMerge w:val="continue"/>
            <w:tcBorders>
              <w:left w:val="single" w:color="auto" w:sz="4" w:space="0"/>
            </w:tcBorders>
            <w:shd w:val="clear" w:color="auto" w:fill="FFFFFF"/>
            <w:vAlign w:val="center"/>
          </w:tcPr>
          <w:p w14:paraId="6B44A4B2"/>
        </w:tc>
        <w:tc>
          <w:tcPr>
            <w:tcW w:w="1195" w:type="dxa"/>
            <w:tcBorders>
              <w:top w:val="single" w:color="auto" w:sz="4" w:space="0"/>
              <w:left w:val="single" w:color="auto" w:sz="4" w:space="0"/>
            </w:tcBorders>
            <w:shd w:val="clear" w:color="auto" w:fill="FFFFFF"/>
            <w:vAlign w:val="center"/>
          </w:tcPr>
          <w:p w14:paraId="1861A4B6">
            <w:pPr>
              <w:pStyle w:val="36"/>
              <w:ind w:firstLine="200"/>
            </w:pPr>
            <w:r>
              <w:rPr>
                <w:rFonts w:hint="eastAsia"/>
                <w:color w:val="000000"/>
              </w:rPr>
              <w:t>产出时效</w:t>
            </w:r>
          </w:p>
        </w:tc>
        <w:tc>
          <w:tcPr>
            <w:tcW w:w="2106" w:type="dxa"/>
            <w:tcBorders>
              <w:top w:val="single" w:color="auto" w:sz="4" w:space="0"/>
              <w:left w:val="single" w:color="auto" w:sz="4" w:space="0"/>
            </w:tcBorders>
            <w:shd w:val="clear" w:color="auto" w:fill="FFFFFF"/>
          </w:tcPr>
          <w:p w14:paraId="7790EAE8">
            <w:pPr>
              <w:pStyle w:val="36"/>
              <w:spacing w:line="204" w:lineRule="exact"/>
              <w:jc w:val="both"/>
            </w:pPr>
            <w:r>
              <w:rPr>
                <w:rFonts w:hint="eastAsia"/>
                <w:color w:val="000000"/>
              </w:rPr>
              <w:t>项目产出时效是否达到绩效</w:t>
            </w:r>
            <w:r>
              <w:rPr>
                <w:color w:val="000000"/>
              </w:rPr>
              <w:t xml:space="preserve"> </w:t>
            </w:r>
            <w:r>
              <w:rPr>
                <w:rFonts w:hint="eastAsia"/>
                <w:color w:val="000000"/>
              </w:rPr>
              <w:t>目标（</w:t>
            </w:r>
            <w:r>
              <w:rPr>
                <w:rFonts w:hint="eastAsia"/>
                <w:color w:val="000000"/>
                <w:lang w:val="en-US" w:eastAsia="zh-CN"/>
              </w:rPr>
              <w:t>按时完成创业担保贷款贴息发放工作</w:t>
            </w:r>
            <w:r>
              <w:rPr>
                <w:rFonts w:hint="eastAsia"/>
                <w:color w:val="000000"/>
              </w:rPr>
              <w:t>）</w:t>
            </w:r>
          </w:p>
        </w:tc>
        <w:tc>
          <w:tcPr>
            <w:tcW w:w="2119" w:type="dxa"/>
            <w:tcBorders>
              <w:top w:val="single" w:color="auto" w:sz="4" w:space="0"/>
              <w:left w:val="single" w:color="auto" w:sz="4" w:space="0"/>
            </w:tcBorders>
            <w:shd w:val="clear" w:color="auto" w:fill="FFFFFF"/>
            <w:vAlign w:val="bottom"/>
          </w:tcPr>
          <w:p w14:paraId="452EDD42">
            <w:pPr>
              <w:pStyle w:val="36"/>
            </w:pPr>
            <w:r>
              <w:rPr>
                <w:rFonts w:hint="eastAsia"/>
                <w:color w:val="000000"/>
              </w:rPr>
              <w:t>对照绩效目标评价产出时效</w:t>
            </w:r>
          </w:p>
          <w:p w14:paraId="20D7EB5E">
            <w:pPr>
              <w:pStyle w:val="36"/>
            </w:pPr>
            <w:r>
              <w:rPr>
                <w:rFonts w:hint="eastAsia"/>
                <w:color w:val="000000"/>
              </w:rPr>
              <w:t>（</w:t>
            </w:r>
            <w:r>
              <w:rPr>
                <w:rFonts w:ascii="Times New Roman" w:hAnsi="Times New Roman" w:cs="Times New Roman"/>
                <w:color w:val="000000"/>
              </w:rPr>
              <w:t>3</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4DB60E3F">
            <w:pPr>
              <w:pStyle w:val="36"/>
              <w:jc w:val="right"/>
            </w:pPr>
            <w:r>
              <w:rPr>
                <w:rFonts w:ascii="Times New Roman" w:hAnsi="Times New Roman" w:cs="Times New Roman"/>
                <w:color w:val="000000"/>
              </w:rPr>
              <w:t>3</w:t>
            </w:r>
          </w:p>
        </w:tc>
      </w:tr>
      <w:tr w14:paraId="551F0E05">
        <w:tblPrEx>
          <w:tblCellMar>
            <w:top w:w="0" w:type="dxa"/>
            <w:left w:w="10" w:type="dxa"/>
            <w:bottom w:w="0" w:type="dxa"/>
            <w:right w:w="10" w:type="dxa"/>
          </w:tblCellMar>
        </w:tblPrEx>
        <w:trPr>
          <w:trHeight w:val="829" w:hRule="exact"/>
          <w:jc w:val="center"/>
        </w:trPr>
        <w:tc>
          <w:tcPr>
            <w:tcW w:w="978" w:type="dxa"/>
            <w:vMerge w:val="continue"/>
            <w:tcBorders>
              <w:left w:val="single" w:color="auto" w:sz="4" w:space="0"/>
            </w:tcBorders>
            <w:shd w:val="clear" w:color="auto" w:fill="FFFFFF"/>
            <w:vAlign w:val="center"/>
          </w:tcPr>
          <w:p w14:paraId="4A48969A"/>
        </w:tc>
        <w:tc>
          <w:tcPr>
            <w:tcW w:w="978" w:type="dxa"/>
            <w:vMerge w:val="continue"/>
            <w:tcBorders>
              <w:left w:val="single" w:color="auto" w:sz="4" w:space="0"/>
            </w:tcBorders>
            <w:shd w:val="clear" w:color="auto" w:fill="FFFFFF"/>
            <w:vAlign w:val="center"/>
          </w:tcPr>
          <w:p w14:paraId="225666F9"/>
        </w:tc>
        <w:tc>
          <w:tcPr>
            <w:tcW w:w="978" w:type="dxa"/>
            <w:vMerge w:val="continue"/>
            <w:tcBorders>
              <w:left w:val="single" w:color="auto" w:sz="4" w:space="0"/>
            </w:tcBorders>
            <w:shd w:val="clear" w:color="auto" w:fill="FFFFFF"/>
            <w:vAlign w:val="center"/>
          </w:tcPr>
          <w:p w14:paraId="2ABC7EF4"/>
        </w:tc>
        <w:tc>
          <w:tcPr>
            <w:tcW w:w="978" w:type="dxa"/>
            <w:vMerge w:val="continue"/>
            <w:tcBorders>
              <w:left w:val="single" w:color="auto" w:sz="4" w:space="0"/>
            </w:tcBorders>
            <w:shd w:val="clear" w:color="auto" w:fill="FFFFFF"/>
            <w:vAlign w:val="center"/>
          </w:tcPr>
          <w:p w14:paraId="506F3E00"/>
        </w:tc>
        <w:tc>
          <w:tcPr>
            <w:tcW w:w="1195" w:type="dxa"/>
            <w:tcBorders>
              <w:top w:val="single" w:color="auto" w:sz="4" w:space="0"/>
              <w:left w:val="single" w:color="auto" w:sz="4" w:space="0"/>
            </w:tcBorders>
            <w:shd w:val="clear" w:color="auto" w:fill="FFFFFF"/>
            <w:vAlign w:val="center"/>
          </w:tcPr>
          <w:p w14:paraId="79C9CAFE">
            <w:pPr>
              <w:pStyle w:val="36"/>
              <w:ind w:firstLine="200"/>
            </w:pPr>
            <w:r>
              <w:rPr>
                <w:rFonts w:hint="eastAsia"/>
                <w:color w:val="000000"/>
              </w:rPr>
              <w:t>产出成本</w:t>
            </w:r>
          </w:p>
        </w:tc>
        <w:tc>
          <w:tcPr>
            <w:tcW w:w="2106" w:type="dxa"/>
            <w:tcBorders>
              <w:top w:val="single" w:color="auto" w:sz="4" w:space="0"/>
              <w:left w:val="single" w:color="auto" w:sz="4" w:space="0"/>
            </w:tcBorders>
            <w:shd w:val="clear" w:color="auto" w:fill="FFFFFF"/>
          </w:tcPr>
          <w:p w14:paraId="30EA47D6">
            <w:pPr>
              <w:pStyle w:val="36"/>
              <w:spacing w:line="204" w:lineRule="exact"/>
              <w:jc w:val="both"/>
            </w:pPr>
            <w:r>
              <w:rPr>
                <w:rFonts w:hint="eastAsia"/>
                <w:color w:val="000000"/>
              </w:rPr>
              <w:t>项目产出成本是否按绩效目</w:t>
            </w:r>
            <w:r>
              <w:rPr>
                <w:color w:val="000000"/>
              </w:rPr>
              <w:t xml:space="preserve"> </w:t>
            </w:r>
            <w:r>
              <w:rPr>
                <w:rFonts w:hint="eastAsia"/>
                <w:color w:val="000000"/>
              </w:rPr>
              <w:t>标控制（</w:t>
            </w:r>
            <w:r>
              <w:rPr>
                <w:rFonts w:hint="eastAsia"/>
                <w:color w:val="000000"/>
                <w:lang w:val="en-US" w:eastAsia="zh-CN"/>
              </w:rPr>
              <w:t>保证创贷要求的前提下，节约资金</w:t>
            </w:r>
            <w:r>
              <w:rPr>
                <w:rFonts w:hint="eastAsia"/>
                <w:color w:val="000000"/>
              </w:rPr>
              <w:t>）</w:t>
            </w:r>
          </w:p>
        </w:tc>
        <w:tc>
          <w:tcPr>
            <w:tcW w:w="2119" w:type="dxa"/>
            <w:tcBorders>
              <w:top w:val="single" w:color="auto" w:sz="4" w:space="0"/>
              <w:left w:val="single" w:color="auto" w:sz="4" w:space="0"/>
            </w:tcBorders>
            <w:shd w:val="clear" w:color="auto" w:fill="FFFFFF"/>
            <w:vAlign w:val="center"/>
          </w:tcPr>
          <w:p w14:paraId="0934285E">
            <w:pPr>
              <w:pStyle w:val="36"/>
              <w:jc w:val="both"/>
            </w:pPr>
            <w:r>
              <w:rPr>
                <w:rFonts w:hint="eastAsia"/>
                <w:color w:val="000000"/>
              </w:rPr>
              <w:t>对照绩效目标评价产出成本</w:t>
            </w:r>
          </w:p>
          <w:p w14:paraId="1861533E">
            <w:pPr>
              <w:pStyle w:val="36"/>
            </w:pPr>
            <w:r>
              <w:rPr>
                <w:rFonts w:hint="eastAsia"/>
                <w:color w:val="000000"/>
              </w:rPr>
              <w:t>（</w:t>
            </w:r>
            <w:r>
              <w:rPr>
                <w:rFonts w:ascii="Times New Roman" w:hAnsi="Times New Roman" w:cs="Times New Roman"/>
                <w:color w:val="000000"/>
              </w:rPr>
              <w:t>3</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079A48B9">
            <w:pPr>
              <w:pStyle w:val="36"/>
              <w:jc w:val="right"/>
            </w:pPr>
            <w:r>
              <w:rPr>
                <w:rFonts w:ascii="Times New Roman" w:hAnsi="Times New Roman" w:cs="Times New Roman"/>
                <w:color w:val="000000"/>
              </w:rPr>
              <w:t>3</w:t>
            </w:r>
          </w:p>
        </w:tc>
      </w:tr>
      <w:tr w14:paraId="04711156">
        <w:tblPrEx>
          <w:tblCellMar>
            <w:top w:w="0" w:type="dxa"/>
            <w:left w:w="10" w:type="dxa"/>
            <w:bottom w:w="0" w:type="dxa"/>
            <w:right w:w="10" w:type="dxa"/>
          </w:tblCellMar>
        </w:tblPrEx>
        <w:trPr>
          <w:trHeight w:val="625" w:hRule="exact"/>
          <w:jc w:val="center"/>
        </w:trPr>
        <w:tc>
          <w:tcPr>
            <w:tcW w:w="978" w:type="dxa"/>
            <w:vMerge w:val="continue"/>
            <w:tcBorders>
              <w:left w:val="single" w:color="auto" w:sz="4" w:space="0"/>
            </w:tcBorders>
            <w:shd w:val="clear" w:color="auto" w:fill="FFFFFF"/>
            <w:vAlign w:val="center"/>
          </w:tcPr>
          <w:p w14:paraId="2C355969"/>
        </w:tc>
        <w:tc>
          <w:tcPr>
            <w:tcW w:w="978" w:type="dxa"/>
            <w:vMerge w:val="continue"/>
            <w:tcBorders>
              <w:left w:val="single" w:color="auto" w:sz="4" w:space="0"/>
            </w:tcBorders>
            <w:shd w:val="clear" w:color="auto" w:fill="FFFFFF"/>
            <w:vAlign w:val="center"/>
          </w:tcPr>
          <w:p w14:paraId="2A840473"/>
        </w:tc>
        <w:tc>
          <w:tcPr>
            <w:tcW w:w="978" w:type="dxa"/>
            <w:vMerge w:val="restart"/>
            <w:tcBorders>
              <w:top w:val="single" w:color="auto" w:sz="4" w:space="0"/>
              <w:left w:val="single" w:color="auto" w:sz="4" w:space="0"/>
            </w:tcBorders>
            <w:shd w:val="clear" w:color="auto" w:fill="FFFFFF"/>
            <w:vAlign w:val="center"/>
          </w:tcPr>
          <w:p w14:paraId="65B02C82">
            <w:pPr>
              <w:pStyle w:val="36"/>
            </w:pPr>
            <w:r>
              <w:rPr>
                <w:rFonts w:hint="eastAsia"/>
                <w:color w:val="000000"/>
              </w:rPr>
              <w:t>项目效果</w:t>
            </w:r>
          </w:p>
        </w:tc>
        <w:tc>
          <w:tcPr>
            <w:tcW w:w="978" w:type="dxa"/>
            <w:vMerge w:val="restart"/>
            <w:tcBorders>
              <w:top w:val="single" w:color="auto" w:sz="4" w:space="0"/>
              <w:left w:val="single" w:color="auto" w:sz="4" w:space="0"/>
            </w:tcBorders>
            <w:shd w:val="clear" w:color="auto" w:fill="FFFFFF"/>
            <w:vAlign w:val="center"/>
          </w:tcPr>
          <w:p w14:paraId="3F4E643B">
            <w:pPr>
              <w:pStyle w:val="36"/>
              <w:jc w:val="center"/>
            </w:pPr>
            <w:r>
              <w:rPr>
                <w:rFonts w:ascii="Times New Roman" w:hAnsi="Times New Roman" w:cs="Times New Roman"/>
                <w:color w:val="000000"/>
              </w:rPr>
              <w:t>40</w:t>
            </w:r>
          </w:p>
        </w:tc>
        <w:tc>
          <w:tcPr>
            <w:tcW w:w="1195" w:type="dxa"/>
            <w:tcBorders>
              <w:top w:val="single" w:color="auto" w:sz="4" w:space="0"/>
              <w:left w:val="single" w:color="auto" w:sz="4" w:space="0"/>
            </w:tcBorders>
            <w:shd w:val="clear" w:color="auto" w:fill="FFFFFF"/>
            <w:vAlign w:val="center"/>
          </w:tcPr>
          <w:p w14:paraId="65384B0F">
            <w:pPr>
              <w:pStyle w:val="36"/>
              <w:ind w:firstLine="200"/>
            </w:pPr>
            <w:r>
              <w:rPr>
                <w:rFonts w:hint="eastAsia"/>
                <w:color w:val="000000"/>
              </w:rPr>
              <w:t>经济效益</w:t>
            </w:r>
          </w:p>
        </w:tc>
        <w:tc>
          <w:tcPr>
            <w:tcW w:w="2106" w:type="dxa"/>
            <w:tcBorders>
              <w:top w:val="single" w:color="auto" w:sz="4" w:space="0"/>
              <w:left w:val="single" w:color="auto" w:sz="4" w:space="0"/>
            </w:tcBorders>
            <w:shd w:val="clear" w:color="auto" w:fill="FFFFFF"/>
          </w:tcPr>
          <w:p w14:paraId="10272859">
            <w:pPr>
              <w:pStyle w:val="36"/>
              <w:spacing w:line="204" w:lineRule="exact"/>
              <w:jc w:val="both"/>
            </w:pPr>
            <w:r>
              <w:rPr>
                <w:rFonts w:hint="eastAsia"/>
                <w:color w:val="000000"/>
              </w:rPr>
              <w:t>项目实施是否产生直接或间</w:t>
            </w:r>
            <w:r>
              <w:rPr>
                <w:color w:val="000000"/>
              </w:rPr>
              <w:t xml:space="preserve"> </w:t>
            </w:r>
            <w:r>
              <w:rPr>
                <w:rFonts w:hint="eastAsia"/>
                <w:color w:val="000000"/>
              </w:rPr>
              <w:t>接经济效益（提案符合实</w:t>
            </w:r>
            <w:r>
              <w:rPr>
                <w:color w:val="000000"/>
              </w:rPr>
              <w:t xml:space="preserve"> </w:t>
            </w:r>
            <w:r>
              <w:rPr>
                <w:rFonts w:hint="eastAsia"/>
                <w:color w:val="000000"/>
              </w:rPr>
              <w:t>际，有利于促讲经济建设）</w:t>
            </w:r>
          </w:p>
        </w:tc>
        <w:tc>
          <w:tcPr>
            <w:tcW w:w="2119" w:type="dxa"/>
            <w:tcBorders>
              <w:top w:val="single" w:color="auto" w:sz="4" w:space="0"/>
              <w:left w:val="single" w:color="auto" w:sz="4" w:space="0"/>
            </w:tcBorders>
            <w:shd w:val="clear" w:color="auto" w:fill="FFFFFF"/>
            <w:vAlign w:val="bottom"/>
          </w:tcPr>
          <w:p w14:paraId="125FEFC0">
            <w:pPr>
              <w:pStyle w:val="36"/>
              <w:jc w:val="both"/>
            </w:pPr>
            <w:r>
              <w:rPr>
                <w:rFonts w:hint="eastAsia"/>
                <w:color w:val="000000"/>
              </w:rPr>
              <w:t>对照绩效目标评价经济效益</w:t>
            </w:r>
          </w:p>
          <w:p w14:paraId="71980B50">
            <w:pPr>
              <w:pStyle w:val="36"/>
            </w:pPr>
            <w:r>
              <w:rPr>
                <w:rFonts w:hint="eastAsia"/>
                <w:color w:val="000000"/>
              </w:rPr>
              <w:t>（</w:t>
            </w:r>
            <w:r>
              <w:rPr>
                <w:rFonts w:ascii="Times New Roman" w:hAnsi="Times New Roman" w:cs="Times New Roman"/>
                <w:color w:val="000000"/>
              </w:rPr>
              <w:t xml:space="preserve">12 </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3DC362B6">
            <w:pPr>
              <w:pStyle w:val="36"/>
              <w:jc w:val="right"/>
            </w:pPr>
            <w:r>
              <w:rPr>
                <w:rFonts w:ascii="Times New Roman" w:hAnsi="Times New Roman" w:cs="Times New Roman"/>
                <w:color w:val="000000"/>
              </w:rPr>
              <w:t>12</w:t>
            </w:r>
          </w:p>
        </w:tc>
      </w:tr>
      <w:tr w14:paraId="43C242CC">
        <w:tblPrEx>
          <w:tblCellMar>
            <w:top w:w="0" w:type="dxa"/>
            <w:left w:w="10" w:type="dxa"/>
            <w:bottom w:w="0" w:type="dxa"/>
            <w:right w:w="10" w:type="dxa"/>
          </w:tblCellMar>
        </w:tblPrEx>
        <w:trPr>
          <w:trHeight w:val="625" w:hRule="exact"/>
          <w:jc w:val="center"/>
        </w:trPr>
        <w:tc>
          <w:tcPr>
            <w:tcW w:w="978" w:type="dxa"/>
            <w:vMerge w:val="continue"/>
            <w:tcBorders>
              <w:left w:val="single" w:color="auto" w:sz="4" w:space="0"/>
            </w:tcBorders>
            <w:shd w:val="clear" w:color="auto" w:fill="FFFFFF"/>
            <w:vAlign w:val="center"/>
          </w:tcPr>
          <w:p w14:paraId="20F1244A"/>
        </w:tc>
        <w:tc>
          <w:tcPr>
            <w:tcW w:w="978" w:type="dxa"/>
            <w:vMerge w:val="continue"/>
            <w:tcBorders>
              <w:left w:val="single" w:color="auto" w:sz="4" w:space="0"/>
            </w:tcBorders>
            <w:shd w:val="clear" w:color="auto" w:fill="FFFFFF"/>
            <w:vAlign w:val="center"/>
          </w:tcPr>
          <w:p w14:paraId="7B36D45C"/>
        </w:tc>
        <w:tc>
          <w:tcPr>
            <w:tcW w:w="978" w:type="dxa"/>
            <w:vMerge w:val="continue"/>
            <w:tcBorders>
              <w:left w:val="single" w:color="auto" w:sz="4" w:space="0"/>
            </w:tcBorders>
            <w:shd w:val="clear" w:color="auto" w:fill="FFFFFF"/>
            <w:vAlign w:val="center"/>
          </w:tcPr>
          <w:p w14:paraId="7CBCC770"/>
        </w:tc>
        <w:tc>
          <w:tcPr>
            <w:tcW w:w="978" w:type="dxa"/>
            <w:vMerge w:val="continue"/>
            <w:tcBorders>
              <w:left w:val="single" w:color="auto" w:sz="4" w:space="0"/>
            </w:tcBorders>
            <w:shd w:val="clear" w:color="auto" w:fill="FFFFFF"/>
            <w:vAlign w:val="center"/>
          </w:tcPr>
          <w:p w14:paraId="0500CF02"/>
        </w:tc>
        <w:tc>
          <w:tcPr>
            <w:tcW w:w="1195" w:type="dxa"/>
            <w:tcBorders>
              <w:top w:val="single" w:color="auto" w:sz="4" w:space="0"/>
              <w:left w:val="single" w:color="auto" w:sz="4" w:space="0"/>
            </w:tcBorders>
            <w:shd w:val="clear" w:color="auto" w:fill="FFFFFF"/>
            <w:vAlign w:val="center"/>
          </w:tcPr>
          <w:p w14:paraId="2625CF32">
            <w:pPr>
              <w:pStyle w:val="36"/>
              <w:ind w:firstLine="200"/>
            </w:pPr>
            <w:r>
              <w:rPr>
                <w:rFonts w:hint="eastAsia"/>
                <w:color w:val="000000"/>
              </w:rPr>
              <w:t>社会效益</w:t>
            </w:r>
          </w:p>
        </w:tc>
        <w:tc>
          <w:tcPr>
            <w:tcW w:w="2106" w:type="dxa"/>
            <w:tcBorders>
              <w:top w:val="single" w:color="auto" w:sz="4" w:space="0"/>
              <w:left w:val="single" w:color="auto" w:sz="4" w:space="0"/>
            </w:tcBorders>
            <w:shd w:val="clear" w:color="auto" w:fill="FFFFFF"/>
          </w:tcPr>
          <w:p w14:paraId="16A4C824">
            <w:pPr>
              <w:pStyle w:val="36"/>
              <w:spacing w:line="204" w:lineRule="exact"/>
              <w:jc w:val="both"/>
            </w:pPr>
            <w:r>
              <w:rPr>
                <w:rFonts w:hint="eastAsia"/>
                <w:color w:val="000000"/>
              </w:rPr>
              <w:t>项目实施是否产生社会综合</w:t>
            </w:r>
            <w:r>
              <w:rPr>
                <w:color w:val="000000"/>
              </w:rPr>
              <w:t xml:space="preserve"> </w:t>
            </w:r>
            <w:r>
              <w:rPr>
                <w:rFonts w:hint="eastAsia"/>
                <w:color w:val="000000"/>
              </w:rPr>
              <w:t>效益（提案符合实际，有利</w:t>
            </w:r>
            <w:r>
              <w:rPr>
                <w:color w:val="000000"/>
              </w:rPr>
              <w:t xml:space="preserve"> </w:t>
            </w:r>
            <w:r>
              <w:rPr>
                <w:rFonts w:hint="eastAsia"/>
                <w:color w:val="000000"/>
              </w:rPr>
              <w:t>于促讲社会建设）</w:t>
            </w:r>
          </w:p>
        </w:tc>
        <w:tc>
          <w:tcPr>
            <w:tcW w:w="2119" w:type="dxa"/>
            <w:tcBorders>
              <w:top w:val="single" w:color="auto" w:sz="4" w:space="0"/>
              <w:left w:val="single" w:color="auto" w:sz="4" w:space="0"/>
            </w:tcBorders>
            <w:shd w:val="clear" w:color="auto" w:fill="FFFFFF"/>
            <w:vAlign w:val="bottom"/>
          </w:tcPr>
          <w:p w14:paraId="22E08F1E">
            <w:pPr>
              <w:pStyle w:val="36"/>
              <w:jc w:val="both"/>
            </w:pPr>
            <w:r>
              <w:rPr>
                <w:rFonts w:hint="eastAsia"/>
                <w:color w:val="000000"/>
              </w:rPr>
              <w:t>对照绩效目标评价社会效益</w:t>
            </w:r>
          </w:p>
          <w:p w14:paraId="0EA1EA8F">
            <w:pPr>
              <w:pStyle w:val="36"/>
            </w:pPr>
            <w:r>
              <w:rPr>
                <w:rFonts w:hint="eastAsia"/>
                <w:color w:val="000000"/>
              </w:rPr>
              <w:t>（</w:t>
            </w:r>
            <w:r>
              <w:rPr>
                <w:rFonts w:ascii="Times New Roman" w:hAnsi="Times New Roman" w:cs="Times New Roman"/>
                <w:color w:val="000000"/>
              </w:rPr>
              <w:t xml:space="preserve">12 </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76BD3A28">
            <w:pPr>
              <w:pStyle w:val="36"/>
              <w:jc w:val="right"/>
            </w:pPr>
            <w:r>
              <w:rPr>
                <w:rFonts w:ascii="Times New Roman" w:hAnsi="Times New Roman" w:cs="Times New Roman"/>
                <w:color w:val="000000"/>
              </w:rPr>
              <w:t>12</w:t>
            </w:r>
          </w:p>
        </w:tc>
      </w:tr>
      <w:tr w14:paraId="39356548">
        <w:tblPrEx>
          <w:tblCellMar>
            <w:top w:w="0" w:type="dxa"/>
            <w:left w:w="10" w:type="dxa"/>
            <w:bottom w:w="0" w:type="dxa"/>
            <w:right w:w="10" w:type="dxa"/>
          </w:tblCellMar>
        </w:tblPrEx>
        <w:trPr>
          <w:trHeight w:val="625" w:hRule="exact"/>
          <w:jc w:val="center"/>
        </w:trPr>
        <w:tc>
          <w:tcPr>
            <w:tcW w:w="978" w:type="dxa"/>
            <w:vMerge w:val="continue"/>
            <w:tcBorders>
              <w:left w:val="single" w:color="auto" w:sz="4" w:space="0"/>
            </w:tcBorders>
            <w:shd w:val="clear" w:color="auto" w:fill="FFFFFF"/>
            <w:vAlign w:val="center"/>
          </w:tcPr>
          <w:p w14:paraId="06EDB4B4"/>
        </w:tc>
        <w:tc>
          <w:tcPr>
            <w:tcW w:w="978" w:type="dxa"/>
            <w:vMerge w:val="continue"/>
            <w:tcBorders>
              <w:left w:val="single" w:color="auto" w:sz="4" w:space="0"/>
            </w:tcBorders>
            <w:shd w:val="clear" w:color="auto" w:fill="FFFFFF"/>
            <w:vAlign w:val="center"/>
          </w:tcPr>
          <w:p w14:paraId="4821F308"/>
        </w:tc>
        <w:tc>
          <w:tcPr>
            <w:tcW w:w="978" w:type="dxa"/>
            <w:vMerge w:val="continue"/>
            <w:tcBorders>
              <w:left w:val="single" w:color="auto" w:sz="4" w:space="0"/>
            </w:tcBorders>
            <w:shd w:val="clear" w:color="auto" w:fill="FFFFFF"/>
            <w:vAlign w:val="center"/>
          </w:tcPr>
          <w:p w14:paraId="05699FE8"/>
        </w:tc>
        <w:tc>
          <w:tcPr>
            <w:tcW w:w="978" w:type="dxa"/>
            <w:vMerge w:val="continue"/>
            <w:tcBorders>
              <w:left w:val="single" w:color="auto" w:sz="4" w:space="0"/>
            </w:tcBorders>
            <w:shd w:val="clear" w:color="auto" w:fill="FFFFFF"/>
            <w:vAlign w:val="center"/>
          </w:tcPr>
          <w:p w14:paraId="2FF5B918"/>
        </w:tc>
        <w:tc>
          <w:tcPr>
            <w:tcW w:w="1195" w:type="dxa"/>
            <w:tcBorders>
              <w:top w:val="single" w:color="auto" w:sz="4" w:space="0"/>
              <w:left w:val="single" w:color="auto" w:sz="4" w:space="0"/>
            </w:tcBorders>
            <w:shd w:val="clear" w:color="auto" w:fill="FFFFFF"/>
            <w:vAlign w:val="center"/>
          </w:tcPr>
          <w:p w14:paraId="684EED89">
            <w:pPr>
              <w:pStyle w:val="36"/>
              <w:ind w:firstLine="200"/>
            </w:pPr>
            <w:r>
              <w:rPr>
                <w:rFonts w:hint="eastAsia"/>
                <w:color w:val="000000"/>
              </w:rPr>
              <w:t>生态效益</w:t>
            </w:r>
          </w:p>
        </w:tc>
        <w:tc>
          <w:tcPr>
            <w:tcW w:w="2106" w:type="dxa"/>
            <w:tcBorders>
              <w:top w:val="single" w:color="auto" w:sz="4" w:space="0"/>
              <w:left w:val="single" w:color="auto" w:sz="4" w:space="0"/>
            </w:tcBorders>
            <w:shd w:val="clear" w:color="auto" w:fill="FFFFFF"/>
          </w:tcPr>
          <w:p w14:paraId="3F33195D">
            <w:pPr>
              <w:pStyle w:val="36"/>
              <w:spacing w:line="204" w:lineRule="exact"/>
              <w:jc w:val="both"/>
            </w:pPr>
            <w:r>
              <w:rPr>
                <w:rFonts w:hint="eastAsia"/>
                <w:color w:val="000000"/>
              </w:rPr>
              <w:t>项目实施是否对生态产生租</w:t>
            </w:r>
            <w:r>
              <w:rPr>
                <w:color w:val="000000"/>
              </w:rPr>
              <w:t xml:space="preserve"> </w:t>
            </w:r>
            <w:r>
              <w:rPr>
                <w:rFonts w:hint="eastAsia"/>
                <w:color w:val="000000"/>
              </w:rPr>
              <w:t>极或消极影响（提案符合实</w:t>
            </w:r>
            <w:r>
              <w:rPr>
                <w:color w:val="000000"/>
              </w:rPr>
              <w:t xml:space="preserve"> </w:t>
            </w:r>
            <w:r>
              <w:rPr>
                <w:rFonts w:hint="eastAsia"/>
                <w:color w:val="000000"/>
              </w:rPr>
              <w:t>际，有利于促讲生态建设）</w:t>
            </w:r>
          </w:p>
        </w:tc>
        <w:tc>
          <w:tcPr>
            <w:tcW w:w="2119" w:type="dxa"/>
            <w:tcBorders>
              <w:top w:val="single" w:color="auto" w:sz="4" w:space="0"/>
              <w:left w:val="single" w:color="auto" w:sz="4" w:space="0"/>
            </w:tcBorders>
            <w:shd w:val="clear" w:color="auto" w:fill="FFFFFF"/>
            <w:vAlign w:val="bottom"/>
          </w:tcPr>
          <w:p w14:paraId="584B0937">
            <w:pPr>
              <w:pStyle w:val="36"/>
              <w:jc w:val="both"/>
            </w:pPr>
            <w:r>
              <w:rPr>
                <w:rFonts w:hint="eastAsia"/>
                <w:color w:val="000000"/>
              </w:rPr>
              <w:t>对照绩效目标评价耳墳效益</w:t>
            </w:r>
          </w:p>
          <w:p w14:paraId="0C3A0E45">
            <w:pPr>
              <w:pStyle w:val="36"/>
              <w:spacing w:line="230" w:lineRule="auto"/>
            </w:pPr>
            <w:r>
              <w:rPr>
                <w:rFonts w:ascii="Times New Roman" w:hAnsi="Times New Roman" w:cs="Times New Roman"/>
                <w:color w:val="000000"/>
                <w:lang w:val="en-US" w:eastAsia="en-US"/>
              </w:rPr>
              <w:t>H2</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vAlign w:val="bottom"/>
          </w:tcPr>
          <w:p w14:paraId="674F5149">
            <w:pPr>
              <w:pStyle w:val="36"/>
              <w:jc w:val="right"/>
            </w:pPr>
            <w:r>
              <w:rPr>
                <w:rFonts w:ascii="Times New Roman" w:hAnsi="Times New Roman" w:cs="Times New Roman"/>
                <w:color w:val="000000"/>
              </w:rPr>
              <w:t>12</w:t>
            </w:r>
          </w:p>
        </w:tc>
      </w:tr>
      <w:tr w14:paraId="4017E940">
        <w:tblPrEx>
          <w:tblCellMar>
            <w:top w:w="0" w:type="dxa"/>
            <w:left w:w="10" w:type="dxa"/>
            <w:bottom w:w="0" w:type="dxa"/>
            <w:right w:w="10" w:type="dxa"/>
          </w:tblCellMar>
        </w:tblPrEx>
        <w:trPr>
          <w:trHeight w:val="625" w:hRule="exact"/>
          <w:jc w:val="center"/>
        </w:trPr>
        <w:tc>
          <w:tcPr>
            <w:tcW w:w="978" w:type="dxa"/>
            <w:vMerge w:val="continue"/>
            <w:tcBorders>
              <w:left w:val="single" w:color="auto" w:sz="4" w:space="0"/>
            </w:tcBorders>
            <w:shd w:val="clear" w:color="auto" w:fill="FFFFFF"/>
            <w:vAlign w:val="center"/>
          </w:tcPr>
          <w:p w14:paraId="7F1EC334"/>
        </w:tc>
        <w:tc>
          <w:tcPr>
            <w:tcW w:w="978" w:type="dxa"/>
            <w:vMerge w:val="continue"/>
            <w:tcBorders>
              <w:left w:val="single" w:color="auto" w:sz="4" w:space="0"/>
            </w:tcBorders>
            <w:shd w:val="clear" w:color="auto" w:fill="FFFFFF"/>
            <w:vAlign w:val="center"/>
          </w:tcPr>
          <w:p w14:paraId="5AD3FF6C"/>
        </w:tc>
        <w:tc>
          <w:tcPr>
            <w:tcW w:w="978" w:type="dxa"/>
            <w:vMerge w:val="continue"/>
            <w:tcBorders>
              <w:left w:val="single" w:color="auto" w:sz="4" w:space="0"/>
            </w:tcBorders>
            <w:shd w:val="clear" w:color="auto" w:fill="FFFFFF"/>
            <w:vAlign w:val="center"/>
          </w:tcPr>
          <w:p w14:paraId="6A8291D9"/>
        </w:tc>
        <w:tc>
          <w:tcPr>
            <w:tcW w:w="978" w:type="dxa"/>
            <w:vMerge w:val="continue"/>
            <w:tcBorders>
              <w:left w:val="single" w:color="auto" w:sz="4" w:space="0"/>
            </w:tcBorders>
            <w:shd w:val="clear" w:color="auto" w:fill="FFFFFF"/>
            <w:vAlign w:val="center"/>
          </w:tcPr>
          <w:p w14:paraId="130DD996"/>
        </w:tc>
        <w:tc>
          <w:tcPr>
            <w:tcW w:w="1195" w:type="dxa"/>
            <w:tcBorders>
              <w:top w:val="single" w:color="auto" w:sz="4" w:space="0"/>
              <w:left w:val="single" w:color="auto" w:sz="4" w:space="0"/>
            </w:tcBorders>
            <w:shd w:val="clear" w:color="auto" w:fill="FFFFFF"/>
            <w:vAlign w:val="bottom"/>
          </w:tcPr>
          <w:p w14:paraId="10134E16">
            <w:pPr>
              <w:pStyle w:val="36"/>
              <w:spacing w:line="217" w:lineRule="exact"/>
              <w:jc w:val="center"/>
            </w:pPr>
            <w:r>
              <w:rPr>
                <w:rFonts w:hint="eastAsia"/>
                <w:color w:val="000000"/>
              </w:rPr>
              <w:t>服务对象满意</w:t>
            </w:r>
            <w:r>
              <w:rPr>
                <w:color w:val="000000"/>
              </w:rPr>
              <w:t xml:space="preserve"> </w:t>
            </w:r>
            <w:r>
              <w:rPr>
                <w:rFonts w:hint="eastAsia"/>
                <w:color w:val="000000"/>
              </w:rPr>
              <w:t>度</w:t>
            </w:r>
          </w:p>
        </w:tc>
        <w:tc>
          <w:tcPr>
            <w:tcW w:w="2106" w:type="dxa"/>
            <w:tcBorders>
              <w:top w:val="single" w:color="auto" w:sz="4" w:space="0"/>
              <w:left w:val="single" w:color="auto" w:sz="4" w:space="0"/>
            </w:tcBorders>
            <w:shd w:val="clear" w:color="auto" w:fill="FFFFFF"/>
          </w:tcPr>
          <w:p w14:paraId="1B3AF94E">
            <w:pPr>
              <w:pStyle w:val="36"/>
              <w:spacing w:line="183" w:lineRule="exact"/>
              <w:jc w:val="both"/>
            </w:pPr>
            <w:r>
              <w:rPr>
                <w:rFonts w:hint="eastAsia"/>
                <w:color w:val="000000"/>
              </w:rPr>
              <w:t>项目预期服务对象对项目实</w:t>
            </w:r>
            <w:r>
              <w:rPr>
                <w:color w:val="000000"/>
              </w:rPr>
              <w:t xml:space="preserve"> </w:t>
            </w:r>
            <w:r>
              <w:rPr>
                <w:rFonts w:hint="eastAsia"/>
                <w:color w:val="000000"/>
              </w:rPr>
              <w:t>施的满意程度（创业担保贷款人员满意度</w:t>
            </w:r>
            <w:r>
              <w:rPr>
                <w:color w:val="000000"/>
              </w:rPr>
              <w:t>;</w:t>
            </w:r>
            <w:r>
              <w:rPr>
                <w:rFonts w:ascii="Times New Roman" w:hAnsi="Times New Roman" w:cs="Times New Roman"/>
                <w:color w:val="000000"/>
              </w:rPr>
              <w:t>&gt;95%</w:t>
            </w:r>
            <w:r>
              <w:rPr>
                <w:rFonts w:hint="eastAsia" w:ascii="Times New Roman" w:hAnsi="Times New Roman" w:cs="Times New Roman"/>
                <w:color w:val="000000"/>
              </w:rPr>
              <w:t>）</w:t>
            </w:r>
          </w:p>
        </w:tc>
        <w:tc>
          <w:tcPr>
            <w:tcW w:w="2119" w:type="dxa"/>
            <w:tcBorders>
              <w:top w:val="single" w:color="auto" w:sz="4" w:space="0"/>
              <w:left w:val="single" w:color="auto" w:sz="4" w:space="0"/>
            </w:tcBorders>
            <w:shd w:val="clear" w:color="auto" w:fill="FFFFFF"/>
            <w:vAlign w:val="bottom"/>
          </w:tcPr>
          <w:p w14:paraId="341D6FBA">
            <w:pPr>
              <w:pStyle w:val="36"/>
            </w:pPr>
            <w:r>
              <w:rPr>
                <w:rFonts w:hint="eastAsia"/>
                <w:color w:val="000000"/>
              </w:rPr>
              <w:t>对照绩效目标评价服务对象</w:t>
            </w:r>
          </w:p>
          <w:p w14:paraId="67AFF7BE">
            <w:pPr>
              <w:pStyle w:val="36"/>
            </w:pPr>
            <w:r>
              <w:rPr>
                <w:rFonts w:hint="eastAsia"/>
                <w:color w:val="000000"/>
              </w:rPr>
              <w:t>满意度（</w:t>
            </w:r>
            <w:r>
              <w:rPr>
                <w:rFonts w:ascii="Times New Roman" w:hAnsi="Times New Roman" w:cs="Times New Roman"/>
                <w:color w:val="000000"/>
              </w:rPr>
              <w:t>4</w:t>
            </w:r>
            <w:r>
              <w:rPr>
                <w:rFonts w:hint="eastAsia"/>
                <w:color w:val="000000"/>
              </w:rPr>
              <w:t>分）</w:t>
            </w:r>
          </w:p>
        </w:tc>
        <w:tc>
          <w:tcPr>
            <w:tcW w:w="978" w:type="dxa"/>
            <w:tcBorders>
              <w:top w:val="single" w:color="auto" w:sz="4" w:space="0"/>
              <w:left w:val="single" w:color="auto" w:sz="4" w:space="0"/>
              <w:right w:val="single" w:color="auto" w:sz="4" w:space="0"/>
            </w:tcBorders>
            <w:shd w:val="clear" w:color="auto" w:fill="FFFFFF"/>
          </w:tcPr>
          <w:p w14:paraId="7ECAA51C">
            <w:pPr>
              <w:rPr>
                <w:sz w:val="10"/>
                <w:szCs w:val="10"/>
              </w:rPr>
            </w:pPr>
          </w:p>
        </w:tc>
      </w:tr>
      <w:tr w14:paraId="35CFF8F6">
        <w:tblPrEx>
          <w:tblCellMar>
            <w:top w:w="0" w:type="dxa"/>
            <w:left w:w="10" w:type="dxa"/>
            <w:bottom w:w="0" w:type="dxa"/>
            <w:right w:w="10" w:type="dxa"/>
          </w:tblCellMar>
        </w:tblPrEx>
        <w:trPr>
          <w:trHeight w:val="299" w:hRule="exact"/>
          <w:jc w:val="center"/>
        </w:trPr>
        <w:tc>
          <w:tcPr>
            <w:tcW w:w="978" w:type="dxa"/>
            <w:tcBorders>
              <w:top w:val="single" w:color="auto" w:sz="4" w:space="0"/>
              <w:left w:val="single" w:color="auto" w:sz="4" w:space="0"/>
              <w:bottom w:val="single" w:color="auto" w:sz="4" w:space="0"/>
            </w:tcBorders>
            <w:shd w:val="clear" w:color="auto" w:fill="FFFFFF"/>
            <w:vAlign w:val="center"/>
          </w:tcPr>
          <w:p w14:paraId="229AEBC1">
            <w:pPr>
              <w:pStyle w:val="36"/>
              <w:jc w:val="center"/>
            </w:pPr>
            <w:r>
              <w:rPr>
                <w:rFonts w:hint="eastAsia"/>
                <w:color w:val="000000"/>
              </w:rPr>
              <w:t>总分</w:t>
            </w:r>
          </w:p>
        </w:tc>
        <w:tc>
          <w:tcPr>
            <w:tcW w:w="978" w:type="dxa"/>
            <w:tcBorders>
              <w:top w:val="single" w:color="auto" w:sz="4" w:space="0"/>
              <w:left w:val="single" w:color="auto" w:sz="4" w:space="0"/>
              <w:bottom w:val="single" w:color="auto" w:sz="4" w:space="0"/>
            </w:tcBorders>
            <w:shd w:val="clear" w:color="auto" w:fill="FFFFFF"/>
            <w:vAlign w:val="center"/>
          </w:tcPr>
          <w:p w14:paraId="65BDEB76">
            <w:pPr>
              <w:pStyle w:val="36"/>
              <w:jc w:val="center"/>
              <w:rPr>
                <w:sz w:val="15"/>
                <w:szCs w:val="15"/>
              </w:rPr>
            </w:pPr>
            <w:r>
              <w:rPr>
                <w:rFonts w:ascii="Times New Roman" w:hAnsi="Times New Roman" w:cs="Times New Roman"/>
                <w:b/>
                <w:bCs/>
                <w:color w:val="000000"/>
                <w:sz w:val="15"/>
                <w:szCs w:val="15"/>
              </w:rPr>
              <w:t>100</w:t>
            </w:r>
          </w:p>
        </w:tc>
        <w:tc>
          <w:tcPr>
            <w:tcW w:w="978" w:type="dxa"/>
            <w:tcBorders>
              <w:top w:val="single" w:color="auto" w:sz="4" w:space="0"/>
              <w:left w:val="single" w:color="auto" w:sz="4" w:space="0"/>
              <w:bottom w:val="single" w:color="auto" w:sz="4" w:space="0"/>
            </w:tcBorders>
            <w:shd w:val="clear" w:color="auto" w:fill="FFFFFF"/>
          </w:tcPr>
          <w:p w14:paraId="3176E40B">
            <w:pPr>
              <w:rPr>
                <w:sz w:val="10"/>
                <w:szCs w:val="10"/>
              </w:rPr>
            </w:pPr>
          </w:p>
        </w:tc>
        <w:tc>
          <w:tcPr>
            <w:tcW w:w="978" w:type="dxa"/>
            <w:tcBorders>
              <w:top w:val="single" w:color="auto" w:sz="4" w:space="0"/>
              <w:left w:val="single" w:color="auto" w:sz="4" w:space="0"/>
              <w:bottom w:val="single" w:color="auto" w:sz="4" w:space="0"/>
            </w:tcBorders>
            <w:shd w:val="clear" w:color="auto" w:fill="FFFFFF"/>
            <w:vAlign w:val="center"/>
          </w:tcPr>
          <w:p w14:paraId="61B5EA8C">
            <w:pPr>
              <w:pStyle w:val="36"/>
              <w:jc w:val="center"/>
              <w:rPr>
                <w:sz w:val="15"/>
                <w:szCs w:val="15"/>
              </w:rPr>
            </w:pPr>
            <w:r>
              <w:rPr>
                <w:rFonts w:ascii="Times New Roman" w:hAnsi="Times New Roman" w:cs="Times New Roman"/>
                <w:b/>
                <w:bCs/>
                <w:color w:val="000000"/>
                <w:sz w:val="15"/>
                <w:szCs w:val="15"/>
              </w:rPr>
              <w:t>100</w:t>
            </w:r>
          </w:p>
        </w:tc>
        <w:tc>
          <w:tcPr>
            <w:tcW w:w="1195" w:type="dxa"/>
            <w:tcBorders>
              <w:top w:val="single" w:color="auto" w:sz="4" w:space="0"/>
              <w:left w:val="single" w:color="auto" w:sz="4" w:space="0"/>
              <w:bottom w:val="single" w:color="auto" w:sz="4" w:space="0"/>
            </w:tcBorders>
            <w:shd w:val="clear" w:color="auto" w:fill="FFFFFF"/>
          </w:tcPr>
          <w:p w14:paraId="566266B8">
            <w:pPr>
              <w:rPr>
                <w:sz w:val="10"/>
                <w:szCs w:val="10"/>
              </w:rPr>
            </w:pPr>
          </w:p>
        </w:tc>
        <w:tc>
          <w:tcPr>
            <w:tcW w:w="2106" w:type="dxa"/>
            <w:tcBorders>
              <w:top w:val="single" w:color="auto" w:sz="4" w:space="0"/>
              <w:left w:val="single" w:color="auto" w:sz="4" w:space="0"/>
              <w:bottom w:val="single" w:color="auto" w:sz="4" w:space="0"/>
            </w:tcBorders>
            <w:shd w:val="clear" w:color="auto" w:fill="FFFFFF"/>
          </w:tcPr>
          <w:p w14:paraId="7B7B34DA">
            <w:pPr>
              <w:rPr>
                <w:sz w:val="10"/>
                <w:szCs w:val="10"/>
              </w:rPr>
            </w:pPr>
          </w:p>
        </w:tc>
        <w:tc>
          <w:tcPr>
            <w:tcW w:w="2119" w:type="dxa"/>
            <w:tcBorders>
              <w:top w:val="single" w:color="auto" w:sz="4" w:space="0"/>
              <w:left w:val="single" w:color="auto" w:sz="4" w:space="0"/>
              <w:bottom w:val="single" w:color="auto" w:sz="4" w:space="0"/>
            </w:tcBorders>
            <w:shd w:val="clear" w:color="auto" w:fill="FFFFFF"/>
          </w:tcPr>
          <w:p w14:paraId="286F05CF">
            <w:pPr>
              <w:rPr>
                <w:sz w:val="10"/>
                <w:szCs w:val="10"/>
              </w:rPr>
            </w:pPr>
          </w:p>
        </w:tc>
        <w:tc>
          <w:tcPr>
            <w:tcW w:w="978" w:type="dxa"/>
            <w:tcBorders>
              <w:top w:val="single" w:color="auto" w:sz="4" w:space="0"/>
              <w:left w:val="single" w:color="auto" w:sz="4" w:space="0"/>
              <w:bottom w:val="single" w:color="auto" w:sz="4" w:space="0"/>
              <w:right w:val="single" w:color="auto" w:sz="4" w:space="0"/>
            </w:tcBorders>
            <w:shd w:val="clear" w:color="auto" w:fill="FFFFFF"/>
            <w:vAlign w:val="center"/>
          </w:tcPr>
          <w:p w14:paraId="667708F3">
            <w:pPr>
              <w:pStyle w:val="36"/>
              <w:jc w:val="right"/>
            </w:pPr>
            <w:r>
              <w:rPr>
                <w:rFonts w:ascii="Times New Roman" w:hAnsi="Times New Roman" w:cs="Times New Roman"/>
                <w:color w:val="000000"/>
              </w:rPr>
              <w:t>96</w:t>
            </w:r>
          </w:p>
        </w:tc>
      </w:tr>
    </w:tbl>
    <w:p w14:paraId="6FB52164">
      <w:pPr>
        <w:pStyle w:val="3"/>
        <w:spacing w:before="0" w:after="0" w:line="580" w:lineRule="exact"/>
        <w:ind w:firstLine="640" w:firstLineChars="200"/>
        <w:rPr>
          <w:rFonts w:ascii="黑体" w:eastAsia="黑体"/>
          <w:b w:val="0"/>
          <w:bCs w:val="0"/>
        </w:rPr>
      </w:pPr>
      <w:r>
        <w:rPr>
          <w:rFonts w:hint="eastAsia" w:ascii="黑体" w:eastAsia="黑体"/>
          <w:b w:val="0"/>
          <w:bCs w:val="0"/>
        </w:rPr>
        <w:t>七、其他重要事项的说明</w:t>
      </w:r>
    </w:p>
    <w:p w14:paraId="348BB02C">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14:paraId="3C7E23DF">
      <w:pPr>
        <w:adjustRightInd w:val="0"/>
        <w:snapToGrid w:val="0"/>
        <w:spacing w:after="0" w:line="580" w:lineRule="exact"/>
        <w:ind w:firstLine="640" w:firstLineChars="200"/>
        <w:rPr>
          <w:rFonts w:ascii="仿宋_GB2312" w:eastAsia="仿宋_GB2312" w:cs="宋体"/>
          <w:sz w:val="32"/>
          <w:szCs w:val="32"/>
        </w:rPr>
      </w:pPr>
      <w:r>
        <w:rPr>
          <w:rFonts w:ascii="仿宋_GB2312" w:eastAsia="仿宋_GB2312" w:cs="DengXian-Regular"/>
          <w:sz w:val="32"/>
          <w:szCs w:val="32"/>
        </w:rPr>
        <w:t>2018</w:t>
      </w:r>
      <w:r>
        <w:rPr>
          <w:rFonts w:hint="eastAsia" w:ascii="仿宋_GB2312" w:eastAsia="仿宋_GB2312" w:cs="DengXian-Regular"/>
          <w:sz w:val="32"/>
          <w:szCs w:val="32"/>
        </w:rPr>
        <w:t>年度机关运行经费支出</w:t>
      </w:r>
      <w:r>
        <w:rPr>
          <w:rFonts w:hint="eastAsia" w:ascii="仿宋_GB2312" w:eastAsia="仿宋_GB2312" w:cs="DengXian-Regular"/>
          <w:sz w:val="32"/>
          <w:szCs w:val="32"/>
          <w:lang w:val="en-US" w:eastAsia="zh-CN"/>
        </w:rPr>
        <w:t>75.19</w:t>
      </w:r>
      <w:r>
        <w:rPr>
          <w:rFonts w:hint="eastAsia" w:ascii="仿宋_GB2312" w:eastAsia="仿宋_GB2312" w:cs="DengXian-Regular"/>
          <w:sz w:val="32"/>
          <w:szCs w:val="32"/>
        </w:rPr>
        <w:t>万元，比年初预算减少</w:t>
      </w:r>
      <w:r>
        <w:rPr>
          <w:rFonts w:hint="eastAsia" w:ascii="仿宋_GB2312" w:eastAsia="仿宋_GB2312" w:cs="DengXian-Regular"/>
          <w:sz w:val="32"/>
          <w:szCs w:val="32"/>
          <w:lang w:val="en-US" w:eastAsia="zh-CN"/>
        </w:rPr>
        <w:t>4.21</w:t>
      </w:r>
      <w:r>
        <w:rPr>
          <w:rFonts w:hint="eastAsia" w:ascii="仿宋_GB2312" w:eastAsia="仿宋_GB2312" w:cs="DengXian-Regular"/>
          <w:sz w:val="32"/>
          <w:szCs w:val="32"/>
        </w:rPr>
        <w:t>万元，主要原因是倡导节俭意识，</w:t>
      </w:r>
      <w:r>
        <w:rPr>
          <w:rFonts w:hint="eastAsia" w:ascii="仿宋_GB2312" w:hAnsi="宋体" w:eastAsia="仿宋_GB2312" w:cs="宋体"/>
          <w:color w:val="000000"/>
          <w:kern w:val="0"/>
          <w:sz w:val="32"/>
          <w:szCs w:val="32"/>
        </w:rPr>
        <w:t>认真贯彻落实中央、省、市、县关于厉行节约的各项要求，进一步从严控制</w:t>
      </w:r>
      <w:r>
        <w:rPr>
          <w:rFonts w:hint="eastAsia" w:ascii="仿宋_GB2312" w:hAnsi="宋体" w:eastAsia="仿宋_GB2312" w:cs="宋体"/>
          <w:color w:val="000000"/>
          <w:kern w:val="0"/>
          <w:sz w:val="32"/>
          <w:szCs w:val="32"/>
          <w:lang w:eastAsia="zh-CN"/>
        </w:rPr>
        <w:t>“三公”经费</w:t>
      </w:r>
      <w:r>
        <w:rPr>
          <w:rFonts w:hint="eastAsia" w:ascii="仿宋_GB2312" w:hAnsi="宋体" w:eastAsia="仿宋_GB2312" w:cs="宋体"/>
          <w:color w:val="000000"/>
          <w:kern w:val="0"/>
          <w:sz w:val="32"/>
          <w:szCs w:val="32"/>
        </w:rPr>
        <w:t>及办公经费开支。</w:t>
      </w:r>
    </w:p>
    <w:p w14:paraId="747E25A0">
      <w:pPr>
        <w:adjustRightInd w:val="0"/>
        <w:snapToGrid w:val="0"/>
        <w:spacing w:after="0"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（二）政府采购情况</w:t>
      </w:r>
    </w:p>
    <w:p w14:paraId="408CCA8B">
      <w:pPr>
        <w:widowControl/>
        <w:spacing w:after="0" w:line="580" w:lineRule="exact"/>
        <w:ind w:firstLine="640" w:firstLineChars="200"/>
        <w:jc w:val="left"/>
        <w:rPr>
          <w:rFonts w:ascii="仿宋_GB2312" w:eastAsia="仿宋_GB2312" w:cs="DengXian-Regular"/>
          <w:sz w:val="32"/>
          <w:szCs w:val="32"/>
        </w:rPr>
      </w:pPr>
      <w:r>
        <w:rPr>
          <w:rFonts w:ascii="仿宋_GB2312" w:eastAsia="仿宋_GB2312" w:cs="DengXian-Regular"/>
          <w:sz w:val="32"/>
          <w:szCs w:val="32"/>
        </w:rPr>
        <w:t>2018</w:t>
      </w:r>
      <w:r>
        <w:rPr>
          <w:rFonts w:hint="eastAsia" w:ascii="仿宋_GB2312" w:eastAsia="仿宋_GB2312" w:cs="DengXian-Regular"/>
          <w:sz w:val="32"/>
          <w:szCs w:val="32"/>
        </w:rPr>
        <w:t>年度政府采购支出总额</w:t>
      </w:r>
      <w:r>
        <w:rPr>
          <w:rFonts w:ascii="仿宋_GB2312" w:eastAsia="仿宋_GB2312" w:cs="DengXian-Regular"/>
          <w:sz w:val="32"/>
          <w:szCs w:val="32"/>
        </w:rPr>
        <w:t>1.5</w:t>
      </w:r>
      <w:r>
        <w:rPr>
          <w:rFonts w:hint="eastAsia" w:ascii="仿宋_GB2312" w:eastAsia="仿宋_GB2312" w:cs="DengXian-Regular"/>
          <w:sz w:val="32"/>
          <w:szCs w:val="32"/>
        </w:rPr>
        <w:t>万元，从采购类型来看，政府采购货物支出</w:t>
      </w:r>
      <w:r>
        <w:rPr>
          <w:rFonts w:ascii="仿宋_GB2312" w:eastAsia="仿宋_GB2312" w:cs="DengXian-Regular"/>
          <w:sz w:val="32"/>
          <w:szCs w:val="32"/>
        </w:rPr>
        <w:t>1.5</w:t>
      </w:r>
      <w:r>
        <w:rPr>
          <w:rFonts w:hint="eastAsia" w:ascii="仿宋_GB2312" w:eastAsia="仿宋_GB2312" w:cs="DengXian-Regular"/>
          <w:sz w:val="32"/>
          <w:szCs w:val="32"/>
        </w:rPr>
        <w:t>万元，占政府采购支出总额的</w:t>
      </w:r>
      <w:r>
        <w:rPr>
          <w:rFonts w:ascii="仿宋_GB2312" w:eastAsia="仿宋_GB2312" w:cs="DengXian-Regular"/>
          <w:sz w:val="32"/>
          <w:szCs w:val="32"/>
        </w:rPr>
        <w:t>100%</w:t>
      </w:r>
      <w:r>
        <w:rPr>
          <w:rFonts w:hint="eastAsia" w:ascii="仿宋_GB2312" w:eastAsia="仿宋_GB2312" w:cs="DengXian-Regular"/>
          <w:sz w:val="32"/>
          <w:szCs w:val="32"/>
        </w:rPr>
        <w:t>。</w:t>
      </w:r>
      <w:r>
        <w:rPr>
          <w:rFonts w:hint="eastAsia" w:ascii="仿宋_GB2312" w:eastAsia="仿宋_GB2312" w:cs="DengXian-Regular"/>
          <w:sz w:val="32"/>
          <w:szCs w:val="32"/>
          <w:lang w:eastAsia="zh-CN"/>
        </w:rPr>
        <w:t>授予中小微企业</w:t>
      </w:r>
      <w:r>
        <w:rPr>
          <w:rFonts w:hint="eastAsia" w:ascii="仿宋_GB2312" w:eastAsia="仿宋_GB2312" w:cs="DengXian-Regular"/>
          <w:sz w:val="32"/>
          <w:szCs w:val="32"/>
          <w:lang w:val="en-US" w:eastAsia="zh-CN"/>
        </w:rPr>
        <w:t>1.5万元，占政府采收支出总额的100%。</w:t>
      </w:r>
      <w:r>
        <w:rPr>
          <w:rFonts w:ascii="仿宋_GB2312" w:eastAsia="仿宋_GB2312" w:cs="DengXian-Regular"/>
          <w:sz w:val="32"/>
          <w:szCs w:val="32"/>
        </w:rPr>
        <w:t xml:space="preserve"> </w:t>
      </w:r>
    </w:p>
    <w:p w14:paraId="01E7C390">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14:paraId="3AFDCA60">
      <w:pPr>
        <w:widowControl/>
        <w:ind w:firstLine="600"/>
        <w:jc w:val="left"/>
        <w:rPr>
          <w:rFonts w:ascii="仿宋_GB2312" w:eastAsia="仿宋_GB2312" w:cs="DengXian-Regular"/>
          <w:sz w:val="32"/>
          <w:szCs w:val="32"/>
        </w:rPr>
      </w:pPr>
      <w:r>
        <w:rPr>
          <w:rFonts w:hint="eastAsia" w:ascii="仿宋_GB2312" w:eastAsia="仿宋_GB2312" w:cs="DengXian-Regular"/>
          <w:sz w:val="32"/>
          <w:szCs w:val="32"/>
        </w:rPr>
        <w:t>截至</w:t>
      </w:r>
      <w:r>
        <w:rPr>
          <w:rFonts w:ascii="仿宋_GB2312" w:eastAsia="仿宋_GB2312" w:cs="DengXian-Regular"/>
          <w:sz w:val="32"/>
          <w:szCs w:val="32"/>
        </w:rPr>
        <w:t>2018</w:t>
      </w:r>
      <w:r>
        <w:rPr>
          <w:rFonts w:hint="eastAsia" w:ascii="仿宋_GB2312" w:eastAsia="仿宋_GB2312" w:cs="DengXian-Regular"/>
          <w:sz w:val="32"/>
          <w:szCs w:val="32"/>
        </w:rPr>
        <w:t>年</w:t>
      </w:r>
      <w:r>
        <w:rPr>
          <w:rFonts w:ascii="仿宋_GB2312" w:eastAsia="仿宋_GB2312" w:cs="DengXian-Regular"/>
          <w:sz w:val="32"/>
          <w:szCs w:val="32"/>
        </w:rPr>
        <w:t>12</w:t>
      </w:r>
      <w:r>
        <w:rPr>
          <w:rFonts w:hint="eastAsia" w:ascii="仿宋_GB2312" w:eastAsia="仿宋_GB2312" w:cs="DengXian-Regular"/>
          <w:sz w:val="32"/>
          <w:szCs w:val="32"/>
        </w:rPr>
        <w:t>月</w:t>
      </w:r>
      <w:r>
        <w:rPr>
          <w:rFonts w:ascii="仿宋_GB2312" w:eastAsia="仿宋_GB2312" w:cs="DengXian-Regular"/>
          <w:sz w:val="32"/>
          <w:szCs w:val="32"/>
        </w:rPr>
        <w:t>31</w:t>
      </w:r>
      <w:r>
        <w:rPr>
          <w:rFonts w:hint="eastAsia" w:ascii="仿宋_GB2312" w:eastAsia="仿宋_GB2312" w:cs="DengXian-Regular"/>
          <w:sz w:val="32"/>
          <w:szCs w:val="32"/>
        </w:rPr>
        <w:t>日，本部门共有车辆</w:t>
      </w:r>
      <w:r>
        <w:rPr>
          <w:rFonts w:ascii="仿宋_GB2312" w:eastAsia="仿宋_GB2312" w:cs="DengXian-Regular"/>
          <w:sz w:val="32"/>
          <w:szCs w:val="32"/>
        </w:rPr>
        <w:t>1</w:t>
      </w:r>
      <w:r>
        <w:rPr>
          <w:rFonts w:hint="eastAsia" w:ascii="仿宋_GB2312" w:eastAsia="仿宋_GB2312" w:cs="DengXian-Regular"/>
          <w:sz w:val="32"/>
          <w:szCs w:val="32"/>
        </w:rPr>
        <w:t>辆，与上年度持平。其中，机要通信，应急车辆</w:t>
      </w:r>
      <w:r>
        <w:rPr>
          <w:rFonts w:ascii="仿宋_GB2312" w:eastAsia="仿宋_GB2312" w:cs="DengXian-Regular"/>
          <w:sz w:val="32"/>
          <w:szCs w:val="32"/>
        </w:rPr>
        <w:t>1</w:t>
      </w:r>
      <w:r>
        <w:rPr>
          <w:rFonts w:hint="eastAsia" w:ascii="仿宋_GB2312" w:eastAsia="仿宋_GB2312" w:cs="DengXian-Regular"/>
          <w:sz w:val="32"/>
          <w:szCs w:val="32"/>
        </w:rPr>
        <w:t>辆；单位价值</w:t>
      </w:r>
      <w:r>
        <w:rPr>
          <w:rFonts w:ascii="仿宋_GB2312" w:eastAsia="仿宋_GB2312" w:cs="DengXian-Regular"/>
          <w:sz w:val="32"/>
          <w:szCs w:val="32"/>
        </w:rPr>
        <w:t>50</w:t>
      </w:r>
      <w:r>
        <w:rPr>
          <w:rFonts w:hint="eastAsia" w:ascii="仿宋_GB2312" w:eastAsia="仿宋_GB2312" w:cs="DengXian-Regular"/>
          <w:sz w:val="32"/>
          <w:szCs w:val="32"/>
        </w:rPr>
        <w:t>万元以上通用设备</w:t>
      </w:r>
      <w:r>
        <w:rPr>
          <w:rFonts w:ascii="仿宋_GB2312" w:eastAsia="仿宋_GB2312" w:cs="DengXian-Regular"/>
          <w:sz w:val="32"/>
          <w:szCs w:val="32"/>
        </w:rPr>
        <w:t>0</w:t>
      </w:r>
      <w:r>
        <w:rPr>
          <w:rFonts w:hint="eastAsia" w:ascii="仿宋_GB2312" w:eastAsia="仿宋_GB2312" w:cs="DengXian-Regular"/>
          <w:sz w:val="32"/>
          <w:szCs w:val="32"/>
        </w:rPr>
        <w:t>台，单位价值</w:t>
      </w:r>
      <w:r>
        <w:rPr>
          <w:rFonts w:ascii="仿宋_GB2312" w:eastAsia="仿宋_GB2312" w:cs="DengXian-Regular"/>
          <w:sz w:val="32"/>
          <w:szCs w:val="32"/>
        </w:rPr>
        <w:t>100</w:t>
      </w:r>
      <w:r>
        <w:rPr>
          <w:rFonts w:hint="eastAsia" w:ascii="仿宋_GB2312" w:eastAsia="仿宋_GB2312" w:cs="DengXian-Regular"/>
          <w:sz w:val="32"/>
          <w:szCs w:val="32"/>
        </w:rPr>
        <w:t>万元以上通用设备</w:t>
      </w:r>
      <w:r>
        <w:rPr>
          <w:rFonts w:ascii="仿宋_GB2312" w:eastAsia="仿宋_GB2312" w:cs="DengXian-Regular"/>
          <w:sz w:val="32"/>
          <w:szCs w:val="32"/>
        </w:rPr>
        <w:t>0</w:t>
      </w:r>
      <w:r>
        <w:rPr>
          <w:rFonts w:hint="eastAsia" w:ascii="仿宋_GB2312" w:eastAsia="仿宋_GB2312" w:cs="DengXian-Regular"/>
          <w:sz w:val="32"/>
          <w:szCs w:val="32"/>
        </w:rPr>
        <w:t>台。</w:t>
      </w:r>
    </w:p>
    <w:p w14:paraId="23AF842A">
      <w:pPr>
        <w:adjustRightInd w:val="0"/>
        <w:snapToGrid w:val="0"/>
        <w:spacing w:after="0" w:line="580" w:lineRule="exact"/>
        <w:ind w:firstLine="640" w:firstLineChars="200"/>
        <w:rPr>
          <w:rFonts w:ascii="仿宋_GB2312" w:eastAsia="仿宋_GB2312" w:cs="DengXian-Regular"/>
          <w:sz w:val="32"/>
          <w:szCs w:val="32"/>
        </w:rPr>
      </w:pPr>
    </w:p>
    <w:p w14:paraId="17ED79D3">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14:paraId="0A964F28">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年度无政府性基金预算财政拨款收入、支出及结转和结余情况，无国有资本经营预算财政拨款支出情况，无纳入部门预算范围的政府采购预算及支出情况，故公开</w:t>
      </w:r>
      <w:r>
        <w:rPr>
          <w:rFonts w:ascii="仿宋_GB2312" w:eastAsia="仿宋_GB2312" w:cs="DengXian-Regular"/>
          <w:sz w:val="32"/>
          <w:szCs w:val="32"/>
        </w:rPr>
        <w:t>08</w:t>
      </w:r>
      <w:r>
        <w:rPr>
          <w:rFonts w:hint="eastAsia" w:ascii="仿宋_GB2312" w:eastAsia="仿宋_GB2312" w:cs="DengXian-Regular"/>
          <w:sz w:val="32"/>
          <w:szCs w:val="32"/>
        </w:rPr>
        <w:t>、</w:t>
      </w:r>
      <w:r>
        <w:rPr>
          <w:rFonts w:ascii="仿宋_GB2312" w:eastAsia="仿宋_GB2312" w:cs="DengXian-Regular"/>
          <w:sz w:val="32"/>
          <w:szCs w:val="32"/>
        </w:rPr>
        <w:t>0</w:t>
      </w:r>
      <w:r>
        <w:rPr>
          <w:rFonts w:ascii="宋体" w:hAnsi="宋体" w:cs="宋体"/>
          <w:sz w:val="32"/>
          <w:szCs w:val="32"/>
        </w:rPr>
        <w:t>9</w:t>
      </w:r>
      <w:r>
        <w:rPr>
          <w:rFonts w:hint="eastAsia" w:ascii="仿宋_GB2312" w:eastAsia="仿宋_GB2312" w:cs="DengXian-Regular"/>
          <w:sz w:val="32"/>
          <w:szCs w:val="32"/>
        </w:rPr>
        <w:t>、</w:t>
      </w:r>
      <w:r>
        <w:rPr>
          <w:rFonts w:ascii="仿宋_GB2312" w:eastAsia="仿宋_GB2312" w:cs="DengXian-Regular"/>
          <w:sz w:val="32"/>
          <w:szCs w:val="32"/>
        </w:rPr>
        <w:t>10</w:t>
      </w:r>
      <w:r>
        <w:rPr>
          <w:rFonts w:hint="eastAsia" w:ascii="仿宋_GB2312" w:eastAsia="仿宋_GB2312" w:cs="DengXian-Regular"/>
          <w:sz w:val="32"/>
          <w:szCs w:val="32"/>
        </w:rPr>
        <w:t>表以空表列示。</w:t>
      </w:r>
    </w:p>
    <w:p w14:paraId="5F2DB457">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、由于决算公开表格中金额数值应当保留两位小数，公开数据为四舍五入计算结</w:t>
      </w:r>
      <w:r>
        <w:pict>
          <v:group id="_x0000_s1040" o:spid="_x0000_s1040" o:spt="203" style="position:absolute;left:0pt;margin-left:-0.55pt;margin-top:29.3pt;height:43.95pt;width:301.85pt;mso-position-horizontal-relative:page;mso-position-vertical-relative:page;z-index:251672576;mso-width-relative:page;mso-height-relative:page;" coordorigin="4551,52615" coordsize="8546,1398203">
            <o:lock v:ext="edit"/>
            <v:rect id="矩形 13" o:spid="_x0000_s1041" o:spt="1" style="position:absolute;left:4551;top:52615;height:1175;width:8546;v-text-anchor:middle;" fillcolor="#D9D9D9" filled="t" stroked="f" coordsize="21600,21600">
              <v:path/>
              <v:fill on="t" focussize="0,0"/>
              <v:stroke on="f" weight="2pt"/>
              <v:imagedata o:title=""/>
              <o:lock v:ext="edit"/>
            </v:rect>
            <v:rect id="_x0000_s1042" o:spid="_x0000_s1042" o:spt="1" style="position:absolute;left:4577;top:52890;height:1123;width:8324;v-text-anchor:middle;" fillcolor="#AD002D" filled="t" stroked="t" coordsize="21600,21600">
              <v:path/>
              <v:fill on="t" focussize="0,0"/>
              <v:stroke weight="2pt" color="#B0761F" joinstyle="round"/>
              <v:imagedata o:title=""/>
              <o:lock v:ext="edit"/>
              <v:textbox>
                <w:txbxContent>
                  <w:p w14:paraId="3E63CE5D">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部门决算情况说明</w:t>
                    </w:r>
                  </w:p>
                  <w:p w14:paraId="1799E7A9">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p>
    <w:p w14:paraId="3934BDF8">
      <w:pPr>
        <w:widowControl/>
        <w:spacing w:after="0" w:line="580" w:lineRule="exact"/>
        <w:ind w:firstLine="883" w:firstLineChars="200"/>
        <w:jc w:val="left"/>
        <w:rPr>
          <w:rFonts w:ascii="宋体" w:cs="MS-UIGothic,Bold"/>
          <w:b/>
          <w:bCs/>
          <w:kern w:val="0"/>
          <w:sz w:val="44"/>
          <w:szCs w:val="44"/>
        </w:rPr>
        <w:sectPr>
          <w:pgSz w:w="11906" w:h="16838"/>
          <w:pgMar w:top="2098" w:right="1474" w:bottom="1984" w:left="1588" w:header="851" w:footer="992" w:gutter="0"/>
          <w:cols w:space="0" w:num="1"/>
          <w:docGrid w:type="lines" w:linePitch="312" w:charSpace="0"/>
        </w:sectPr>
      </w:pPr>
    </w:p>
    <w:p w14:paraId="36E66C1D">
      <w:pPr>
        <w:rPr>
          <w:rFonts w:ascii="宋体" w:cs="ArialUnicodeMS"/>
          <w:color w:val="000000"/>
          <w:kern w:val="0"/>
        </w:rPr>
        <w:sectPr>
          <w:pgSz w:w="11906" w:h="16838"/>
          <w:pgMar w:top="2098" w:right="1474" w:bottom="1984" w:left="1588" w:header="851" w:footer="992" w:gutter="0"/>
          <w:cols w:space="0" w:num="1"/>
          <w:docGrid w:type="lines" w:linePitch="312" w:charSpace="0"/>
        </w:sectPr>
      </w:pPr>
      <w:r>
        <w:pict>
          <v:shape id="图片 21" o:spid="_x0000_s1043" o:spt="75" alt="2" type="#_x0000_t75" style="position:absolute;left:0pt;margin-left:-79.45pt;margin-top:-105.35pt;height:840.95pt;width:594.5pt;z-index:-251649024;mso-width-relative:page;mso-height-relative:page;" filled="f" o:preferrelative="t" stroked="f" coordsize="21600,21600">
            <v:path/>
            <v:fill on="f" focussize="0,0"/>
            <v:stroke on="f" joinstyle="miter"/>
            <v:imagedata r:id="rId13" o:title=""/>
            <o:lock v:ext="edit" aspectratio="t"/>
          </v:shape>
        </w:pict>
      </w:r>
      <w:r>
        <w:pict>
          <v:shape id="_x0000_s1044" o:spid="_x0000_s1044" o:spt="202" type="#_x0000_t202" style="position:absolute;left:0pt;margin-left:-78.7pt;margin-top:232.8pt;height:159.1pt;width:596.2pt;z-index:251666432;mso-width-relative:page;mso-height-relative:page;" filled="f" stroked="f" coordsize="21600,21600">
            <v:path/>
            <v:fill on="f" focussize="0,0"/>
            <v:stroke on="f" weight="0.5pt" joinstyle="miter"/>
            <v:imagedata o:title=""/>
            <o:lock v:ext="edit"/>
            <v:textbox>
              <w:txbxContent>
                <w:p w14:paraId="500FE61A">
                  <w:pPr>
                    <w:widowControl/>
                    <w:spacing w:line="1200" w:lineRule="exact"/>
                    <w:jc w:val="center"/>
                    <w:rPr>
                      <w:rFonts w:ascii="黑体" w:hAnsi="宋体" w:eastAsia="黑体"/>
                      <w:color w:val="FDEFBE"/>
                      <w:sz w:val="96"/>
                      <w:szCs w:val="96"/>
                    </w:rPr>
                  </w:pPr>
                  <w:r>
                    <w:rPr>
                      <w:rFonts w:hint="eastAsia" w:ascii="黑体" w:hAnsi="宋体" w:eastAsia="黑体"/>
                      <w:color w:val="FDEFBE"/>
                      <w:sz w:val="96"/>
                      <w:szCs w:val="96"/>
                    </w:rPr>
                    <w:t>第四部分</w:t>
                  </w:r>
                </w:p>
                <w:p w14:paraId="032C00AC">
                  <w:pPr>
                    <w:widowControl/>
                    <w:spacing w:line="1200" w:lineRule="exact"/>
                    <w:jc w:val="center"/>
                    <w:rPr>
                      <w:color w:val="FDEFBE"/>
                      <w:sz w:val="96"/>
                      <w:szCs w:val="96"/>
                    </w:rPr>
                  </w:pPr>
                  <w:r>
                    <w:rPr>
                      <w:rFonts w:hint="eastAsia" w:ascii="黑体" w:hAnsi="宋体" w:eastAsia="黑体"/>
                      <w:color w:val="FDEFBE"/>
                      <w:sz w:val="96"/>
                      <w:szCs w:val="96"/>
                    </w:rPr>
                    <w:t>名词解释</w:t>
                  </w:r>
                </w:p>
              </w:txbxContent>
            </v:textbox>
          </v:shape>
        </w:pict>
      </w:r>
    </w:p>
    <w:p w14:paraId="0B343A18">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（一）财政拨款收入：</w:t>
      </w:r>
      <w:r>
        <w:rPr>
          <w:rFonts w:hint="eastAsia" w:ascii="仿宋_GB2312" w:hAnsi="宋体" w:eastAsia="仿宋_GB2312"/>
          <w:color w:val="000000"/>
          <w:kern w:val="0"/>
          <w:sz w:val="32"/>
          <w:szCs w:val="32"/>
        </w:rPr>
        <w:t>本年度从本级财政部门取得的财政拨款，包括一般公共预算财政拨款和政府性基金预算财政拨款。</w:t>
      </w:r>
    </w:p>
    <w:p w14:paraId="72DC48B4">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（二）事业收入：</w:t>
      </w:r>
      <w:r>
        <w:rPr>
          <w:rFonts w:hint="eastAsia" w:ascii="仿宋_GB2312" w:hAnsi="宋体" w:eastAsia="仿宋_GB2312"/>
          <w:color w:val="000000"/>
          <w:kern w:val="0"/>
          <w:sz w:val="32"/>
          <w:szCs w:val="32"/>
        </w:rPr>
        <w:t>指事业单位开展专业业务活动及辅助活动所取得的收入。</w:t>
      </w:r>
    </w:p>
    <w:p w14:paraId="4227E764">
      <w:pPr>
        <w:widowControl/>
        <w:spacing w:after="0" w:line="560" w:lineRule="exact"/>
        <w:ind w:firstLine="643" w:firstLineChars="200"/>
        <w:rPr>
          <w:rFonts w:ascii="仿宋_GB2312" w:hAnsi="宋体" w:eastAsia="黑体"/>
          <w:color w:val="000000"/>
          <w:kern w:val="0"/>
          <w:sz w:val="32"/>
          <w:szCs w:val="32"/>
        </w:rPr>
      </w:pPr>
      <w:r>
        <w:rPr>
          <w:rFonts w:hint="eastAsia" w:ascii="仿宋_GB2312" w:hAnsi="宋体" w:eastAsia="仿宋_GB2312"/>
          <w:b/>
          <w:bCs/>
          <w:color w:val="000000"/>
          <w:kern w:val="0"/>
          <w:sz w:val="32"/>
          <w:szCs w:val="32"/>
        </w:rPr>
        <w:t>（三）其他收入：</w:t>
      </w:r>
      <w:r>
        <w:rPr>
          <w:rFonts w:hint="eastAsia" w:ascii="仿宋_GB2312" w:hAnsi="宋体" w:eastAsia="仿宋_GB2312"/>
          <w:color w:val="000000"/>
          <w:kern w:val="0"/>
          <w:sz w:val="32"/>
          <w:szCs w:val="32"/>
        </w:rPr>
        <w:t>指除上述“财政拨款收入”“事业收入”“经营收入”等以外的收入。</w:t>
      </w:r>
    </w:p>
    <w:p w14:paraId="641EB542">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（四）年初结转和结余：</w:t>
      </w:r>
      <w:r>
        <w:rPr>
          <w:rFonts w:hint="eastAsia" w:ascii="仿宋_GB2312" w:hAnsi="宋体" w:eastAsia="仿宋_GB2312"/>
          <w:color w:val="000000"/>
          <w:kern w:val="0"/>
          <w:sz w:val="32"/>
          <w:szCs w:val="32"/>
        </w:rPr>
        <w:t>指以前年度尚未完成、结转到本年仍按原规定用途继续使用的资金，或项目已完成等产生的结余资金。</w:t>
      </w:r>
    </w:p>
    <w:p w14:paraId="0AB00481">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（五）年末结转和结</w:t>
      </w:r>
      <w:r>
        <w:pict>
          <v:group id="_x0000_s1045" o:spid="_x0000_s1045" o:spt="203" style="position:absolute;left:0pt;margin-left:-81.05pt;margin-top:39.65pt;height:43.95pt;width:264.85pt;mso-position-vertical-relative:page;z-index:251669504;mso-width-relative:page;mso-height-relative:page;" coordorigin="4551,52615" coordsize="8546,1398203">
            <o:lock v:ext="edit"/>
            <v:rect id="矩形 13" o:spid="_x0000_s1046" o:spt="1" style="position:absolute;left:4551;top:52615;height:1175;width:8546;v-text-anchor:middle;" fillcolor="#D9D9D9" filled="t" stroked="f" coordsize="21600,21600">
              <v:path/>
              <v:fill on="t" focussize="0,0"/>
              <v:stroke on="f" weight="2pt"/>
              <v:imagedata o:title=""/>
              <o:lock v:ext="edit"/>
            </v:rect>
            <v:rect id="矩形 14" o:spid="_x0000_s1047" o:spt="1" style="position:absolute;left:4577;top:52890;height:1123;width:8324;v-text-anchor:middle;" fillcolor="#AD002D" filled="t" stroked="t" coordsize="21600,21600">
              <v:path/>
              <v:fill on="t" focussize="0,0"/>
              <v:stroke weight="2pt" color="#B0761F" joinstyle="round"/>
              <v:imagedata o:title=""/>
              <o:lock v:ext="edit"/>
              <v:textbox>
                <w:txbxContent>
                  <w:p w14:paraId="3D80FA7F">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名词解释</w:t>
                    </w:r>
                  </w:p>
                  <w:p w14:paraId="0291D0B4">
                    <w:pPr>
                      <w:jc w:val="center"/>
                    </w:pPr>
                  </w:p>
                </w:txbxContent>
              </v:textbox>
            </v:rect>
            <w10:anchorlock/>
          </v:group>
        </w:pict>
      </w:r>
      <w:r>
        <w:rPr>
          <w:rFonts w:hint="eastAsia" w:ascii="仿宋_GB2312" w:hAnsi="宋体" w:eastAsia="仿宋_GB2312"/>
          <w:b/>
          <w:bCs/>
          <w:color w:val="000000"/>
          <w:kern w:val="0"/>
          <w:sz w:val="32"/>
          <w:szCs w:val="32"/>
        </w:rPr>
        <w:t>余：</w:t>
      </w:r>
      <w:r>
        <w:rPr>
          <w:rFonts w:hint="eastAsia" w:ascii="仿宋_GB2312" w:hAnsi="宋体" w:eastAsia="仿宋_GB2312"/>
          <w:color w:val="000000"/>
          <w:kern w:val="0"/>
          <w:sz w:val="32"/>
          <w:szCs w:val="32"/>
        </w:rPr>
        <w:t>指单位按有关规定结转到下年或以后年度继续使用的资金，或项目已完成等产生的结余资金。</w:t>
      </w:r>
    </w:p>
    <w:p w14:paraId="02E62951">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（六）基本支出：</w:t>
      </w:r>
      <w:r>
        <w:rPr>
          <w:rFonts w:hint="eastAsia" w:ascii="仿宋_GB2312" w:hAnsi="宋体" w:eastAsia="仿宋_GB2312"/>
          <w:color w:val="000000"/>
          <w:kern w:val="0"/>
          <w:sz w:val="32"/>
          <w:szCs w:val="32"/>
        </w:rPr>
        <w:t>填列单位为保障机构正常运转、完成日常工作任务而发生的各项支出。</w:t>
      </w:r>
    </w:p>
    <w:p w14:paraId="470BFF1E">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（七）项目支出：</w:t>
      </w:r>
      <w:r>
        <w:rPr>
          <w:rFonts w:hint="eastAsia" w:ascii="仿宋_GB2312" w:hAnsi="宋体" w:eastAsia="仿宋_GB2312"/>
          <w:color w:val="000000"/>
          <w:kern w:val="0"/>
          <w:sz w:val="32"/>
          <w:szCs w:val="32"/>
        </w:rPr>
        <w:t>填列单位为完成特定的行政工作任务或事业发展目标，在基本支出之外发生的各项支出</w:t>
      </w:r>
    </w:p>
    <w:p w14:paraId="507C34DB">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（八）资本性支出：</w:t>
      </w:r>
      <w:r>
        <w:rPr>
          <w:rFonts w:hint="eastAsia" w:ascii="仿宋_GB2312" w:hAnsi="宋体" w:eastAsia="仿宋_GB2312"/>
          <w:color w:val="000000"/>
          <w:kern w:val="0"/>
          <w:sz w:val="32"/>
          <w:szCs w:val="32"/>
        </w:rPr>
        <w:t>填列各单位安排的资本性支出。切块由发展改革部门安排的基本建设支出不在此科目反映。</w:t>
      </w:r>
    </w:p>
    <w:p w14:paraId="29CDB287">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（九）“三公”经费：</w:t>
      </w:r>
      <w:r>
        <w:rPr>
          <w:rFonts w:hint="eastAsia" w:ascii="仿宋_GB2312" w:hAnsi="宋体" w:eastAsia="仿宋_GB2312"/>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pict>
          <v:group id="_x0000_s1048" o:spid="_x0000_s1048" o:spt="203" style="position:absolute;left:0pt;margin-left:-81.05pt;margin-top:39.65pt;height:43.95pt;width:264.85pt;mso-position-vertical-relative:page;z-index:251673600;mso-width-relative:page;mso-height-relative:page;" coordorigin="4551,52615" coordsize="8546,1398203">
            <o:lock v:ext="edit"/>
            <v:rect id="矩形 13" o:spid="_x0000_s1049" o:spt="1" style="position:absolute;left:4551;top:52615;height:1175;width:8546;v-text-anchor:middle;" fillcolor="#D9D9D9" filled="t" stroked="f" coordsize="21600,21600">
              <v:path/>
              <v:fill on="t" focussize="0,0"/>
              <v:stroke on="f" weight="2pt"/>
              <v:imagedata o:title=""/>
              <o:lock v:ext="edit"/>
            </v:rect>
            <v:rect id="矩形 14" o:spid="_x0000_s1050" o:spt="1" style="position:absolute;left:4577;top:52890;height:1123;width:8324;v-text-anchor:middle;" fillcolor="#AD002D" filled="t" stroked="t" coordsize="21600,21600">
              <v:path/>
              <v:fill on="t" focussize="0,0"/>
              <v:stroke weight="2pt" color="#B0761F" joinstyle="round"/>
              <v:imagedata o:title=""/>
              <o:lock v:ext="edit"/>
              <v:textbox>
                <w:txbxContent>
                  <w:p w14:paraId="3B765D99">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名词解释</w:t>
                    </w:r>
                  </w:p>
                  <w:p w14:paraId="1E2DEAB5">
                    <w:pPr>
                      <w:jc w:val="center"/>
                    </w:pPr>
                  </w:p>
                </w:txbxContent>
              </v:textbox>
            </v:rect>
            <w10:anchorlock/>
          </v:group>
        </w:pict>
      </w:r>
      <w:r>
        <w:rPr>
          <w:rFonts w:hint="eastAsia" w:ascii="仿宋_GB2312" w:hAnsi="宋体" w:eastAsia="仿宋_GB2312"/>
          <w:color w:val="000000"/>
          <w:kern w:val="0"/>
          <w:sz w:val="32"/>
          <w:szCs w:val="32"/>
        </w:rPr>
        <w:t>待费反映单位按规定开支的各类公务接待（含外宾接待）支出。</w:t>
      </w:r>
    </w:p>
    <w:p w14:paraId="66C82B1D">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（十）其</w:t>
      </w:r>
      <w:r>
        <w:pict>
          <v:group id="_x0000_s1051" o:spid="_x0000_s1051" o:spt="203" style="position:absolute;left:0pt;margin-left:-81.05pt;margin-top:39.65pt;height:43.95pt;width:264.85pt;mso-position-vertical-relative:page;z-index:251674624;mso-width-relative:page;mso-height-relative:page;" coordorigin="4551,52615" coordsize="8546,1398203">
            <o:lock v:ext="edit"/>
            <v:rect id="矩形 13" o:spid="_x0000_s1052" o:spt="1" style="position:absolute;left:4551;top:52615;height:1175;width:8546;v-text-anchor:middle;" fillcolor="#D9D9D9" filled="t" stroked="f" coordsize="21600,21600">
              <v:path/>
              <v:fill on="t" focussize="0,0"/>
              <v:stroke on="f" weight="2pt"/>
              <v:imagedata o:title=""/>
              <o:lock v:ext="edit"/>
            </v:rect>
            <v:rect id="矩形 14" o:spid="_x0000_s1053" o:spt="1" style="position:absolute;left:4577;top:52890;height:1123;width:8324;v-text-anchor:middle;" fillcolor="#AD002D" filled="t" stroked="t" coordsize="21600,21600">
              <v:path/>
              <v:fill on="t" focussize="0,0"/>
              <v:stroke weight="2pt" color="#B0761F" joinstyle="round"/>
              <v:imagedata o:title=""/>
              <o:lock v:ext="edit"/>
              <v:textbox>
                <w:txbxContent>
                  <w:p w14:paraId="3E8DE4DC">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名词解释</w:t>
                    </w:r>
                  </w:p>
                  <w:p w14:paraId="46BC579B">
                    <w:pPr>
                      <w:jc w:val="center"/>
                    </w:pPr>
                  </w:p>
                </w:txbxContent>
              </v:textbox>
            </v:rect>
            <w10:anchorlock/>
          </v:group>
        </w:pict>
      </w:r>
      <w:r>
        <w:rPr>
          <w:rFonts w:hint="eastAsia" w:ascii="仿宋_GB2312" w:hAnsi="宋体" w:eastAsia="仿宋_GB2312"/>
          <w:b/>
          <w:bCs/>
          <w:color w:val="000000"/>
          <w:kern w:val="0"/>
          <w:sz w:val="32"/>
          <w:szCs w:val="32"/>
        </w:rPr>
        <w:t>他交通费用：</w:t>
      </w:r>
      <w:r>
        <w:rPr>
          <w:rFonts w:hint="eastAsia" w:ascii="仿宋_GB2312" w:hAnsi="宋体" w:eastAsia="仿宋_GB2312"/>
          <w:color w:val="000000"/>
          <w:kern w:val="0"/>
          <w:sz w:val="32"/>
          <w:szCs w:val="32"/>
        </w:rPr>
        <w:t>填列单位除公务用车运行维护费以外的其他交通费用。如公务交通补贴、租车费用、出租车费用、飞机、船舶等的燃料费、维修费、保险费等。</w:t>
      </w:r>
    </w:p>
    <w:p w14:paraId="0E237A74">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（十一）公务用车购置：</w:t>
      </w:r>
      <w:r>
        <w:rPr>
          <w:rFonts w:hint="eastAsia" w:ascii="仿宋_GB2312" w:hAnsi="宋体" w:eastAsia="仿宋_GB2312"/>
          <w:color w:val="000000"/>
          <w:kern w:val="0"/>
          <w:sz w:val="32"/>
          <w:szCs w:val="32"/>
        </w:rPr>
        <w:t>填列单位公务用车购置支出（含车辆购置税、牌照费）。</w:t>
      </w:r>
    </w:p>
    <w:p w14:paraId="417A25D8">
      <w:pPr>
        <w:widowControl/>
        <w:spacing w:after="0"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（十二）机关运行经费：</w:t>
      </w:r>
      <w:r>
        <w:rPr>
          <w:rFonts w:hint="eastAsia" w:ascii="仿宋_GB2312" w:hAnsi="宋体" w:eastAsia="仿宋_GB2312"/>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496ABF9C">
      <w:pPr>
        <w:widowControl/>
        <w:spacing w:after="0" w:line="560" w:lineRule="exact"/>
        <w:ind w:firstLine="643" w:firstLineChars="200"/>
        <w:rPr>
          <w:rFonts w:ascii="仿宋_GB2312" w:hAnsi="Cambria" w:eastAsia="黑体" w:cs="ArialUnicodeMS"/>
          <w:kern w:val="0"/>
          <w:sz w:val="32"/>
          <w:szCs w:val="32"/>
        </w:rPr>
        <w:sectPr>
          <w:pgSz w:w="11906" w:h="16838"/>
          <w:pgMar w:top="2098" w:right="1474" w:bottom="1985" w:left="1588" w:header="851" w:footer="992" w:gutter="0"/>
          <w:cols w:space="425" w:num="1"/>
          <w:docGrid w:type="lines" w:linePitch="312" w:charSpace="0"/>
        </w:sectPr>
      </w:pPr>
      <w:r>
        <w:rPr>
          <w:rFonts w:hint="eastAsia" w:ascii="仿宋_GB2312" w:hAnsi="宋体" w:eastAsia="仿宋_GB2312"/>
          <w:b/>
          <w:bCs/>
          <w:color w:val="000000"/>
          <w:kern w:val="0"/>
          <w:sz w:val="32"/>
          <w:szCs w:val="32"/>
        </w:rPr>
        <w:t>（十三）经费形式</w:t>
      </w:r>
      <w:r>
        <w:rPr>
          <w:rFonts w:ascii="仿宋_GB2312" w:hAnsi="宋体" w:eastAsia="仿宋_GB2312"/>
          <w:b/>
          <w:bCs/>
          <w:color w:val="000000"/>
          <w:kern w:val="0"/>
          <w:sz w:val="32"/>
          <w:szCs w:val="32"/>
        </w:rPr>
        <w:t>:</w:t>
      </w:r>
      <w:r>
        <w:rPr>
          <w:rFonts w:hint="eastAsia" w:ascii="仿宋_GB2312" w:hAnsi="宋体" w:eastAsia="仿宋_GB2312"/>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w:t>
      </w:r>
      <w:r>
        <w:rPr>
          <w:rFonts w:hint="eastAsia" w:ascii="仿宋_GB2312" w:hAnsi="Cambria" w:eastAsia="黑体" w:cs="ArialUnicodeMS"/>
          <w:kern w:val="0"/>
          <w:sz w:val="32"/>
          <w:szCs w:val="32"/>
        </w:rPr>
        <w:t>。</w:t>
      </w:r>
    </w:p>
    <w:p w14:paraId="0A1A19AE">
      <w:pPr>
        <w:widowControl/>
        <w:spacing w:after="0" w:line="560" w:lineRule="exact"/>
        <w:rPr>
          <w:rFonts w:ascii="仿宋_GB2312" w:hAnsi="Cambria" w:eastAsia="黑体" w:cs="ArialUnicodeMS"/>
          <w:kern w:val="0"/>
          <w:sz w:val="32"/>
          <w:szCs w:val="32"/>
        </w:rPr>
      </w:pPr>
      <w:r>
        <w:pict>
          <v:shape id="图片 101" o:spid="_x0000_s1054" o:spt="75" alt="3" type="#_x0000_t75" style="position:absolute;left:0pt;margin-left:-78pt;margin-top:-106.7pt;height:845.35pt;width:597.65pt;z-index:-251649024;mso-width-relative:page;mso-height-relative:page;" filled="f" o:preferrelative="t" stroked="f" coordsize="21600,21600">
            <v:path/>
            <v:fill on="f" focussize="0,0"/>
            <v:stroke on="f" joinstyle="miter"/>
            <v:imagedata r:id="rId14" o:title=""/>
            <o:lock v:ext="edit" aspectratio="t"/>
          </v:shape>
        </w:pic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UIGothic,Bold">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2AF" w:usb1="01D77CFB" w:usb2="00000012" w:usb3="00000000" w:csb0="00080001" w:csb1="00000000"/>
  </w:font>
  <w:font w:name="ArialUnicodeMS">
    <w:altName w:val="Malgun Gothic"/>
    <w:panose1 w:val="00000000000000000000"/>
    <w:charset w:val="81"/>
    <w:family w:val="auto"/>
    <w:pitch w:val="default"/>
    <w:sig w:usb0="00000000" w:usb1="00000000" w:usb2="00000010" w:usb3="00000000" w:csb0="00080000" w:csb1="00000000"/>
  </w:font>
  <w:font w:name="DengXian-Regular">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DengXia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CDF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7CE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FE2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0DE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4514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D3BA">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E3MzdkNjM4ODgwYzA2ODU2MjM2OTJlMmM0YWU3ZDAifQ=="/>
  </w:docVars>
  <w:rsids>
    <w:rsidRoot w:val="003C1413"/>
    <w:rsid w:val="00024E7F"/>
    <w:rsid w:val="0003653B"/>
    <w:rsid w:val="000475A0"/>
    <w:rsid w:val="00082127"/>
    <w:rsid w:val="000838C3"/>
    <w:rsid w:val="000A1449"/>
    <w:rsid w:val="000B2446"/>
    <w:rsid w:val="000C7D88"/>
    <w:rsid w:val="000D7C65"/>
    <w:rsid w:val="000E24F2"/>
    <w:rsid w:val="000E2F81"/>
    <w:rsid w:val="00117946"/>
    <w:rsid w:val="00117E2C"/>
    <w:rsid w:val="00146C47"/>
    <w:rsid w:val="00152FB8"/>
    <w:rsid w:val="0016744C"/>
    <w:rsid w:val="00176658"/>
    <w:rsid w:val="0018239E"/>
    <w:rsid w:val="00186423"/>
    <w:rsid w:val="001B3410"/>
    <w:rsid w:val="001C030D"/>
    <w:rsid w:val="001C4A84"/>
    <w:rsid w:val="001E5902"/>
    <w:rsid w:val="00233705"/>
    <w:rsid w:val="00275CA2"/>
    <w:rsid w:val="002A1F3B"/>
    <w:rsid w:val="002A65A5"/>
    <w:rsid w:val="002C04C4"/>
    <w:rsid w:val="002D08B0"/>
    <w:rsid w:val="002D1AE3"/>
    <w:rsid w:val="002D2E76"/>
    <w:rsid w:val="002E6306"/>
    <w:rsid w:val="002F2ECE"/>
    <w:rsid w:val="00311750"/>
    <w:rsid w:val="003307A2"/>
    <w:rsid w:val="00341C8F"/>
    <w:rsid w:val="00351737"/>
    <w:rsid w:val="0035463A"/>
    <w:rsid w:val="003718FB"/>
    <w:rsid w:val="00391D9D"/>
    <w:rsid w:val="003A4567"/>
    <w:rsid w:val="003B6C51"/>
    <w:rsid w:val="003C1413"/>
    <w:rsid w:val="003C549F"/>
    <w:rsid w:val="003D5A16"/>
    <w:rsid w:val="003E7DB3"/>
    <w:rsid w:val="003F05EC"/>
    <w:rsid w:val="003F28EE"/>
    <w:rsid w:val="00431175"/>
    <w:rsid w:val="004B2057"/>
    <w:rsid w:val="004B6E37"/>
    <w:rsid w:val="004C32BA"/>
    <w:rsid w:val="00543293"/>
    <w:rsid w:val="00575922"/>
    <w:rsid w:val="005A6C90"/>
    <w:rsid w:val="005E3FB0"/>
    <w:rsid w:val="005F4B66"/>
    <w:rsid w:val="005F5208"/>
    <w:rsid w:val="00641318"/>
    <w:rsid w:val="0064405D"/>
    <w:rsid w:val="00695557"/>
    <w:rsid w:val="006A5DFD"/>
    <w:rsid w:val="006D4EA7"/>
    <w:rsid w:val="0070012A"/>
    <w:rsid w:val="007015EB"/>
    <w:rsid w:val="0070664B"/>
    <w:rsid w:val="007071B8"/>
    <w:rsid w:val="007414DE"/>
    <w:rsid w:val="00776DC1"/>
    <w:rsid w:val="00786D99"/>
    <w:rsid w:val="007905A9"/>
    <w:rsid w:val="007E5500"/>
    <w:rsid w:val="007F055B"/>
    <w:rsid w:val="00811C2F"/>
    <w:rsid w:val="00833D46"/>
    <w:rsid w:val="00840A97"/>
    <w:rsid w:val="00863435"/>
    <w:rsid w:val="00880CB4"/>
    <w:rsid w:val="008C0149"/>
    <w:rsid w:val="008D5DED"/>
    <w:rsid w:val="008E25CA"/>
    <w:rsid w:val="008F34FC"/>
    <w:rsid w:val="0093583D"/>
    <w:rsid w:val="00944CD7"/>
    <w:rsid w:val="009831B2"/>
    <w:rsid w:val="009A1ABE"/>
    <w:rsid w:val="009A3215"/>
    <w:rsid w:val="009E21A4"/>
    <w:rsid w:val="009F22C6"/>
    <w:rsid w:val="00A07E50"/>
    <w:rsid w:val="00A15397"/>
    <w:rsid w:val="00A35CE0"/>
    <w:rsid w:val="00A4462E"/>
    <w:rsid w:val="00A44AA4"/>
    <w:rsid w:val="00A61623"/>
    <w:rsid w:val="00A84687"/>
    <w:rsid w:val="00AA1299"/>
    <w:rsid w:val="00AB0A0E"/>
    <w:rsid w:val="00AC14F5"/>
    <w:rsid w:val="00AD3B6E"/>
    <w:rsid w:val="00B1751F"/>
    <w:rsid w:val="00B53AE8"/>
    <w:rsid w:val="00B55352"/>
    <w:rsid w:val="00B56722"/>
    <w:rsid w:val="00B74D39"/>
    <w:rsid w:val="00B91DA4"/>
    <w:rsid w:val="00BF672E"/>
    <w:rsid w:val="00C12630"/>
    <w:rsid w:val="00C249E5"/>
    <w:rsid w:val="00C34562"/>
    <w:rsid w:val="00C3774E"/>
    <w:rsid w:val="00C475CF"/>
    <w:rsid w:val="00C57456"/>
    <w:rsid w:val="00C65387"/>
    <w:rsid w:val="00C85399"/>
    <w:rsid w:val="00C87FAB"/>
    <w:rsid w:val="00C91FF7"/>
    <w:rsid w:val="00C94E53"/>
    <w:rsid w:val="00D0048E"/>
    <w:rsid w:val="00D23E7A"/>
    <w:rsid w:val="00D4335D"/>
    <w:rsid w:val="00D61063"/>
    <w:rsid w:val="00D82C09"/>
    <w:rsid w:val="00DB35AF"/>
    <w:rsid w:val="00DD72D7"/>
    <w:rsid w:val="00DE5383"/>
    <w:rsid w:val="00DE76D7"/>
    <w:rsid w:val="00DF5B88"/>
    <w:rsid w:val="00E0589E"/>
    <w:rsid w:val="00E16B90"/>
    <w:rsid w:val="00E241FA"/>
    <w:rsid w:val="00E2595E"/>
    <w:rsid w:val="00E35374"/>
    <w:rsid w:val="00E50C19"/>
    <w:rsid w:val="00E60CA7"/>
    <w:rsid w:val="00E64655"/>
    <w:rsid w:val="00E73081"/>
    <w:rsid w:val="00E856C9"/>
    <w:rsid w:val="00EB6A8B"/>
    <w:rsid w:val="00EF38C6"/>
    <w:rsid w:val="00F312DB"/>
    <w:rsid w:val="00F51AE2"/>
    <w:rsid w:val="00F679C7"/>
    <w:rsid w:val="00F73B4C"/>
    <w:rsid w:val="00F7711A"/>
    <w:rsid w:val="00FA0D58"/>
    <w:rsid w:val="00FA56F4"/>
    <w:rsid w:val="00FB4EDA"/>
    <w:rsid w:val="00FD3BD5"/>
    <w:rsid w:val="00FE3DC8"/>
    <w:rsid w:val="04073F84"/>
    <w:rsid w:val="0B60750A"/>
    <w:rsid w:val="10686488"/>
    <w:rsid w:val="10DF728A"/>
    <w:rsid w:val="1264200E"/>
    <w:rsid w:val="141C5B77"/>
    <w:rsid w:val="14D362E7"/>
    <w:rsid w:val="18D8339D"/>
    <w:rsid w:val="1A21388F"/>
    <w:rsid w:val="1A570D2F"/>
    <w:rsid w:val="24C7038F"/>
    <w:rsid w:val="28FB0B8D"/>
    <w:rsid w:val="2A9870FC"/>
    <w:rsid w:val="2B0D4110"/>
    <w:rsid w:val="2D2B7942"/>
    <w:rsid w:val="2D46481D"/>
    <w:rsid w:val="2E733B28"/>
    <w:rsid w:val="31852B5A"/>
    <w:rsid w:val="32D01238"/>
    <w:rsid w:val="3DFC59A8"/>
    <w:rsid w:val="3ECF245E"/>
    <w:rsid w:val="3FB96314"/>
    <w:rsid w:val="475D477B"/>
    <w:rsid w:val="53A44FAF"/>
    <w:rsid w:val="594329EC"/>
    <w:rsid w:val="5BEE1540"/>
    <w:rsid w:val="5DE61A5D"/>
    <w:rsid w:val="63C04243"/>
    <w:rsid w:val="649C01C7"/>
    <w:rsid w:val="66784AD2"/>
    <w:rsid w:val="699A3F60"/>
    <w:rsid w:val="6C6D4312"/>
    <w:rsid w:val="72902E62"/>
    <w:rsid w:val="73C61104"/>
    <w:rsid w:val="776452EA"/>
    <w:rsid w:val="7DC663B9"/>
    <w:rsid w:val="7FD210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libri" w:hAnsi="Calibri"/>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paragraph" w:styleId="5">
    <w:name w:val="heading 4"/>
    <w:basedOn w:val="1"/>
    <w:next w:val="1"/>
    <w:link w:val="19"/>
    <w:qFormat/>
    <w:uiPriority w:val="99"/>
    <w:pPr>
      <w:keepNext/>
      <w:keepLines/>
      <w:spacing w:before="280" w:after="290" w:line="376" w:lineRule="auto"/>
      <w:outlineLvl w:val="3"/>
    </w:pPr>
    <w:rPr>
      <w:rFonts w:ascii="Calibri" w:hAnsi="Calibri"/>
      <w:b/>
      <w:bCs/>
      <w:sz w:val="28"/>
      <w:szCs w:val="28"/>
    </w:rPr>
  </w:style>
  <w:style w:type="character" w:default="1" w:styleId="15">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4"/>
    <w:qFormat/>
    <w:uiPriority w:val="99"/>
    <w:pPr>
      <w:autoSpaceDE w:val="0"/>
      <w:autoSpaceDN w:val="0"/>
      <w:spacing w:after="0" w:line="240" w:lineRule="auto"/>
      <w:jc w:val="left"/>
    </w:pPr>
    <w:rPr>
      <w:rFonts w:ascii="仿宋" w:hAnsi="仿宋" w:eastAsia="仿宋" w:cs="仿宋"/>
      <w:kern w:val="0"/>
      <w:sz w:val="32"/>
      <w:szCs w:val="32"/>
      <w:lang w:val="zh-CN"/>
    </w:rPr>
  </w:style>
  <w:style w:type="paragraph" w:styleId="7">
    <w:name w:val="Date"/>
    <w:basedOn w:val="1"/>
    <w:next w:val="1"/>
    <w:link w:val="20"/>
    <w:semiHidden/>
    <w:uiPriority w:val="99"/>
    <w:pPr>
      <w:ind w:left="100" w:leftChars="2500"/>
    </w:pPr>
  </w:style>
  <w:style w:type="paragraph" w:styleId="8">
    <w:name w:val="Balloon Text"/>
    <w:basedOn w:val="1"/>
    <w:link w:val="21"/>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mbria" w:hAnsi="Cambria" w:eastAsia="黑体"/>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rFonts w:ascii="Cambria" w:hAnsi="Cambria" w:eastAsia="黑体"/>
      <w:sz w:val="18"/>
      <w:szCs w:val="18"/>
    </w:rPr>
  </w:style>
  <w:style w:type="paragraph" w:styleId="11">
    <w:name w:val="Subtitle"/>
    <w:basedOn w:val="1"/>
    <w:next w:val="1"/>
    <w:link w:val="24"/>
    <w:qFormat/>
    <w:uiPriority w:val="99"/>
    <w:pPr>
      <w:widowControl/>
      <w:spacing w:after="200" w:line="276" w:lineRule="auto"/>
      <w:jc w:val="left"/>
    </w:pPr>
    <w:rPr>
      <w:rFonts w:ascii="Calibri" w:hAnsi="Calibri"/>
      <w:i/>
      <w:iCs/>
      <w:color w:val="F0A22E"/>
      <w:spacing w:val="15"/>
      <w:kern w:val="0"/>
      <w:sz w:val="24"/>
    </w:rPr>
  </w:style>
  <w:style w:type="paragraph" w:styleId="12">
    <w:name w:val="Title"/>
    <w:basedOn w:val="1"/>
    <w:next w:val="1"/>
    <w:link w:val="25"/>
    <w:qFormat/>
    <w:uiPriority w:val="99"/>
    <w:pPr>
      <w:widowControl/>
      <w:pBdr>
        <w:bottom w:val="single" w:color="F0A22E" w:sz="8" w:space="4"/>
      </w:pBdr>
      <w:spacing w:after="300"/>
      <w:contextualSpacing/>
      <w:jc w:val="left"/>
    </w:pPr>
    <w:rPr>
      <w:rFonts w:ascii="Calibri" w:hAnsi="Calibri"/>
      <w:color w:val="3A2C24"/>
      <w:spacing w:val="5"/>
      <w:kern w:val="28"/>
      <w:sz w:val="52"/>
      <w:szCs w:val="52"/>
    </w:rPr>
  </w:style>
  <w:style w:type="table" w:styleId="14">
    <w:name w:val="Table Grid"/>
    <w:basedOn w:val="13"/>
    <w:qFormat/>
    <w:uiPriority w:val="99"/>
    <w:rPr>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
    <w:name w:val="Heading 1 Char"/>
    <w:basedOn w:val="15"/>
    <w:link w:val="2"/>
    <w:locked/>
    <w:uiPriority w:val="99"/>
    <w:rPr>
      <w:rFonts w:ascii="Times New Roman" w:hAnsi="Times New Roman" w:eastAsia="宋体" w:cs="Times New Roman"/>
      <w:b/>
      <w:bCs/>
      <w:kern w:val="44"/>
      <w:sz w:val="44"/>
      <w:szCs w:val="44"/>
    </w:rPr>
  </w:style>
  <w:style w:type="character" w:customStyle="1" w:styleId="17">
    <w:name w:val="Heading 2 Char"/>
    <w:basedOn w:val="15"/>
    <w:link w:val="3"/>
    <w:qFormat/>
    <w:locked/>
    <w:uiPriority w:val="99"/>
    <w:rPr>
      <w:rFonts w:ascii="Calibri" w:hAnsi="Calibri" w:eastAsia="宋体" w:cs="Times New Roman"/>
      <w:b/>
      <w:bCs/>
      <w:sz w:val="32"/>
      <w:szCs w:val="32"/>
    </w:rPr>
  </w:style>
  <w:style w:type="character" w:customStyle="1" w:styleId="18">
    <w:name w:val="Heading 3 Char"/>
    <w:basedOn w:val="15"/>
    <w:link w:val="4"/>
    <w:locked/>
    <w:uiPriority w:val="99"/>
    <w:rPr>
      <w:rFonts w:ascii="Times New Roman" w:hAnsi="Times New Roman" w:eastAsia="宋体" w:cs="Times New Roman"/>
      <w:b/>
      <w:bCs/>
      <w:sz w:val="32"/>
      <w:szCs w:val="32"/>
    </w:rPr>
  </w:style>
  <w:style w:type="character" w:customStyle="1" w:styleId="19">
    <w:name w:val="Heading 4 Char"/>
    <w:basedOn w:val="15"/>
    <w:link w:val="5"/>
    <w:locked/>
    <w:uiPriority w:val="99"/>
    <w:rPr>
      <w:rFonts w:ascii="Calibri" w:hAnsi="Calibri" w:eastAsia="宋体" w:cs="Times New Roman"/>
      <w:b/>
      <w:bCs/>
      <w:sz w:val="28"/>
      <w:szCs w:val="28"/>
    </w:rPr>
  </w:style>
  <w:style w:type="character" w:customStyle="1" w:styleId="20">
    <w:name w:val="Date Char"/>
    <w:basedOn w:val="15"/>
    <w:link w:val="7"/>
    <w:semiHidden/>
    <w:locked/>
    <w:uiPriority w:val="99"/>
    <w:rPr>
      <w:rFonts w:ascii="Times New Roman" w:hAnsi="Times New Roman" w:eastAsia="宋体" w:cs="Times New Roman"/>
      <w:sz w:val="24"/>
      <w:szCs w:val="24"/>
    </w:rPr>
  </w:style>
  <w:style w:type="character" w:customStyle="1" w:styleId="21">
    <w:name w:val="Balloon Text Char"/>
    <w:basedOn w:val="15"/>
    <w:link w:val="8"/>
    <w:semiHidden/>
    <w:qFormat/>
    <w:locked/>
    <w:uiPriority w:val="99"/>
    <w:rPr>
      <w:rFonts w:ascii="Times New Roman" w:hAnsi="Times New Roman" w:eastAsia="宋体" w:cs="Times New Roman"/>
      <w:sz w:val="18"/>
      <w:szCs w:val="18"/>
    </w:rPr>
  </w:style>
  <w:style w:type="character" w:customStyle="1" w:styleId="22">
    <w:name w:val="Footer Char"/>
    <w:basedOn w:val="15"/>
    <w:link w:val="9"/>
    <w:qFormat/>
    <w:locked/>
    <w:uiPriority w:val="99"/>
    <w:rPr>
      <w:rFonts w:cs="Times New Roman"/>
      <w:sz w:val="18"/>
      <w:szCs w:val="18"/>
    </w:rPr>
  </w:style>
  <w:style w:type="character" w:customStyle="1" w:styleId="23">
    <w:name w:val="Header Char"/>
    <w:basedOn w:val="15"/>
    <w:link w:val="10"/>
    <w:qFormat/>
    <w:locked/>
    <w:uiPriority w:val="99"/>
    <w:rPr>
      <w:rFonts w:cs="Times New Roman"/>
      <w:sz w:val="18"/>
      <w:szCs w:val="18"/>
    </w:rPr>
  </w:style>
  <w:style w:type="character" w:customStyle="1" w:styleId="24">
    <w:name w:val="Subtitle Char"/>
    <w:basedOn w:val="15"/>
    <w:link w:val="11"/>
    <w:qFormat/>
    <w:locked/>
    <w:uiPriority w:val="99"/>
    <w:rPr>
      <w:rFonts w:ascii="Calibri" w:hAnsi="Calibri" w:eastAsia="宋体" w:cs="Times New Roman"/>
      <w:i/>
      <w:iCs/>
      <w:color w:val="F0A22E"/>
      <w:spacing w:val="15"/>
      <w:kern w:val="0"/>
      <w:sz w:val="24"/>
      <w:szCs w:val="24"/>
    </w:rPr>
  </w:style>
  <w:style w:type="character" w:customStyle="1" w:styleId="25">
    <w:name w:val="Title Char"/>
    <w:basedOn w:val="15"/>
    <w:link w:val="12"/>
    <w:qFormat/>
    <w:locked/>
    <w:uiPriority w:val="99"/>
    <w:rPr>
      <w:rFonts w:ascii="Calibri" w:hAnsi="Calibri" w:eastAsia="宋体" w:cs="Times New Roman"/>
      <w:color w:val="3A2C24"/>
      <w:spacing w:val="5"/>
      <w:kern w:val="28"/>
      <w:sz w:val="52"/>
      <w:szCs w:val="52"/>
    </w:rPr>
  </w:style>
  <w:style w:type="paragraph" w:styleId="26">
    <w:name w:val="No Spacing"/>
    <w:link w:val="27"/>
    <w:qFormat/>
    <w:uiPriority w:val="99"/>
    <w:pPr>
      <w:spacing w:after="160" w:line="480" w:lineRule="auto"/>
    </w:pPr>
    <w:rPr>
      <w:rFonts w:ascii="Cambria" w:hAnsi="Cambria" w:eastAsia="黑体" w:cs="Times New Roman"/>
      <w:kern w:val="0"/>
      <w:sz w:val="22"/>
      <w:szCs w:val="22"/>
      <w:lang w:val="en-US" w:eastAsia="zh-CN" w:bidi="ar-SA"/>
    </w:rPr>
  </w:style>
  <w:style w:type="character" w:customStyle="1" w:styleId="27">
    <w:name w:val="No Spacing Char"/>
    <w:basedOn w:val="15"/>
    <w:link w:val="26"/>
    <w:qFormat/>
    <w:locked/>
    <w:uiPriority w:val="99"/>
    <w:rPr>
      <w:rFonts w:cs="Times New Roman"/>
      <w:sz w:val="22"/>
      <w:szCs w:val="22"/>
      <w:lang w:val="en-US" w:eastAsia="zh-CN" w:bidi="ar-SA"/>
    </w:rPr>
  </w:style>
  <w:style w:type="character" w:customStyle="1" w:styleId="28">
    <w:name w:val="Style1"/>
    <w:basedOn w:val="15"/>
    <w:qFormat/>
    <w:uiPriority w:val="99"/>
    <w:rPr>
      <w:rFonts w:ascii="Cambria" w:hAnsi="黑体" w:eastAsia="黑体" w:cs="Times New Roman"/>
      <w:sz w:val="22"/>
      <w:szCs w:val="22"/>
      <w:lang w:eastAsia="zh-CN"/>
    </w:rPr>
  </w:style>
  <w:style w:type="character" w:customStyle="1" w:styleId="29">
    <w:name w:val="Style2"/>
    <w:basedOn w:val="15"/>
    <w:qFormat/>
    <w:uiPriority w:val="99"/>
    <w:rPr>
      <w:rFonts w:ascii="Cambria" w:hAnsi="黑体" w:eastAsia="黑体" w:cs="Times New Roman"/>
      <w:sz w:val="22"/>
      <w:szCs w:val="22"/>
      <w:lang w:eastAsia="zh-CN"/>
    </w:rPr>
  </w:style>
  <w:style w:type="character" w:customStyle="1" w:styleId="30">
    <w:name w:val="Style3"/>
    <w:basedOn w:val="15"/>
    <w:qFormat/>
    <w:uiPriority w:val="99"/>
    <w:rPr>
      <w:rFonts w:ascii="Cambria" w:hAnsi="黑体" w:eastAsia="黑体" w:cs="Times New Roman"/>
      <w:sz w:val="22"/>
      <w:szCs w:val="22"/>
      <w:lang w:eastAsia="zh-CN"/>
    </w:rPr>
  </w:style>
  <w:style w:type="character" w:customStyle="1" w:styleId="31">
    <w:name w:val="Style4"/>
    <w:basedOn w:val="15"/>
    <w:qFormat/>
    <w:uiPriority w:val="99"/>
    <w:rPr>
      <w:rFonts w:ascii="Cambria" w:hAnsi="黑体" w:eastAsia="黑体" w:cs="Times New Roman"/>
      <w:sz w:val="22"/>
      <w:szCs w:val="22"/>
      <w:lang w:eastAsia="zh-CN"/>
    </w:rPr>
  </w:style>
  <w:style w:type="character" w:customStyle="1" w:styleId="32">
    <w:name w:val="Style5"/>
    <w:basedOn w:val="15"/>
    <w:qFormat/>
    <w:uiPriority w:val="99"/>
    <w:rPr>
      <w:rFonts w:ascii="Cambria" w:hAnsi="黑体" w:eastAsia="黑体" w:cs="Times New Roman"/>
      <w:sz w:val="22"/>
      <w:szCs w:val="22"/>
      <w:lang w:eastAsia="zh-CN"/>
    </w:rPr>
  </w:style>
  <w:style w:type="paragraph" w:styleId="33">
    <w:name w:val="List Paragraph"/>
    <w:basedOn w:val="1"/>
    <w:qFormat/>
    <w:uiPriority w:val="99"/>
    <w:pPr>
      <w:ind w:firstLine="420" w:firstLineChars="200"/>
    </w:pPr>
  </w:style>
  <w:style w:type="character" w:customStyle="1" w:styleId="34">
    <w:name w:val="Body Text Char"/>
    <w:basedOn w:val="15"/>
    <w:link w:val="6"/>
    <w:semiHidden/>
    <w:qFormat/>
    <w:locked/>
    <w:uiPriority w:val="99"/>
    <w:rPr>
      <w:rFonts w:ascii="仿宋" w:hAnsi="仿宋" w:eastAsia="仿宋" w:cs="仿宋"/>
      <w:sz w:val="32"/>
      <w:szCs w:val="32"/>
      <w:lang w:val="zh-CN" w:eastAsia="zh-CN" w:bidi="ar-SA"/>
    </w:rPr>
  </w:style>
  <w:style w:type="paragraph" w:customStyle="1" w:styleId="35">
    <w:name w:val="Body text|1"/>
    <w:basedOn w:val="1"/>
    <w:qFormat/>
    <w:uiPriority w:val="99"/>
    <w:pPr>
      <w:autoSpaceDE w:val="0"/>
      <w:autoSpaceDN w:val="0"/>
      <w:spacing w:after="0" w:line="240" w:lineRule="auto"/>
      <w:jc w:val="center"/>
    </w:pPr>
    <w:rPr>
      <w:rFonts w:ascii="宋体" w:hAnsi="宋体" w:cs="宋体"/>
      <w:kern w:val="0"/>
      <w:sz w:val="28"/>
      <w:szCs w:val="28"/>
      <w:lang w:val="zh-TW" w:eastAsia="zh-TW"/>
    </w:rPr>
  </w:style>
  <w:style w:type="paragraph" w:customStyle="1" w:styleId="36">
    <w:name w:val="Other|1"/>
    <w:basedOn w:val="1"/>
    <w:qFormat/>
    <w:uiPriority w:val="99"/>
    <w:pPr>
      <w:autoSpaceDE w:val="0"/>
      <w:autoSpaceDN w:val="0"/>
      <w:spacing w:after="0" w:line="240" w:lineRule="auto"/>
      <w:jc w:val="left"/>
    </w:pPr>
    <w:rPr>
      <w:rFonts w:ascii="宋体" w:hAnsi="宋体" w:cs="宋体"/>
      <w:kern w:val="0"/>
      <w:sz w:val="16"/>
      <w:szCs w:val="1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1"/>
    <customShpInfo spid="_x0000_s1034"/>
    <customShpInfo spid="_x0000_s1035"/>
    <customShpInfo spid="_x0000_s1036"/>
    <customShpInfo spid="_x0000_s1037"/>
    <customShpInfo spid="_x0000_s1038"/>
    <customShpInfo spid="_x0000_s1039"/>
    <customShpInfo spid="_x0000_s1041"/>
    <customShpInfo spid="_x0000_s1042"/>
    <customShpInfo spid="_x0000_s1040"/>
    <customShpInfo spid="_x0000_s1043"/>
    <customShpInfo spid="_x0000_s1044"/>
    <customShpInfo spid="_x0000_s1046"/>
    <customShpInfo spid="_x0000_s1047"/>
    <customShpInfo spid="_x0000_s1045"/>
    <customShpInfo spid="_x0000_s1049"/>
    <customShpInfo spid="_x0000_s1050"/>
    <customShpInfo spid="_x0000_s1048"/>
    <customShpInfo spid="_x0000_s1052"/>
    <customShpInfo spid="_x0000_s1053"/>
    <customShpInfo spid="_x0000_s1051"/>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22</Pages>
  <Words>2095</Words>
  <Characters>2133</Characters>
  <Lines>0</Lines>
  <Paragraphs>0</Paragraphs>
  <TotalTime>1901</TotalTime>
  <ScaleCrop>false</ScaleCrop>
  <LinksUpToDate>false</LinksUpToDate>
  <CharactersWithSpaces>2151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2019-08-01T09:15:00Z</dcterms:created>
  <dc:creator>User</dc:creator>
  <cp:lastModifiedBy>学无止境</cp:lastModifiedBy>
  <cp:lastPrinted>2019-08-02T01:01:00Z</cp:lastPrinted>
  <dcterms:modified xsi:type="dcterms:W3CDTF">2026-06-23T09:10:51Z</dcterms:modified>
  <dc:subject>石家庄市xxx部门</dc:subject>
  <dc:title>2017年度部门决算</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57DD6DC2CB18449E8BCBFDB4F02E856D</vt:lpwstr>
  </property>
  <property fmtid="{D5CDD505-2E9C-101B-9397-08002B2CF9AE}" pid="4" name="KSOTemplateDocerSaveRecord">
    <vt:lpwstr>eyJoZGlkIjoiNDQ4MDViZTE5Y2YyZWU4MzgyNGVkNGNiNzdmNTI4YTAiLCJ1c2VySWQiOiI3Mzc4MzgwNDcifQ==</vt:lpwstr>
  </property>
</Properties>
</file>