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-1007745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cstate="print"/>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8" name="文本框 8"/>
                <wp:cNvGraphicFramePr/>
                <a:graphic xmlns:a="http://schemas.openxmlformats.org/drawingml/2006/main">
                  <a:graphicData uri="http://schemas.microsoft.com/office/word/2010/wordprocessingShape">
                    <wps:wsp>
                      <wps:cNvSpPr txBox="1"/>
                      <wps:spPr>
                        <a:xfrm>
                          <a:off x="1435100" y="2519045"/>
                          <a:ext cx="7571740" cy="2111375"/>
                        </a:xfrm>
                        <a:prstGeom prst="rect">
                          <a:avLst/>
                        </a:prstGeom>
                        <a:noFill/>
                        <a:ln w="6350">
                          <a:noFill/>
                        </a:ln>
                        <a:effectLst/>
                      </wps:spPr>
                      <wps:txbx>
                        <w:txbxContent>
                          <w:p>
                            <w:pPr>
                              <w:widowControl/>
                              <w:spacing w:line="1200" w:lineRule="exact"/>
                              <w:jc w:val="center"/>
                              <w:rPr>
                                <w:rFonts w:hint="eastAsia" w:hAnsi="宋体" w:asciiTheme="minorEastAsia" w:eastAsiaTheme="minorEastAsia"/>
                                <w:color w:val="FDEFBE"/>
                                <w:sz w:val="96"/>
                                <w:szCs w:val="96"/>
                                <w:lang w:eastAsia="zh-CN"/>
                              </w:rPr>
                            </w:pPr>
                            <w:r>
                              <w:rPr>
                                <w:rFonts w:hint="eastAsia" w:hAnsi="宋体" w:asciiTheme="minorEastAsia" w:eastAsiaTheme="minorEastAsia"/>
                                <w:color w:val="FDEFBE"/>
                                <w:sz w:val="96"/>
                                <w:szCs w:val="96"/>
                              </w:rPr>
                              <w:t>馆陶县</w:t>
                            </w:r>
                            <w:r>
                              <w:rPr>
                                <w:rFonts w:hint="eastAsia" w:hAnsi="宋体" w:asciiTheme="minorEastAsia" w:eastAsiaTheme="minorEastAsia"/>
                                <w:color w:val="FDEFBE"/>
                                <w:sz w:val="96"/>
                                <w:szCs w:val="96"/>
                                <w:lang w:eastAsia="zh-CN"/>
                              </w:rPr>
                              <w:t>委农村工作委员会</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cM8NU2wAAAAwBAAAP&#10;AAAAAAAAAAEAIAAAACIAAABkcnMvZG93bnJldi54bWxQSwECFAAUAAAACACHTuJAy6SxeE4CAACB&#10;BAAADgAAAAAAAAABACAAAAAqAQAAZHJzL2Uyb0RvYy54bWxQSwUGAAAAAAYABgBZAQAA6gUAAAAA&#10;">
                <v:fill on="f" focussize="0,0"/>
                <v:stroke on="f" weight="0.5pt"/>
                <v:imagedata o:title=""/>
                <o:lock v:ext="edit" aspectratio="f"/>
                <v:textbox>
                  <w:txbxContent>
                    <w:p>
                      <w:pPr>
                        <w:widowControl/>
                        <w:spacing w:line="1200" w:lineRule="exact"/>
                        <w:jc w:val="center"/>
                        <w:rPr>
                          <w:rFonts w:hint="eastAsia" w:hAnsi="宋体" w:asciiTheme="minorEastAsia" w:eastAsiaTheme="minorEastAsia"/>
                          <w:color w:val="FDEFBE"/>
                          <w:sz w:val="96"/>
                          <w:szCs w:val="96"/>
                          <w:lang w:eastAsia="zh-CN"/>
                        </w:rPr>
                      </w:pPr>
                      <w:r>
                        <w:rPr>
                          <w:rFonts w:hint="eastAsia" w:hAnsi="宋体" w:asciiTheme="minorEastAsia" w:eastAsiaTheme="minorEastAsia"/>
                          <w:color w:val="FDEFBE"/>
                          <w:sz w:val="96"/>
                          <w:szCs w:val="96"/>
                        </w:rPr>
                        <w:t>馆陶县</w:t>
                      </w:r>
                      <w:r>
                        <w:rPr>
                          <w:rFonts w:hint="eastAsia" w:hAnsi="宋体" w:asciiTheme="minorEastAsia" w:eastAsiaTheme="minorEastAsia"/>
                          <w:color w:val="FDEFBE"/>
                          <w:sz w:val="96"/>
                          <w:szCs w:val="96"/>
                          <w:lang w:eastAsia="zh-CN"/>
                        </w:rPr>
                        <w:t>委农村工作委员会</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mc:Fallback>
        </mc:AlternateConten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r>
        <w:rPr>
          <w:rFonts w:hint="eastAsia" w:ascii="楷体" w:hAnsi="楷体" w:eastAsia="楷体" w:cs="楷体"/>
          <w:b/>
          <w:sz w:val="40"/>
          <w:szCs w:val="40"/>
        </w:rPr>
        <w:t>（部门公章）</w:t>
      </w:r>
    </w:p>
    <w:p>
      <w:pPr>
        <w:widowControl/>
        <w:jc w:val="center"/>
        <w:rPr>
          <w:rFonts w:ascii="楷体" w:hAnsi="楷体" w:eastAsia="楷体" w:cs="楷体"/>
          <w:b/>
          <w:sz w:val="40"/>
          <w:szCs w:val="40"/>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0"/>
          <w:szCs w:val="40"/>
        </w:rPr>
        <w:t>二〇一九年十</w:t>
      </w:r>
      <w:r>
        <w:rPr>
          <w:rFonts w:hint="eastAsia" w:ascii="楷体" w:hAnsi="楷体" w:eastAsia="楷体" w:cs="楷体"/>
          <w:b/>
          <w:sz w:val="40"/>
          <w:szCs w:val="40"/>
          <w:lang w:eastAsia="zh-CN"/>
        </w:rPr>
        <w:t>二</w:t>
      </w:r>
      <w:r>
        <w:rPr>
          <w:rFonts w:hint="eastAsia" w:ascii="楷体" w:hAnsi="楷体" w:eastAsia="楷体" w:cs="楷体"/>
          <w:b/>
          <w:sz w:val="40"/>
          <w:szCs w:val="40"/>
        </w:rPr>
        <w:t>月</w:t>
      </w:r>
    </w:p>
    <w:p>
      <w:pPr>
        <w:spacing w:beforeLines="200" w:after="0" w:line="1000" w:lineRule="exact"/>
        <w:jc w:val="center"/>
        <w:rPr>
          <w:rFonts w:ascii="黑体" w:eastAsia="黑体"/>
          <w:sz w:val="48"/>
          <w:szCs w:val="48"/>
        </w:rPr>
      </w:pPr>
      <w:r>
        <w:rPr>
          <w:sz w:val="48"/>
          <w:szCs w:val="28"/>
        </w:rPr>
        <mc:AlternateContent>
          <mc:Choice Requires="wpg">
            <w:drawing>
              <wp:anchor distT="0" distB="0" distL="114300" distR="114300" simplePos="0" relativeHeight="251672576"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179" name="组合 97"/>
                <wp:cNvGraphicFramePr/>
                <a:graphic xmlns:a="http://schemas.openxmlformats.org/drawingml/2006/main">
                  <a:graphicData uri="http://schemas.microsoft.com/office/word/2010/wordprocessingGroup">
                    <wpg:wgp>
                      <wpg:cNvGrpSpPr/>
                      <wpg:grpSpPr>
                        <a:xfrm>
                          <a:off x="0" y="0"/>
                          <a:ext cx="3175635" cy="593090"/>
                          <a:chOff x="4551" y="52615"/>
                          <a:chExt cx="8546" cy="1398"/>
                        </a:xfrm>
                        <a:effectLst/>
                      </wpg:grpSpPr>
                      <wps:wsp>
                        <wps:cNvPr id="180"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81"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7" o:spid="_x0000_s1026" o:spt="203" style="position:absolute;left:0pt;margin-left:-80.8pt;margin-top:39.95pt;height:46.7pt;width:250.05pt;mso-position-vertical-relative:page;z-index:251672576;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DYPMNU2wAAAAsBAAAPAAAAAAAAAAEAIAAAACIAAABkcnMvZG93bnJl&#10;di54bWxQSwECFAAUAAAACACHTuJAWeLFUVADAABpCQAADgAAAAAAAAABACAAAAAqAQAAZHJzL2Uy&#10;b0RvYy54bWxQSwUGAAAAAAYABgBZAQAA7AYAAAAA&#10;">
                <o:lock v:ext="edit" aspectratio="f"/>
                <v:rect id="矩形 13" o:spid="_x0000_s1026" o:spt="1" style="position:absolute;left:4551;top:52615;height:1175;width:8546;v-text-anchor:middle;" fillcolor="#B8B8B8" filled="t" stroked="f" coordsize="21600,21600" o:gfxdata="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osXo&#10;wAAAANwAAAAPAAAAAAAAAAEAIAAAACIAAABkcnMvZG93bnJldi54bWxQSwECFAAUAAAACACHTuJA&#10;My8FnjsAAAA5AAAAEAAAAAAAAAABACAAAAAPAQAAZHJzL3NoYXBleG1sLnhtbFBLBQYAAAAABgAG&#10;AFsBAAC5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evZXrwAAADc&#10;AAAADwAAAGRycy9kb3ducmV2LnhtbEVPS2sCMRC+C/0PYQpepGZXtMjW6EERBKmg7cHjkIy7q5vJ&#10;msRH/70RhN7m43vOZHa3jbiSD7VjBXk/A0Gsnam5VPD7s/wYgwgR2WDjmBT8UYDZ9K0zwcK4G2/p&#10;uoulSCEcClRQxdgWUgZdkcXQdy1x4g7OW4wJ+lIaj7cUbhs5yLJPabHm1FBhS/OK9Gl3sQr2G+33&#10;ekTrc68dfm8Xq2MdwlGp7nuefYGIdI//4pd7ZdL8cQ7PZ9IF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r2V68AAAA&#10;3AAAAA8AAAAAAAAAAQAgAAAAIgAAAGRycy9kb3ducmV2LnhtbFBLAQIUABQAAAAIAIdO4kAzLwWe&#10;OwAAADkAAAAQAAAAAAAAAAEAIAAAAAsBAABkcnMvc2hhcGV4bWwueG1sUEsFBgAAAAAGAAYAWwEA&#10;ALUDA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10:anchorlock/>
              </v:group>
            </w:pict>
          </mc:Fallback>
        </mc:AlternateConten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馆陶</w:t>
      </w:r>
      <w:r>
        <w:rPr>
          <w:rFonts w:hint="eastAsia" w:eastAsia="黑体"/>
          <w:sz w:val="32"/>
          <w:szCs w:val="32"/>
          <w:lang w:eastAsia="zh-CN"/>
        </w:rPr>
        <w:t>县委农村工作委员会</w:t>
      </w:r>
      <w:r>
        <w:rPr>
          <w:rFonts w:eastAsia="黑体"/>
          <w:sz w:val="32"/>
          <w:szCs w:val="32"/>
        </w:rPr>
        <w:t>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114300" distR="114300" simplePos="0" relativeHeight="251671552"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176" name="组合 94"/>
                <wp:cNvGraphicFramePr/>
                <a:graphic xmlns:a="http://schemas.openxmlformats.org/drawingml/2006/main">
                  <a:graphicData uri="http://schemas.microsoft.com/office/word/2010/wordprocessingGroup">
                    <wpg:wgp>
                      <wpg:cNvGrpSpPr/>
                      <wpg:grpSpPr>
                        <a:xfrm>
                          <a:off x="0" y="0"/>
                          <a:ext cx="2829560" cy="593090"/>
                          <a:chOff x="4551" y="52615"/>
                          <a:chExt cx="8546" cy="1398"/>
                        </a:xfrm>
                        <a:effectLst/>
                      </wpg:grpSpPr>
                      <wps:wsp>
                        <wps:cNvPr id="177"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78"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4" o:spid="_x0000_s1026" o:spt="203" style="position:absolute;left:0pt;margin-left:-80.8pt;margin-top:38.95pt;height:46.7pt;width:222.8pt;mso-position-vertical-relative:page;z-index:251671552;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DezVw+2wAAAAsBAAAPAAAAAAAAAAEAIAAAACIAAABkcnMvZG93bnJl&#10;di54bWxQSwECFAAUAAAACACHTuJAZbnCxFADAABpCQAADgAAAAAAAAABACAAAAAqAQAAZHJzL2Uy&#10;b0RvYy54bWxQSwUGAAAAAAYABgBZAQAA7AYAAAAA&#10;">
                <o:lock v:ext="edit" aspectratio="f"/>
                <v:rect id="矩形 13" o:spid="_x0000_s1026" o:spt="1" style="position:absolute;left:4551;top:52615;height:1175;width:8546;v-text-anchor:middle;" fillcolor="#B8B8B8" filled="t" stroked="f" coordsize="21600,21600" o:gfxdata="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ni27vQAA&#10;ANw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5QQA5MAAAADc&#10;AAAADwAAAGRycy9kb3ducmV2LnhtbEWPT2sCMRDF74LfIYzQi9SsxdqyNXqwFARpQe3B45BMd1c3&#10;k22S+ufbO4eCtxnem/d+M1tcfKtOFFMT2MB4VIAitsE1XBn43n08voJKGdlhG5gMXCnBYt7vzbB0&#10;4cwbOm1zpSSEU4kG6py7Uutka/KYRqEjFu0nRI9Z1lhpF/Es4b7VT0Ux1R4bloYaO1rWZI/bP29g&#10;/2Xj3j7T+nfYTT4376tDk9LBmIfBuHgDlemS7+b/65UT/BehlWdkAj2/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BADk&#10;wAAAANwAAAAPAAAAAAAAAAEAIAAAACIAAABkcnMvZG93bnJldi54bWxQSwECFAAUAAAACACHTuJA&#10;My8FnjsAAAA5AAAAEAAAAAAAAAABACAAAAAPAQAAZHJzL3NoYXBleG1sLnhtbFBLBQYAAAAABgAG&#10;AFsBAAC5Aw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mc:Fallback>
        </mc:AlternateContent>
      </w:r>
    </w:p>
    <w:p>
      <w:pPr>
        <w:widowControl/>
        <w:spacing w:line="580" w:lineRule="exact"/>
        <w:ind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firstLine="640" w:firstLineChars="200"/>
        <w:rPr>
          <w:rFonts w:eastAsia="仿宋_GB2312"/>
          <w:sz w:val="32"/>
          <w:szCs w:val="32"/>
        </w:rPr>
      </w:pPr>
      <w:r>
        <w:rPr>
          <w:rFonts w:eastAsia="仿宋_GB2312"/>
          <w:sz w:val="32"/>
          <w:szCs w:val="32"/>
        </w:rPr>
        <w:t>二、收入决算情况说明</w:t>
      </w:r>
    </w:p>
    <w:p>
      <w:pPr>
        <w:widowControl/>
        <w:spacing w:line="580" w:lineRule="exact"/>
        <w:ind w:firstLine="640" w:firstLineChars="200"/>
        <w:rPr>
          <w:rFonts w:eastAsia="仿宋_GB2312"/>
          <w:sz w:val="32"/>
          <w:szCs w:val="32"/>
        </w:rPr>
      </w:pPr>
      <w:r>
        <w:rPr>
          <w:rFonts w:eastAsia="仿宋_GB2312"/>
          <w:sz w:val="32"/>
          <w:szCs w:val="32"/>
        </w:rPr>
        <w:t>三、支出决算情况说明</w:t>
      </w:r>
    </w:p>
    <w:p>
      <w:pPr>
        <w:widowControl/>
        <w:spacing w:line="580" w:lineRule="exact"/>
        <w:ind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cstate="print"/>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70528"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a:effectLst/>
                      </wps:spPr>
                      <wps:txb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PV9lc0YCAAB5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Tb4qz8MmTII0lJ6k2K/6Dc4VVXeA6WmYleDkeYtSLkSIV8JjOIAM6xMvcdSakJI2&#10;EmcN+W//0id/9AxWzjoMW8nD17XwijP9waKbR+ODgzSd+XIwne3j4p9aVk8tdm1OCfM8xqI6mcXk&#10;H/VWrD2ZL9iyZcoKk7ASuUset+JpHFYAWyrVcpmdMI9OxAt77WQKPZC7XEeq28x7omngBk1IF0xk&#10;bsdme9LIP71nr8c/xu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IrDqd4AAAANAQAADwAAAAAA&#10;AAABACAAAAAiAAAAZHJzL2Rvd25yZXYueG1sUEsBAhQAFAAAAAgAh07iQD1fZXNGAgAAeQQAAA4A&#10;AAAAAAAAAQAgAAAALQEAAGRycy9lMm9Eb2MueG1sUEsFBgAAAAAGAAYAWQEAAOUFAAAAAA==&#10;">
                <v:fill on="f" focussize="0,0"/>
                <v:stroke on="f" weight="0.5pt"/>
                <v:imagedata o:title=""/>
                <o:lock v:ext="edit" aspectratio="f"/>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mc:Fallback>
        </mc:AlternateContent>
      </w:r>
    </w:p>
    <w:p/>
    <w:p/>
    <w:p/>
    <w:p/>
    <w:p/>
    <w:p/>
    <w:p/>
    <w:p/>
    <w:p/>
    <w:p/>
    <w:p/>
    <w:p/>
    <w:p/>
    <w:p/>
    <w:p/>
    <w:p>
      <w:pPr>
        <w:pStyle w:val="11"/>
        <w:keepNext w:val="0"/>
        <w:keepLines w:val="0"/>
        <w:widowControl/>
        <w:suppressLineNumbers w:val="0"/>
        <w:spacing w:before="75" w:beforeAutospacing="0" w:after="75" w:afterAutospacing="0"/>
        <w:ind w:left="0" w:right="0" w:firstLine="0"/>
        <w:rPr>
          <w:rFonts w:hint="eastAsia" w:ascii="黑体" w:hAnsi="黑体" w:eastAsia="黑体" w:cs="黑体"/>
          <w:i w:val="0"/>
          <w:caps w:val="0"/>
          <w:color w:val="000000"/>
          <w:spacing w:val="0"/>
          <w:sz w:val="32"/>
          <w:szCs w:val="32"/>
        </w:rPr>
      </w:pPr>
      <w:r>
        <w:rPr>
          <w:rFonts w:hint="eastAsia" w:ascii="黑体" w:hAnsi="黑体" w:eastAsia="黑体" w:cs="黑体"/>
          <w:b/>
          <w:i w:val="0"/>
          <w:caps w:val="0"/>
          <w:color w:val="000000"/>
          <w:spacing w:val="0"/>
          <w:sz w:val="32"/>
          <w:szCs w:val="32"/>
        </w:rPr>
        <w:t>一、部门主要职责</w:t>
      </w:r>
    </w:p>
    <w:p>
      <w:pPr>
        <w:keepNext w:val="0"/>
        <w:keepLines w:val="0"/>
        <w:widowControl/>
        <w:suppressLineNumbers w:val="0"/>
        <w:spacing w:before="75" w:beforeAutospacing="0" w:after="75" w:afterAutospacing="0"/>
        <w:ind w:right="0" w:firstLine="640" w:firstLineChars="200"/>
        <w:jc w:val="both"/>
        <w:rPr>
          <w:rFonts w:hint="default" w:ascii="Tahoma" w:hAnsi="Tahoma" w:eastAsia="Tahoma" w:cs="Tahoma"/>
          <w:i w:val="0"/>
          <w:caps w:val="0"/>
          <w:color w:val="000000"/>
          <w:spacing w:val="0"/>
          <w:sz w:val="32"/>
          <w:szCs w:val="32"/>
        </w:rPr>
      </w:pPr>
      <w:r>
        <w:rPr>
          <w:rFonts w:hint="default" w:ascii="Tahoma" w:hAnsi="Tahoma" w:eastAsia="Tahoma" w:cs="Tahoma"/>
          <w:i w:val="0"/>
          <w:caps w:val="0"/>
          <w:color w:val="000000"/>
          <w:spacing w:val="0"/>
          <w:kern w:val="0"/>
          <w:sz w:val="32"/>
          <w:szCs w:val="32"/>
          <w:lang w:val="en-US" w:eastAsia="zh-CN" w:bidi="ar"/>
        </w:rPr>
        <w:t>根据《馆陶县人民政府办公室关于县委农工委职能配置、内设机构和人员编制方案》规定，农工委的主要职责是：</w:t>
      </w:r>
    </w:p>
    <w:p>
      <w:pPr>
        <w:keepNext w:val="0"/>
        <w:keepLines w:val="0"/>
        <w:widowControl/>
        <w:suppressLineNumbers w:val="0"/>
        <w:spacing w:before="75" w:beforeAutospacing="0" w:after="75" w:afterAutospacing="0"/>
        <w:ind w:right="0" w:firstLine="640" w:firstLineChars="200"/>
        <w:jc w:val="both"/>
        <w:rPr>
          <w:rFonts w:hint="default" w:ascii="Tahoma" w:hAnsi="Tahoma" w:eastAsia="Tahoma" w:cs="Tahoma"/>
          <w:i w:val="0"/>
          <w:caps w:val="0"/>
          <w:color w:val="000000"/>
          <w:spacing w:val="0"/>
          <w:sz w:val="32"/>
          <w:szCs w:val="32"/>
        </w:rPr>
      </w:pPr>
      <w:r>
        <w:rPr>
          <w:rFonts w:hint="default" w:ascii="Tahoma" w:hAnsi="Tahoma" w:eastAsia="Tahoma" w:cs="Tahoma"/>
          <w:i w:val="0"/>
          <w:caps w:val="0"/>
          <w:color w:val="000000"/>
          <w:spacing w:val="0"/>
          <w:kern w:val="0"/>
          <w:sz w:val="32"/>
          <w:szCs w:val="32"/>
          <w:lang w:val="en-US" w:eastAsia="zh-CN" w:bidi="ar"/>
        </w:rPr>
        <w:t>1.贯彻落实中央、省、市关于农业农村的防止政策和重大决策部署，结合我县实际，搞好调查研究，提出深化农村改改、发展农村经济、推进农村社会全面发展的政策建议和具体措施。</w:t>
      </w:r>
    </w:p>
    <w:p>
      <w:pPr>
        <w:keepNext w:val="0"/>
        <w:keepLines w:val="0"/>
        <w:widowControl/>
        <w:suppressLineNumbers w:val="0"/>
        <w:spacing w:before="75" w:beforeAutospacing="0" w:after="75" w:afterAutospacing="0"/>
        <w:ind w:right="0" w:firstLine="640" w:firstLineChars="200"/>
        <w:jc w:val="both"/>
        <w:rPr>
          <w:rFonts w:hint="default" w:ascii="Tahoma" w:hAnsi="Tahoma" w:eastAsia="Tahoma" w:cs="Tahoma"/>
          <w:i w:val="0"/>
          <w:caps w:val="0"/>
          <w:color w:val="000000"/>
          <w:spacing w:val="0"/>
          <w:sz w:val="32"/>
          <w:szCs w:val="32"/>
        </w:rPr>
      </w:pPr>
      <w:r>
        <w:rPr>
          <w:rFonts w:hint="default" w:ascii="Tahoma" w:hAnsi="Tahoma" w:eastAsia="Tahoma" w:cs="Tahoma"/>
          <w:i w:val="0"/>
          <w:caps w:val="0"/>
          <w:color w:val="000000"/>
          <w:spacing w:val="0"/>
          <w:kern w:val="0"/>
          <w:sz w:val="32"/>
          <w:szCs w:val="32"/>
          <w:lang w:val="en-US" w:eastAsia="zh-CN" w:bidi="ar"/>
        </w:rPr>
        <w:t>2.协调有关部门研究拟定以家庭联产承包经营为基础的双层经营体制的措施、办法和意见；提出完善农村土地承包、村务公开、集体财务及农民负担管理的意见，并抓好组织落实。</w:t>
      </w:r>
    </w:p>
    <w:p>
      <w:pPr>
        <w:keepNext w:val="0"/>
        <w:keepLines w:val="0"/>
        <w:widowControl/>
        <w:suppressLineNumbers w:val="0"/>
        <w:spacing w:before="75" w:beforeAutospacing="0" w:after="75" w:afterAutospacing="0"/>
        <w:ind w:right="0" w:firstLine="640" w:firstLineChars="200"/>
        <w:jc w:val="both"/>
        <w:rPr>
          <w:rFonts w:hint="default" w:ascii="Tahoma" w:hAnsi="Tahoma" w:eastAsia="Tahoma" w:cs="Tahoma"/>
          <w:i w:val="0"/>
          <w:caps w:val="0"/>
          <w:color w:val="000000"/>
          <w:spacing w:val="0"/>
          <w:sz w:val="32"/>
          <w:szCs w:val="32"/>
        </w:rPr>
      </w:pPr>
      <w:r>
        <w:rPr>
          <w:rFonts w:hint="default" w:ascii="Tahoma" w:hAnsi="Tahoma" w:eastAsia="Tahoma" w:cs="Tahoma"/>
          <w:i w:val="0"/>
          <w:caps w:val="0"/>
          <w:color w:val="000000"/>
          <w:spacing w:val="0"/>
          <w:kern w:val="0"/>
          <w:sz w:val="32"/>
          <w:szCs w:val="32"/>
          <w:lang w:val="en-US" w:eastAsia="zh-CN" w:bidi="ar"/>
        </w:rPr>
        <w:t>3.负责拟订全县农业和农村经济发展战略和规划；综合掌握权限及农业和农村经济发展情况。</w:t>
      </w:r>
    </w:p>
    <w:p>
      <w:pPr>
        <w:keepNext w:val="0"/>
        <w:keepLines w:val="0"/>
        <w:widowControl/>
        <w:suppressLineNumbers w:val="0"/>
        <w:spacing w:before="75" w:beforeAutospacing="0" w:after="75" w:afterAutospacing="0"/>
        <w:ind w:right="0" w:firstLine="640" w:firstLineChars="200"/>
        <w:jc w:val="both"/>
        <w:rPr>
          <w:rFonts w:hint="default" w:ascii="Tahoma" w:hAnsi="Tahoma" w:eastAsia="Tahoma" w:cs="Tahoma"/>
          <w:i w:val="0"/>
          <w:caps w:val="0"/>
          <w:color w:val="000000"/>
          <w:spacing w:val="0"/>
          <w:sz w:val="32"/>
          <w:szCs w:val="32"/>
        </w:rPr>
      </w:pPr>
      <w:r>
        <w:rPr>
          <w:rFonts w:hint="default" w:ascii="Tahoma" w:hAnsi="Tahoma" w:eastAsia="Tahoma" w:cs="Tahoma"/>
          <w:i w:val="0"/>
          <w:caps w:val="0"/>
          <w:color w:val="000000"/>
          <w:spacing w:val="0"/>
          <w:kern w:val="0"/>
          <w:sz w:val="32"/>
          <w:szCs w:val="32"/>
          <w:lang w:val="en-US" w:eastAsia="zh-CN" w:bidi="ar"/>
        </w:rPr>
        <w:t>4.负责全县农村小康建设和农业农村现代化建设的规划及组织实施，参与指导、协调农村小城镇建设。</w:t>
      </w:r>
    </w:p>
    <w:p>
      <w:pPr>
        <w:keepNext w:val="0"/>
        <w:keepLines w:val="0"/>
        <w:widowControl/>
        <w:suppressLineNumbers w:val="0"/>
        <w:spacing w:before="75" w:beforeAutospacing="0" w:after="75" w:afterAutospacing="0"/>
        <w:ind w:right="0" w:firstLine="640" w:firstLineChars="200"/>
        <w:jc w:val="both"/>
        <w:rPr>
          <w:rFonts w:hint="default" w:ascii="Tahoma" w:hAnsi="Tahoma" w:eastAsia="Tahoma" w:cs="Tahoma"/>
          <w:i w:val="0"/>
          <w:caps w:val="0"/>
          <w:color w:val="000000"/>
          <w:spacing w:val="0"/>
          <w:sz w:val="32"/>
          <w:szCs w:val="32"/>
        </w:rPr>
      </w:pPr>
      <w:r>
        <w:rPr>
          <w:rFonts w:hint="default" w:ascii="Tahoma" w:hAnsi="Tahoma" w:eastAsia="Tahoma" w:cs="Tahoma"/>
          <w:i w:val="0"/>
          <w:caps w:val="0"/>
          <w:color w:val="000000"/>
          <w:spacing w:val="0"/>
          <w:kern w:val="0"/>
          <w:sz w:val="32"/>
          <w:szCs w:val="32"/>
          <w:lang w:val="en-US" w:eastAsia="zh-CN" w:bidi="ar"/>
        </w:rPr>
        <w:t>5.贯彻落实农业法律法规，加强行政执法；抓好全县减轻农民负担工作的监督检查和惠农政策的贯彻落实；组织有关部门查处涉及农民负担案件等问题；承担县农村基层民主政治建设领导小组办公室工作。</w:t>
      </w:r>
    </w:p>
    <w:p>
      <w:pPr>
        <w:keepNext w:val="0"/>
        <w:keepLines w:val="0"/>
        <w:widowControl/>
        <w:suppressLineNumbers w:val="0"/>
        <w:spacing w:before="75" w:beforeAutospacing="0" w:after="75" w:afterAutospacing="0"/>
        <w:ind w:right="0" w:firstLine="640" w:firstLineChars="200"/>
        <w:jc w:val="both"/>
        <w:rPr>
          <w:rFonts w:hint="default" w:ascii="Tahoma" w:hAnsi="Tahoma" w:eastAsia="Tahoma" w:cs="Tahoma"/>
          <w:i w:val="0"/>
          <w:caps w:val="0"/>
          <w:color w:val="000000"/>
          <w:spacing w:val="0"/>
          <w:sz w:val="32"/>
          <w:szCs w:val="32"/>
        </w:rPr>
      </w:pPr>
      <w:r>
        <w:rPr>
          <w:rFonts w:hint="default" w:ascii="Tahoma" w:hAnsi="Tahoma" w:eastAsia="Tahoma" w:cs="Tahoma"/>
          <w:i w:val="0"/>
          <w:caps w:val="0"/>
          <w:color w:val="000000"/>
          <w:spacing w:val="0"/>
          <w:kern w:val="0"/>
          <w:sz w:val="32"/>
          <w:szCs w:val="32"/>
          <w:lang w:val="en-US" w:eastAsia="zh-CN" w:bidi="ar"/>
        </w:rPr>
        <w:t>6.抓好乡、村两级干部教育培训。</w:t>
      </w:r>
    </w:p>
    <w:p>
      <w:pPr>
        <w:keepNext w:val="0"/>
        <w:keepLines w:val="0"/>
        <w:widowControl/>
        <w:suppressLineNumbers w:val="0"/>
        <w:spacing w:before="75" w:beforeAutospacing="0" w:after="75" w:afterAutospacing="0"/>
        <w:ind w:right="0" w:firstLine="640" w:firstLineChars="200"/>
        <w:jc w:val="both"/>
        <w:rPr>
          <w:rFonts w:hint="default" w:ascii="Tahoma" w:hAnsi="Tahoma" w:eastAsia="Tahoma" w:cs="Tahoma"/>
          <w:i w:val="0"/>
          <w:caps w:val="0"/>
          <w:color w:val="000000"/>
          <w:spacing w:val="0"/>
          <w:sz w:val="32"/>
          <w:szCs w:val="32"/>
        </w:rPr>
      </w:pPr>
      <w:r>
        <w:rPr>
          <w:rFonts w:hint="default" w:ascii="Tahoma" w:hAnsi="Tahoma" w:eastAsia="Tahoma" w:cs="Tahoma"/>
          <w:i w:val="0"/>
          <w:caps w:val="0"/>
          <w:color w:val="000000"/>
          <w:spacing w:val="0"/>
          <w:kern w:val="0"/>
          <w:sz w:val="32"/>
          <w:szCs w:val="32"/>
          <w:lang w:val="en-US" w:eastAsia="zh-CN" w:bidi="ar"/>
        </w:rPr>
        <w:t>7.围绕全县农业、农村和农民等重大问题搞好调查研究，并提出解决意见和对策，为县委、县政府决策提供依据。</w:t>
      </w:r>
    </w:p>
    <w:p>
      <w:pPr>
        <w:keepNext w:val="0"/>
        <w:keepLines w:val="0"/>
        <w:widowControl/>
        <w:suppressLineNumbers w:val="0"/>
        <w:spacing w:before="75" w:beforeAutospacing="0" w:after="75" w:afterAutospacing="0"/>
        <w:ind w:right="0" w:firstLine="640" w:firstLineChars="200"/>
        <w:jc w:val="both"/>
        <w:rPr>
          <w:rFonts w:hint="default" w:ascii="Tahoma" w:hAnsi="Tahoma" w:eastAsia="Tahoma" w:cs="Tahoma"/>
          <w:i w:val="0"/>
          <w:caps w:val="0"/>
          <w:color w:val="000000"/>
          <w:spacing w:val="0"/>
          <w:sz w:val="32"/>
          <w:szCs w:val="32"/>
        </w:rPr>
      </w:pPr>
      <w:r>
        <w:rPr>
          <w:rFonts w:hint="default" w:ascii="Tahoma" w:hAnsi="Tahoma" w:eastAsia="Tahoma" w:cs="Tahoma"/>
          <w:i w:val="0"/>
          <w:caps w:val="0"/>
          <w:color w:val="000000"/>
          <w:spacing w:val="0"/>
          <w:kern w:val="0"/>
          <w:sz w:val="32"/>
          <w:szCs w:val="32"/>
          <w:lang w:val="en-US" w:eastAsia="zh-CN" w:bidi="ar"/>
        </w:rPr>
        <w:t>8.负责县直农口单位股级干部的考察任免工作；协助县委组织部考察、推荐和管理县直农口单位科级干部；协助有关部门抓好农村以党组织为核心的基层组织建设；协助相关部门做好农民劳动模范推荐、评选和管理工作。</w:t>
      </w:r>
    </w:p>
    <w:p>
      <w:pPr>
        <w:keepNext w:val="0"/>
        <w:keepLines w:val="0"/>
        <w:widowControl/>
        <w:suppressLineNumbers w:val="0"/>
        <w:spacing w:before="75" w:beforeAutospacing="0" w:after="75" w:afterAutospacing="0"/>
        <w:ind w:right="0" w:firstLine="640" w:firstLineChars="200"/>
        <w:jc w:val="both"/>
        <w:rPr>
          <w:rFonts w:hint="default" w:ascii="Tahoma" w:hAnsi="Tahoma" w:eastAsia="Tahoma" w:cs="Tahoma"/>
          <w:i w:val="0"/>
          <w:caps w:val="0"/>
          <w:color w:val="000000"/>
          <w:spacing w:val="0"/>
          <w:sz w:val="32"/>
          <w:szCs w:val="32"/>
        </w:rPr>
      </w:pPr>
      <w:r>
        <w:rPr>
          <w:rFonts w:hint="default" w:ascii="Tahoma" w:hAnsi="Tahoma" w:eastAsia="Tahoma" w:cs="Tahoma"/>
          <w:i w:val="0"/>
          <w:caps w:val="0"/>
          <w:color w:val="000000"/>
          <w:spacing w:val="0"/>
          <w:kern w:val="0"/>
          <w:sz w:val="32"/>
          <w:szCs w:val="32"/>
          <w:lang w:val="en-US" w:eastAsia="zh-CN" w:bidi="ar"/>
        </w:rPr>
        <w:t>9.完成县委、县政府交办的其他工作。</w:t>
      </w:r>
    </w:p>
    <w:p>
      <w:pPr>
        <w:keepNext w:val="0"/>
        <w:keepLines w:val="0"/>
        <w:widowControl/>
        <w:suppressLineNumbers w:val="0"/>
        <w:spacing w:before="75" w:beforeAutospacing="0" w:after="75" w:afterAutospacing="0"/>
        <w:ind w:right="0" w:firstLine="640" w:firstLineChars="200"/>
        <w:jc w:val="left"/>
        <w:rPr>
          <w:rFonts w:hint="eastAsia" w:ascii="黑体" w:hAnsi="黑体" w:eastAsia="黑体" w:cs="黑体"/>
          <w:b w:val="0"/>
          <w:bCs/>
          <w:i w:val="0"/>
          <w:caps w:val="0"/>
          <w:color w:val="000000"/>
          <w:spacing w:val="0"/>
          <w:kern w:val="0"/>
          <w:sz w:val="32"/>
          <w:szCs w:val="32"/>
          <w:lang w:val="en-US" w:eastAsia="zh-CN" w:bidi="ar"/>
        </w:rPr>
      </w:pPr>
      <w:r>
        <w:rPr>
          <w:rFonts w:hint="eastAsia" w:ascii="黑体" w:hAnsi="黑体" w:eastAsia="黑体" w:cs="黑体"/>
          <w:b w:val="0"/>
          <w:bCs/>
          <w:i w:val="0"/>
          <w:caps w:val="0"/>
          <w:color w:val="000000"/>
          <w:spacing w:val="0"/>
          <w:kern w:val="0"/>
          <w:sz w:val="32"/>
          <w:szCs w:val="32"/>
          <w:lang w:val="en-US" w:eastAsia="zh-CN" w:bidi="ar"/>
        </w:rPr>
        <w:t>二、机构设置和人员编制</w:t>
      </w:r>
    </w:p>
    <w:p>
      <w:pPr>
        <w:keepNext w:val="0"/>
        <w:keepLines w:val="0"/>
        <w:widowControl/>
        <w:suppressLineNumbers w:val="0"/>
        <w:spacing w:before="75" w:beforeAutospacing="0" w:after="75" w:afterAutospacing="0"/>
        <w:ind w:right="0" w:firstLine="640" w:firstLineChars="200"/>
        <w:jc w:val="left"/>
        <w:rPr>
          <w:rFonts w:hint="eastAsia" w:ascii="黑体" w:hAnsi="黑体" w:eastAsia="黑体" w:cs="黑体"/>
          <w:b w:val="0"/>
          <w:bCs/>
          <w:i w:val="0"/>
          <w:caps w:val="0"/>
          <w:color w:val="000000"/>
          <w:spacing w:val="0"/>
          <w:kern w:val="0"/>
          <w:sz w:val="32"/>
          <w:szCs w:val="32"/>
          <w:lang w:val="en-US" w:eastAsia="zh-CN" w:bidi="ar"/>
        </w:rPr>
      </w:pPr>
    </w:p>
    <w:tbl>
      <w:tblPr>
        <w:tblStyle w:val="13"/>
        <w:tblW w:w="1043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46"/>
        <w:gridCol w:w="4212"/>
        <w:gridCol w:w="488"/>
        <w:gridCol w:w="1276"/>
        <w:gridCol w:w="291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15" w:hRule="atLeast"/>
          <w:tblHeader/>
          <w:jc w:val="center"/>
        </w:trPr>
        <w:tc>
          <w:tcPr>
            <w:tcW w:w="1546" w:type="dxa"/>
            <w:tcBorders>
              <w:top w:val="single" w:color="auto" w:sz="4" w:space="0"/>
              <w:left w:val="single" w:color="auto" w:sz="4" w:space="0"/>
              <w:bottom w:val="single" w:color="auto" w:sz="4" w:space="0"/>
            </w:tcBorders>
            <w:vAlign w:val="top"/>
          </w:tcPr>
          <w:p>
            <w:pPr>
              <w:spacing w:line="300" w:lineRule="exact"/>
              <w:jc w:val="center"/>
              <w:rPr>
                <w:rFonts w:ascii="方正书宋_GBK" w:eastAsia="方正书宋_GBK"/>
                <w:b/>
              </w:rPr>
            </w:pPr>
            <w:r>
              <w:rPr>
                <w:rFonts w:hint="eastAsia" w:ascii="方正书宋_GBK" w:eastAsia="方正书宋_GBK"/>
                <w:b/>
              </w:rPr>
              <w:t>预</w:t>
            </w:r>
          </w:p>
          <w:p>
            <w:pPr>
              <w:spacing w:line="300" w:lineRule="exact"/>
              <w:jc w:val="center"/>
              <w:rPr>
                <w:rFonts w:ascii="方正书宋_GBK" w:eastAsia="方正书宋_GBK"/>
                <w:b/>
              </w:rPr>
            </w:pPr>
            <w:r>
              <w:rPr>
                <w:rFonts w:hint="eastAsia" w:ascii="方正书宋_GBK" w:eastAsia="方正书宋_GBK"/>
                <w:b/>
              </w:rPr>
              <w:t>算</w:t>
            </w:r>
          </w:p>
          <w:p>
            <w:pPr>
              <w:spacing w:line="300" w:lineRule="exact"/>
              <w:jc w:val="center"/>
              <w:rPr>
                <w:rFonts w:ascii="方正书宋_GBK" w:eastAsia="方正书宋_GBK"/>
                <w:b/>
              </w:rPr>
            </w:pPr>
            <w:r>
              <w:rPr>
                <w:rFonts w:hint="eastAsia" w:ascii="方正书宋_GBK" w:eastAsia="方正书宋_GBK"/>
                <w:b/>
              </w:rPr>
              <w:t>编</w:t>
            </w:r>
          </w:p>
          <w:p>
            <w:pPr>
              <w:spacing w:line="300" w:lineRule="exact"/>
              <w:jc w:val="center"/>
              <w:rPr>
                <w:rFonts w:ascii="方正书宋_GBK" w:eastAsia="方正书宋_GBK"/>
                <w:b/>
              </w:rPr>
            </w:pPr>
            <w:r>
              <w:rPr>
                <w:rFonts w:hint="eastAsia" w:ascii="方正书宋_GBK" w:eastAsia="方正书宋_GBK"/>
                <w:b/>
              </w:rPr>
              <w:t>码</w:t>
            </w:r>
          </w:p>
        </w:tc>
        <w:tc>
          <w:tcPr>
            <w:tcW w:w="4212" w:type="dxa"/>
            <w:tcBorders>
              <w:bottom w:val="single" w:color="000000" w:sz="6" w:space="0"/>
            </w:tcBorders>
            <w:vAlign w:val="center"/>
          </w:tcPr>
          <w:p>
            <w:pPr>
              <w:spacing w:line="300" w:lineRule="exact"/>
              <w:jc w:val="center"/>
              <w:rPr>
                <w:rFonts w:ascii="方正书宋_GBK" w:eastAsia="方正书宋_GBK"/>
                <w:b/>
              </w:rPr>
            </w:pPr>
            <w:r>
              <w:rPr>
                <w:rFonts w:hint="eastAsia" w:ascii="方正书宋_GBK" w:eastAsia="方正书宋_GBK"/>
                <w:b/>
              </w:rPr>
              <w:t>单位名称</w:t>
            </w:r>
          </w:p>
        </w:tc>
        <w:tc>
          <w:tcPr>
            <w:tcW w:w="488" w:type="dxa"/>
            <w:tcBorders>
              <w:bottom w:val="single" w:color="000000" w:sz="6" w:space="0"/>
            </w:tcBorders>
            <w:vAlign w:val="center"/>
          </w:tcPr>
          <w:p>
            <w:pPr>
              <w:spacing w:line="300" w:lineRule="exact"/>
              <w:jc w:val="center"/>
              <w:rPr>
                <w:rFonts w:ascii="方正书宋_GBK" w:eastAsia="方正书宋_GBK"/>
                <w:b/>
              </w:rPr>
            </w:pPr>
            <w:r>
              <w:rPr>
                <w:rFonts w:hint="eastAsia" w:ascii="方正书宋_GBK" w:eastAsia="方正书宋_GBK"/>
                <w:b/>
              </w:rPr>
              <w:t>单位性质</w:t>
            </w:r>
          </w:p>
        </w:tc>
        <w:tc>
          <w:tcPr>
            <w:tcW w:w="1276" w:type="dxa"/>
            <w:tcBorders>
              <w:bottom w:val="single" w:color="000000" w:sz="6" w:space="0"/>
            </w:tcBorders>
            <w:vAlign w:val="center"/>
          </w:tcPr>
          <w:p>
            <w:pPr>
              <w:spacing w:line="300" w:lineRule="exact"/>
              <w:jc w:val="center"/>
              <w:rPr>
                <w:rFonts w:ascii="方正书宋_GBK" w:eastAsia="方正书宋_GBK"/>
                <w:b/>
              </w:rPr>
            </w:pPr>
            <w:r>
              <w:rPr>
                <w:rFonts w:hint="eastAsia" w:ascii="方正书宋_GBK" w:eastAsia="方正书宋_GBK"/>
                <w:b/>
              </w:rPr>
              <w:t>单位规格</w:t>
            </w:r>
          </w:p>
        </w:tc>
        <w:tc>
          <w:tcPr>
            <w:tcW w:w="2916" w:type="dxa"/>
            <w:tcBorders>
              <w:bottom w:val="single" w:color="000000" w:sz="6" w:space="0"/>
            </w:tcBorders>
            <w:vAlign w:val="center"/>
          </w:tcPr>
          <w:p>
            <w:pPr>
              <w:spacing w:line="300" w:lineRule="exact"/>
              <w:jc w:val="center"/>
              <w:rPr>
                <w:rFonts w:ascii="方正书宋_GBK" w:eastAsia="方正书宋_GBK"/>
                <w:b/>
              </w:rPr>
            </w:pPr>
            <w:r>
              <w:rPr>
                <w:rFonts w:hint="eastAsia" w:ascii="方正书宋_GBK" w:eastAsia="方正书宋_GBK"/>
                <w:b/>
              </w:rP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546" w:type="dxa"/>
            <w:tcBorders>
              <w:top w:val="single" w:color="auto" w:sz="4" w:space="0"/>
              <w:left w:val="single" w:color="auto" w:sz="4" w:space="0"/>
              <w:bottom w:val="single" w:color="auto" w:sz="4" w:space="0"/>
            </w:tcBorders>
            <w:vAlign w:val="top"/>
          </w:tcPr>
          <w:p>
            <w:pPr>
              <w:spacing w:line="300" w:lineRule="exact"/>
              <w:jc w:val="left"/>
              <w:rPr>
                <w:rFonts w:hint="eastAsia" w:ascii="方正书宋_GBK" w:eastAsia="方正书宋_GBK"/>
              </w:rPr>
            </w:pPr>
            <w:r>
              <w:rPr>
                <w:rFonts w:hint="eastAsia" w:ascii="方正书宋_GBK" w:eastAsia="方正书宋_GBK"/>
              </w:rPr>
              <w:t>214002</w:t>
            </w:r>
          </w:p>
        </w:tc>
        <w:tc>
          <w:tcPr>
            <w:tcW w:w="4212" w:type="dxa"/>
            <w:vAlign w:val="center"/>
          </w:tcPr>
          <w:p>
            <w:pPr>
              <w:spacing w:line="300" w:lineRule="exact"/>
              <w:jc w:val="left"/>
              <w:rPr>
                <w:rFonts w:hint="eastAsia" w:ascii="方正书宋_GBK" w:eastAsia="方正书宋_GBK"/>
                <w:szCs w:val="21"/>
              </w:rPr>
            </w:pPr>
            <w:r>
              <w:rPr>
                <w:rFonts w:hint="eastAsia" w:ascii="方正书宋_GBK" w:eastAsia="方正书宋_GBK"/>
                <w:szCs w:val="21"/>
              </w:rPr>
              <w:t>馆陶县农工部机关</w:t>
            </w:r>
          </w:p>
        </w:tc>
        <w:tc>
          <w:tcPr>
            <w:tcW w:w="488" w:type="dxa"/>
            <w:vAlign w:val="center"/>
          </w:tcPr>
          <w:p>
            <w:pPr>
              <w:spacing w:line="300" w:lineRule="exact"/>
              <w:jc w:val="center"/>
              <w:rPr>
                <w:rFonts w:ascii="方正书宋_GBK" w:eastAsia="方正书宋_GBK"/>
              </w:rPr>
            </w:pPr>
            <w:r>
              <w:rPr>
                <w:rFonts w:hint="eastAsia" w:ascii="方正书宋_GBK" w:eastAsia="方正书宋_GBK"/>
              </w:rPr>
              <w:t>行政</w:t>
            </w:r>
          </w:p>
        </w:tc>
        <w:tc>
          <w:tcPr>
            <w:tcW w:w="1276" w:type="dxa"/>
            <w:vAlign w:val="center"/>
          </w:tcPr>
          <w:p>
            <w:pPr>
              <w:spacing w:line="300" w:lineRule="exact"/>
              <w:jc w:val="center"/>
              <w:rPr>
                <w:rFonts w:hint="eastAsia" w:ascii="方正书宋_GBK" w:eastAsia="方正书宋_GBK"/>
              </w:rPr>
            </w:pPr>
            <w:r>
              <w:rPr>
                <w:rFonts w:hint="eastAsia" w:ascii="方正书宋_GBK" w:eastAsia="方正书宋_GBK"/>
              </w:rPr>
              <w:t>正科级</w:t>
            </w:r>
          </w:p>
        </w:tc>
        <w:tc>
          <w:tcPr>
            <w:tcW w:w="2916" w:type="dxa"/>
            <w:vAlign w:val="center"/>
          </w:tcPr>
          <w:p>
            <w:pPr>
              <w:spacing w:line="300" w:lineRule="exact"/>
              <w:jc w:val="center"/>
              <w:rPr>
                <w:rFonts w:ascii="方正书宋_GBK" w:eastAsia="方正书宋_GBK"/>
              </w:rPr>
            </w:pPr>
            <w:r>
              <w:rPr>
                <w:rFonts w:hint="eastAsia" w:ascii="方正书宋_GBK" w:eastAsia="方正书宋_GBK"/>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1546" w:type="dxa"/>
            <w:tcBorders>
              <w:top w:val="single" w:color="auto" w:sz="4" w:space="0"/>
              <w:left w:val="single" w:color="auto" w:sz="4" w:space="0"/>
              <w:bottom w:val="single" w:color="auto" w:sz="4" w:space="0"/>
            </w:tcBorders>
            <w:vAlign w:val="top"/>
          </w:tcPr>
          <w:p>
            <w:pPr>
              <w:spacing w:line="300" w:lineRule="exact"/>
              <w:jc w:val="left"/>
              <w:rPr>
                <w:rFonts w:hint="eastAsia" w:ascii="方正书宋_GBK" w:eastAsia="方正书宋_GBK"/>
              </w:rPr>
            </w:pPr>
            <w:r>
              <w:rPr>
                <w:rFonts w:hint="eastAsia" w:ascii="方正书宋_GBK" w:eastAsia="方正书宋_GBK"/>
              </w:rPr>
              <w:t>214005</w:t>
            </w:r>
          </w:p>
        </w:tc>
        <w:tc>
          <w:tcPr>
            <w:tcW w:w="4212" w:type="dxa"/>
            <w:tcBorders>
              <w:bottom w:val="single" w:color="auto" w:sz="4" w:space="0"/>
            </w:tcBorders>
            <w:vAlign w:val="center"/>
          </w:tcPr>
          <w:p>
            <w:pPr>
              <w:spacing w:line="300" w:lineRule="exact"/>
              <w:jc w:val="left"/>
              <w:rPr>
                <w:rFonts w:hint="eastAsia" w:ascii="方正书宋_GBK" w:eastAsia="方正书宋_GBK"/>
                <w:szCs w:val="21"/>
              </w:rPr>
            </w:pPr>
            <w:r>
              <w:rPr>
                <w:rFonts w:hint="eastAsia" w:ascii="方正书宋_GBK" w:eastAsia="方正书宋_GBK"/>
                <w:szCs w:val="21"/>
              </w:rPr>
              <w:t>馆陶县农经局机关</w:t>
            </w:r>
          </w:p>
        </w:tc>
        <w:tc>
          <w:tcPr>
            <w:tcW w:w="488" w:type="dxa"/>
            <w:vAlign w:val="center"/>
          </w:tcPr>
          <w:p>
            <w:pPr>
              <w:spacing w:line="300" w:lineRule="exact"/>
              <w:jc w:val="center"/>
              <w:rPr>
                <w:rFonts w:ascii="方正书宋_GBK" w:eastAsia="方正书宋_GBK"/>
              </w:rPr>
            </w:pPr>
            <w:r>
              <w:rPr>
                <w:rFonts w:hint="eastAsia" w:ascii="方正书宋_GBK" w:eastAsia="方正书宋_GBK"/>
              </w:rPr>
              <w:t>事业</w:t>
            </w:r>
          </w:p>
        </w:tc>
        <w:tc>
          <w:tcPr>
            <w:tcW w:w="1276" w:type="dxa"/>
            <w:vAlign w:val="center"/>
          </w:tcPr>
          <w:p>
            <w:pPr>
              <w:spacing w:line="300" w:lineRule="exact"/>
              <w:jc w:val="center"/>
              <w:rPr>
                <w:rFonts w:ascii="方正书宋_GBK" w:eastAsia="方正书宋_GBK"/>
              </w:rPr>
            </w:pPr>
            <w:r>
              <w:rPr>
                <w:rFonts w:hint="eastAsia" w:ascii="方正书宋_GBK" w:eastAsia="方正书宋_GBK"/>
              </w:rPr>
              <w:t>副科级</w:t>
            </w:r>
          </w:p>
        </w:tc>
        <w:tc>
          <w:tcPr>
            <w:tcW w:w="2916" w:type="dxa"/>
            <w:vAlign w:val="center"/>
          </w:tcPr>
          <w:p>
            <w:pPr>
              <w:spacing w:line="300" w:lineRule="exact"/>
              <w:jc w:val="center"/>
              <w:rPr>
                <w:rFonts w:ascii="方正书宋_GBK" w:eastAsia="方正书宋_GBK"/>
              </w:rPr>
            </w:pPr>
            <w:r>
              <w:rPr>
                <w:rFonts w:hint="eastAsia" w:ascii="方正书宋_GBK" w:eastAsia="方正书宋_GBK"/>
              </w:rPr>
              <w:t>财政拨款</w:t>
            </w:r>
          </w:p>
        </w:tc>
      </w:tr>
    </w:tbl>
    <w:p>
      <w:pPr>
        <w:keepNext w:val="0"/>
        <w:keepLines w:val="0"/>
        <w:widowControl/>
        <w:suppressLineNumbers w:val="0"/>
        <w:spacing w:before="75" w:beforeAutospacing="0" w:after="75" w:afterAutospacing="0"/>
        <w:ind w:right="0" w:firstLine="640" w:firstLineChars="200"/>
        <w:jc w:val="left"/>
        <w:rPr>
          <w:rFonts w:hint="eastAsia" w:ascii="黑体" w:hAnsi="黑体" w:eastAsia="黑体" w:cs="黑体"/>
          <w:b w:val="0"/>
          <w:bCs/>
          <w:i w:val="0"/>
          <w:caps w:val="0"/>
          <w:color w:val="000000"/>
          <w:spacing w:val="0"/>
          <w:kern w:val="0"/>
          <w:sz w:val="32"/>
          <w:szCs w:val="32"/>
          <w:lang w:val="en-US" w:eastAsia="zh-CN" w:bidi="ar"/>
        </w:rPr>
      </w:pPr>
    </w:p>
    <w:p>
      <w:pPr>
        <w:keepNext w:val="0"/>
        <w:keepLines w:val="0"/>
        <w:widowControl/>
        <w:suppressLineNumbers w:val="0"/>
        <w:spacing w:before="75" w:beforeAutospacing="0" w:after="75" w:afterAutospacing="0"/>
        <w:ind w:right="0" w:firstLine="640" w:firstLineChars="200"/>
        <w:jc w:val="both"/>
        <w:rPr>
          <w:rFonts w:hint="default" w:ascii="Tahoma" w:hAnsi="Tahoma" w:eastAsia="Tahoma" w:cs="Tahoma"/>
          <w:i w:val="0"/>
          <w:caps w:val="0"/>
          <w:color w:val="000000"/>
          <w:spacing w:val="0"/>
          <w:sz w:val="32"/>
          <w:szCs w:val="32"/>
        </w:rPr>
      </w:pPr>
      <w:r>
        <w:rPr>
          <w:rFonts w:hint="default" w:ascii="Tahoma" w:hAnsi="Tahoma" w:eastAsia="Tahoma" w:cs="Tahoma"/>
          <w:i w:val="0"/>
          <w:caps w:val="0"/>
          <w:color w:val="000000"/>
          <w:spacing w:val="0"/>
          <w:kern w:val="0"/>
          <w:sz w:val="32"/>
          <w:szCs w:val="32"/>
          <w:lang w:val="en-US" w:eastAsia="zh-CN" w:bidi="ar"/>
        </w:rPr>
        <w:t>馆陶县委农工委内设三个机构：农工部机关；农村经济经营管理局；小康建设办公室。</w:t>
      </w:r>
    </w:p>
    <w:p>
      <w:pPr>
        <w:keepNext w:val="0"/>
        <w:keepLines w:val="0"/>
        <w:widowControl/>
        <w:suppressLineNumbers w:val="0"/>
        <w:spacing w:before="75" w:beforeAutospacing="0" w:after="75" w:afterAutospacing="0"/>
        <w:ind w:right="0" w:firstLine="640" w:firstLineChars="200"/>
        <w:jc w:val="both"/>
        <w:rPr>
          <w:rFonts w:hint="default" w:ascii="Tahoma" w:hAnsi="Tahoma" w:eastAsia="Tahoma" w:cs="Tahoma"/>
          <w:i w:val="0"/>
          <w:caps w:val="0"/>
          <w:color w:val="000000"/>
          <w:spacing w:val="0"/>
          <w:kern w:val="0"/>
          <w:sz w:val="32"/>
          <w:szCs w:val="32"/>
          <w:lang w:val="en-US" w:eastAsia="zh-CN" w:bidi="ar"/>
        </w:rPr>
      </w:pPr>
      <w:r>
        <w:rPr>
          <w:rFonts w:hint="default" w:ascii="Tahoma" w:hAnsi="Tahoma" w:eastAsia="Tahoma" w:cs="Tahoma"/>
          <w:i w:val="0"/>
          <w:caps w:val="0"/>
          <w:color w:val="000000"/>
          <w:spacing w:val="0"/>
          <w:kern w:val="0"/>
          <w:sz w:val="32"/>
          <w:szCs w:val="32"/>
          <w:lang w:val="en-US" w:eastAsia="zh-CN" w:bidi="ar"/>
        </w:rPr>
        <w:t>县委农村工作委员会行政编制6名。其中。副主任2名，股级领导职数3名。</w:t>
      </w:r>
    </w:p>
    <w:p>
      <w:pPr>
        <w:keepNext w:val="0"/>
        <w:keepLines w:val="0"/>
        <w:widowControl/>
        <w:suppressLineNumbers w:val="0"/>
        <w:spacing w:before="75" w:beforeAutospacing="0" w:after="75" w:afterAutospacing="0"/>
        <w:ind w:right="0" w:firstLine="640" w:firstLineChars="200"/>
        <w:jc w:val="both"/>
        <w:rPr>
          <w:rFonts w:hint="default" w:ascii="Tahoma" w:hAnsi="Tahoma" w:eastAsia="Tahoma" w:cs="Tahoma"/>
          <w:i w:val="0"/>
          <w:caps w:val="0"/>
          <w:color w:val="000000"/>
          <w:spacing w:val="0"/>
          <w:kern w:val="0"/>
          <w:sz w:val="32"/>
          <w:szCs w:val="32"/>
          <w:lang w:val="en-US" w:eastAsia="zh-CN" w:bidi="ar"/>
        </w:rPr>
      </w:pPr>
      <w:r>
        <w:rPr>
          <w:rFonts w:hint="default" w:ascii="Tahoma" w:hAnsi="Tahoma" w:eastAsia="Tahoma" w:cs="Tahoma"/>
          <w:i w:val="0"/>
          <w:caps w:val="0"/>
          <w:color w:val="000000"/>
          <w:spacing w:val="0"/>
          <w:kern w:val="0"/>
          <w:sz w:val="32"/>
          <w:szCs w:val="32"/>
          <w:lang w:val="en-US" w:eastAsia="zh-CN" w:bidi="ar"/>
        </w:rPr>
        <w:t>农村经济经营管理局。财政全额拨款事业单位，编制5人，其中局长1名（副局级），股级领导职数1名。</w:t>
      </w:r>
    </w:p>
    <w:p>
      <w:pPr>
        <w:keepNext w:val="0"/>
        <w:keepLines w:val="0"/>
        <w:widowControl/>
        <w:suppressLineNumbers w:val="0"/>
        <w:spacing w:before="75" w:beforeAutospacing="0" w:after="75" w:afterAutospacing="0"/>
        <w:ind w:right="0" w:firstLine="640" w:firstLineChars="200"/>
        <w:jc w:val="both"/>
        <w:rPr>
          <w:rFonts w:hint="default" w:ascii="Tahoma" w:hAnsi="Tahoma" w:eastAsia="Tahoma" w:cs="Tahoma"/>
          <w:i w:val="0"/>
          <w:caps w:val="0"/>
          <w:color w:val="000000"/>
          <w:spacing w:val="0"/>
          <w:kern w:val="0"/>
          <w:sz w:val="32"/>
          <w:szCs w:val="32"/>
          <w:lang w:val="en-US" w:eastAsia="zh-CN" w:bidi="ar"/>
        </w:rPr>
      </w:pPr>
      <w:r>
        <w:rPr>
          <w:rFonts w:hint="default" w:ascii="Tahoma" w:hAnsi="Tahoma" w:eastAsia="Tahoma" w:cs="Tahoma"/>
          <w:i w:val="0"/>
          <w:caps w:val="0"/>
          <w:color w:val="000000"/>
          <w:spacing w:val="0"/>
          <w:kern w:val="0"/>
          <w:sz w:val="32"/>
          <w:szCs w:val="32"/>
          <w:lang w:val="en-US" w:eastAsia="zh-CN" w:bidi="ar"/>
        </w:rPr>
        <w:t>小康建设办公室和农村现代化建设办公室一套人马，两块牌子。财政全额拨款事业单位，编制5人，其中主任1名（正科级，由农工委一名副主任兼任），副主任1名（副科级）。</w:t>
      </w:r>
    </w:p>
    <w:p>
      <w:pPr>
        <w:keepNext w:val="0"/>
        <w:keepLines w:val="0"/>
        <w:widowControl/>
        <w:suppressLineNumbers w:val="0"/>
        <w:spacing w:before="75" w:beforeAutospacing="0" w:after="75" w:afterAutospacing="0"/>
        <w:ind w:right="0" w:firstLine="640" w:firstLineChars="200"/>
        <w:jc w:val="both"/>
        <w:rPr>
          <w:rFonts w:hint="default" w:ascii="Tahoma" w:hAnsi="Tahoma" w:eastAsia="Tahoma" w:cs="Tahoma"/>
          <w:i w:val="0"/>
          <w:caps w:val="0"/>
          <w:color w:val="000000"/>
          <w:spacing w:val="0"/>
          <w:kern w:val="0"/>
          <w:sz w:val="32"/>
          <w:szCs w:val="32"/>
          <w:lang w:val="en-US" w:eastAsia="zh-CN" w:bidi="ar"/>
        </w:rPr>
      </w:pPr>
    </w:p>
    <w:p>
      <w:pPr>
        <w:keepNext w:val="0"/>
        <w:keepLines w:val="0"/>
        <w:widowControl/>
        <w:suppressLineNumbers w:val="0"/>
        <w:spacing w:before="75" w:beforeAutospacing="0" w:after="75" w:afterAutospacing="0"/>
        <w:ind w:right="0" w:firstLine="640" w:firstLineChars="200"/>
        <w:jc w:val="both"/>
        <w:rPr>
          <w:rFonts w:hint="default" w:ascii="Tahoma" w:hAnsi="Tahoma" w:eastAsia="Tahoma" w:cs="Tahoma"/>
          <w:i w:val="0"/>
          <w:caps w:val="0"/>
          <w:color w:val="000000"/>
          <w:spacing w:val="0"/>
          <w:kern w:val="0"/>
          <w:sz w:val="32"/>
          <w:szCs w:val="32"/>
          <w:lang w:val="en-US" w:eastAsia="zh-CN" w:bidi="ar"/>
        </w:rPr>
      </w:pPr>
    </w:p>
    <w:p>
      <w:pPr>
        <w:keepNext w:val="0"/>
        <w:keepLines w:val="0"/>
        <w:widowControl/>
        <w:suppressLineNumbers w:val="0"/>
        <w:spacing w:before="75" w:beforeAutospacing="0" w:after="75" w:afterAutospacing="0"/>
        <w:ind w:right="0" w:firstLine="640" w:firstLineChars="200"/>
        <w:jc w:val="both"/>
        <w:rPr>
          <w:rFonts w:hint="default" w:ascii="Tahoma" w:hAnsi="Tahoma" w:eastAsia="Tahoma" w:cs="Tahoma"/>
          <w:i w:val="0"/>
          <w:caps w:val="0"/>
          <w:color w:val="000000"/>
          <w:spacing w:val="0"/>
          <w:kern w:val="0"/>
          <w:sz w:val="32"/>
          <w:szCs w:val="32"/>
          <w:lang w:val="en-US" w:eastAsia="zh-CN" w:bidi="ar"/>
        </w:rPr>
      </w:pPr>
    </w:p>
    <w:p>
      <w:pPr>
        <w:keepNext w:val="0"/>
        <w:keepLines w:val="0"/>
        <w:widowControl/>
        <w:suppressLineNumbers w:val="0"/>
        <w:spacing w:before="75" w:beforeAutospacing="0" w:after="75" w:afterAutospacing="0"/>
        <w:ind w:right="0" w:firstLine="640" w:firstLineChars="200"/>
        <w:jc w:val="both"/>
        <w:rPr>
          <w:rFonts w:hint="default" w:ascii="Tahoma" w:hAnsi="Tahoma" w:eastAsia="Tahoma" w:cs="Tahoma"/>
          <w:i w:val="0"/>
          <w:caps w:val="0"/>
          <w:color w:val="000000"/>
          <w:spacing w:val="0"/>
          <w:kern w:val="0"/>
          <w:sz w:val="32"/>
          <w:szCs w:val="32"/>
          <w:lang w:val="en-US" w:eastAsia="zh-CN" w:bidi="ar"/>
        </w:rPr>
      </w:pPr>
    </w:p>
    <w:p>
      <w:pPr>
        <w:keepNext w:val="0"/>
        <w:keepLines w:val="0"/>
        <w:widowControl/>
        <w:suppressLineNumbers w:val="0"/>
        <w:spacing w:before="75" w:beforeAutospacing="0" w:after="75" w:afterAutospacing="0"/>
        <w:ind w:right="0" w:firstLine="640" w:firstLineChars="200"/>
        <w:jc w:val="both"/>
        <w:rPr>
          <w:rFonts w:hint="default" w:ascii="Tahoma" w:hAnsi="Tahoma" w:eastAsia="Tahoma" w:cs="Tahoma"/>
          <w:i w:val="0"/>
          <w:caps w:val="0"/>
          <w:color w:val="000000"/>
          <w:spacing w:val="0"/>
          <w:kern w:val="0"/>
          <w:sz w:val="32"/>
          <w:szCs w:val="32"/>
          <w:lang w:val="en-US" w:eastAsia="zh-CN" w:bidi="ar"/>
        </w:rPr>
      </w:pPr>
    </w:p>
    <w:p>
      <w:pPr>
        <w:keepNext w:val="0"/>
        <w:keepLines w:val="0"/>
        <w:widowControl/>
        <w:suppressLineNumbers w:val="0"/>
        <w:spacing w:before="75" w:beforeAutospacing="0" w:after="75" w:afterAutospacing="0"/>
        <w:ind w:right="0" w:firstLine="640" w:firstLineChars="200"/>
        <w:jc w:val="both"/>
        <w:rPr>
          <w:rFonts w:hint="default" w:ascii="Tahoma" w:hAnsi="Tahoma" w:eastAsia="Tahoma" w:cs="Tahoma"/>
          <w:i w:val="0"/>
          <w:caps w:val="0"/>
          <w:color w:val="000000"/>
          <w:spacing w:val="0"/>
          <w:kern w:val="0"/>
          <w:sz w:val="32"/>
          <w:szCs w:val="32"/>
          <w:lang w:val="en-US" w:eastAsia="zh-CN" w:bidi="ar"/>
        </w:rPr>
      </w:pPr>
    </w:p>
    <w:p>
      <w:pPr>
        <w:keepNext w:val="0"/>
        <w:keepLines w:val="0"/>
        <w:widowControl/>
        <w:suppressLineNumbers w:val="0"/>
        <w:spacing w:before="75" w:beforeAutospacing="0" w:after="75" w:afterAutospacing="0"/>
        <w:ind w:right="0" w:firstLine="640" w:firstLineChars="200"/>
        <w:jc w:val="both"/>
        <w:rPr>
          <w:rFonts w:hint="default" w:ascii="Tahoma" w:hAnsi="Tahoma" w:eastAsia="Tahoma" w:cs="Tahoma"/>
          <w:i w:val="0"/>
          <w:caps w:val="0"/>
          <w:color w:val="000000"/>
          <w:spacing w:val="0"/>
          <w:kern w:val="0"/>
          <w:sz w:val="32"/>
          <w:szCs w:val="32"/>
          <w:lang w:val="en-US" w:eastAsia="zh-CN" w:bidi="ar"/>
        </w:rPr>
      </w:pPr>
    </w:p>
    <w:p>
      <w:pPr>
        <w:keepNext w:val="0"/>
        <w:keepLines w:val="0"/>
        <w:widowControl/>
        <w:suppressLineNumbers w:val="0"/>
        <w:spacing w:before="75" w:beforeAutospacing="0" w:after="75" w:afterAutospacing="0"/>
        <w:ind w:right="0" w:firstLine="640" w:firstLineChars="200"/>
        <w:jc w:val="both"/>
        <w:rPr>
          <w:rFonts w:hint="default" w:ascii="Tahoma" w:hAnsi="Tahoma" w:eastAsia="Tahoma" w:cs="Tahoma"/>
          <w:i w:val="0"/>
          <w:caps w:val="0"/>
          <w:color w:val="000000"/>
          <w:spacing w:val="0"/>
          <w:kern w:val="0"/>
          <w:sz w:val="32"/>
          <w:szCs w:val="32"/>
          <w:lang w:val="en-US" w:eastAsia="zh-CN" w:bidi="ar"/>
        </w:rPr>
      </w:pPr>
    </w:p>
    <w:p>
      <w:pPr>
        <w:keepNext w:val="0"/>
        <w:keepLines w:val="0"/>
        <w:widowControl/>
        <w:suppressLineNumbers w:val="0"/>
        <w:spacing w:before="75" w:beforeAutospacing="0" w:after="75" w:afterAutospacing="0"/>
        <w:ind w:right="0" w:firstLine="640" w:firstLineChars="200"/>
        <w:jc w:val="both"/>
        <w:rPr>
          <w:rFonts w:hint="default" w:ascii="Tahoma" w:hAnsi="Tahoma" w:eastAsia="Tahoma" w:cs="Tahoma"/>
          <w:i w:val="0"/>
          <w:caps w:val="0"/>
          <w:color w:val="000000"/>
          <w:spacing w:val="0"/>
          <w:kern w:val="0"/>
          <w:sz w:val="32"/>
          <w:szCs w:val="32"/>
          <w:lang w:val="en-US" w:eastAsia="zh-CN" w:bidi="ar"/>
        </w:rPr>
      </w:pPr>
    </w:p>
    <w:p>
      <w:pPr>
        <w:keepNext w:val="0"/>
        <w:keepLines w:val="0"/>
        <w:widowControl/>
        <w:suppressLineNumbers w:val="0"/>
        <w:spacing w:before="75" w:beforeAutospacing="0" w:after="75" w:afterAutospacing="0"/>
        <w:ind w:right="0" w:firstLine="640" w:firstLineChars="200"/>
        <w:jc w:val="both"/>
        <w:rPr>
          <w:rFonts w:hint="default" w:ascii="Tahoma" w:hAnsi="Tahoma" w:eastAsia="Tahoma" w:cs="Tahoma"/>
          <w:i w:val="0"/>
          <w:caps w:val="0"/>
          <w:color w:val="000000"/>
          <w:spacing w:val="0"/>
          <w:kern w:val="0"/>
          <w:sz w:val="32"/>
          <w:szCs w:val="32"/>
          <w:lang w:val="en-US" w:eastAsia="zh-CN" w:bidi="ar"/>
        </w:rPr>
      </w:pPr>
    </w:p>
    <w:p>
      <w:pPr>
        <w:keepNext w:val="0"/>
        <w:keepLines w:val="0"/>
        <w:widowControl/>
        <w:suppressLineNumbers w:val="0"/>
        <w:spacing w:before="75" w:beforeAutospacing="0" w:after="75" w:afterAutospacing="0"/>
        <w:ind w:right="0" w:firstLine="640" w:firstLineChars="200"/>
        <w:jc w:val="both"/>
        <w:rPr>
          <w:rFonts w:hint="default" w:ascii="Tahoma" w:hAnsi="Tahoma" w:eastAsia="Tahoma" w:cs="Tahoma"/>
          <w:i w:val="0"/>
          <w:caps w:val="0"/>
          <w:color w:val="000000"/>
          <w:spacing w:val="0"/>
          <w:kern w:val="0"/>
          <w:sz w:val="32"/>
          <w:szCs w:val="32"/>
          <w:lang w:val="en-US" w:eastAsia="zh-CN" w:bidi="ar"/>
        </w:rPr>
      </w:pPr>
    </w:p>
    <w:p>
      <w:pPr>
        <w:keepNext w:val="0"/>
        <w:keepLines w:val="0"/>
        <w:widowControl/>
        <w:suppressLineNumbers w:val="0"/>
        <w:spacing w:before="75" w:beforeAutospacing="0" w:after="75" w:afterAutospacing="0"/>
        <w:ind w:right="0" w:firstLine="640" w:firstLineChars="200"/>
        <w:jc w:val="both"/>
        <w:rPr>
          <w:rFonts w:hint="default" w:ascii="Tahoma" w:hAnsi="Tahoma" w:eastAsia="Tahoma" w:cs="Tahoma"/>
          <w:i w:val="0"/>
          <w:caps w:val="0"/>
          <w:color w:val="000000"/>
          <w:spacing w:val="0"/>
          <w:kern w:val="0"/>
          <w:sz w:val="32"/>
          <w:szCs w:val="32"/>
          <w:lang w:val="en-US" w:eastAsia="zh-CN" w:bidi="ar"/>
        </w:rPr>
      </w:pPr>
    </w:p>
    <w:p>
      <w:pPr>
        <w:keepNext w:val="0"/>
        <w:keepLines w:val="0"/>
        <w:widowControl/>
        <w:suppressLineNumbers w:val="0"/>
        <w:spacing w:before="75" w:beforeAutospacing="0" w:after="75" w:afterAutospacing="0"/>
        <w:ind w:right="0" w:firstLine="640" w:firstLineChars="200"/>
        <w:jc w:val="both"/>
        <w:rPr>
          <w:rFonts w:hint="default" w:ascii="Tahoma" w:hAnsi="Tahoma" w:eastAsia="Tahoma" w:cs="Tahoma"/>
          <w:i w:val="0"/>
          <w:caps w:val="0"/>
          <w:color w:val="000000"/>
          <w:spacing w:val="0"/>
          <w:kern w:val="0"/>
          <w:sz w:val="32"/>
          <w:szCs w:val="32"/>
          <w:lang w:val="en-US" w:eastAsia="zh-CN" w:bidi="ar"/>
        </w:r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cstate="print"/>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2336"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20.3pt;height:159.1pt;width:596.2pt;z-index:25166233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5rPdDcAAAADQEAAA8AAAAAAAAAAQAg&#10;AAAAIgAAAGRycy9kb3ducmV2LnhtbFBLAQIUABQAAAAIAIdO4kBCfgQCQwIAAHcEAAAOAAAAAAAA&#10;AAEAIAAAACsBAABkcnMvZTJvRG9jLnhtbFBLBQYAAAAABgAGAFkBAADg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mc:Fallback>
        </mc:AlternateContent>
      </w:r>
    </w:p>
    <w:p>
      <w:pPr>
        <w:widowControl/>
        <w:spacing w:after="0" w:line="560" w:lineRule="exact"/>
        <w:jc w:val="left"/>
        <w:rPr>
          <w:rFonts w:hint="eastAsia" w:ascii="仿宋_GB2312" w:eastAsia="仿宋_GB2312" w:hAnsiTheme="majorEastAsia"/>
          <w:b/>
          <w:sz w:val="28"/>
          <w:szCs w:val="28"/>
          <w:highlight w:val="yellow"/>
          <w:lang w:eastAsia="zh-CN"/>
        </w:rPr>
      </w:pPr>
    </w:p>
    <w:p>
      <w:pPr>
        <w:widowControl/>
        <w:spacing w:after="0" w:line="560" w:lineRule="exact"/>
        <w:jc w:val="left"/>
        <w:rPr>
          <w:rFonts w:hint="eastAsia" w:ascii="仿宋_GB2312" w:eastAsia="仿宋_GB2312" w:hAnsiTheme="majorEastAsia"/>
          <w:b/>
          <w:sz w:val="28"/>
          <w:szCs w:val="28"/>
          <w:highlight w:val="yellow"/>
          <w:lang w:eastAsia="zh-CN"/>
        </w:rPr>
      </w:pPr>
    </w:p>
    <w:p>
      <w:pPr>
        <w:widowControl/>
        <w:spacing w:after="0" w:line="560" w:lineRule="exact"/>
        <w:jc w:val="left"/>
        <w:rPr>
          <w:rFonts w:hint="eastAsia" w:ascii="仿宋_GB2312" w:eastAsia="仿宋_GB2312" w:hAnsiTheme="majorEastAsia"/>
          <w:b/>
          <w:sz w:val="28"/>
          <w:szCs w:val="28"/>
          <w:highlight w:val="yellow"/>
          <w:lang w:eastAsia="zh-CN"/>
        </w:rPr>
      </w:pPr>
    </w:p>
    <w:p>
      <w:pPr>
        <w:tabs>
          <w:tab w:val="left" w:pos="1086"/>
        </w:tabs>
        <w:jc w:val="left"/>
        <w:rPr>
          <w:rFonts w:hint="eastAsia" w:ascii="仿宋" w:hAnsi="仿宋" w:eastAsia="仿宋" w:cs="仿宋"/>
          <w:b/>
          <w:bCs w:val="0"/>
          <w:sz w:val="28"/>
          <w:szCs w:val="28"/>
          <w:highlight w:val="yellow"/>
          <w:lang w:eastAsia="zh-CN"/>
        </w:rPr>
        <w:sectPr>
          <w:pgSz w:w="11906" w:h="16838"/>
          <w:pgMar w:top="2098" w:right="1474" w:bottom="1984" w:left="1588" w:header="851" w:footer="992" w:gutter="0"/>
          <w:cols w:space="0" w:num="1"/>
          <w:docGrid w:type="lines" w:linePitch="312" w:charSpace="0"/>
        </w:sectPr>
      </w:pPr>
      <w:r>
        <w:rPr>
          <w:rFonts w:hint="eastAsia" w:ascii="仿宋" w:hAnsi="仿宋" w:eastAsia="仿宋" w:cs="仿宋"/>
          <w:b/>
          <w:bCs w:val="0"/>
          <w:sz w:val="40"/>
          <w:szCs w:val="40"/>
          <w:highlight w:val="none"/>
          <w:lang w:eastAsia="zh-CN"/>
        </w:rPr>
        <w:t>决算</w:t>
      </w:r>
      <w:r>
        <w:rPr>
          <w:rFonts w:hint="eastAsia" w:ascii="仿宋" w:hAnsi="仿宋" w:eastAsia="仿宋" w:cs="仿宋"/>
          <w:b/>
          <w:bCs w:val="0"/>
          <w:sz w:val="40"/>
          <w:szCs w:val="48"/>
          <w:lang w:eastAsia="zh-CN"/>
        </w:rPr>
        <w:t>报表见附件</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5408" behindDoc="1" locked="0" layoutInCell="1" allowOverlap="1">
            <wp:simplePos x="0" y="0"/>
            <wp:positionH relativeFrom="column">
              <wp:posOffset>-989965</wp:posOffset>
            </wp:positionH>
            <wp:positionV relativeFrom="paragraph">
              <wp:posOffset>-1328420</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4384"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438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2WaejN4AAAANAQAADwAAAAAAAAAB&#10;ACAAAAAiAAAAZHJzL2Rvd25yZXYueG1sUEsBAhQAFAAAAAgAh07iQMA3zLNDAgAAdQQAAA4AAAAA&#10;AAAAAQAgAAAALQEAAGRycy9lMm9Eb2MueG1sUEsFBgAAAAAGAAYAWQEAAOIFA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mc:AlternateContent>
          <mc:Choice Requires="wpg">
            <w:drawing>
              <wp:anchor distT="0" distB="0" distL="114300" distR="114300" simplePos="0" relativeHeight="251678720"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18" name="组合 55"/>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19"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0"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55" o:spid="_x0000_s1026" o:spt="203" style="position:absolute;left:0pt;margin-left:-0.55pt;margin-top:29.3pt;height:43.95pt;width:301.85pt;mso-position-horizontal-relative:page;mso-position-vertical-relative:page;z-index:251678720;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Bbx6QT2QAAAAkBAAAPAAAAAAAAAAEAIAAAACIAAABkcnMvZG93bnJldi54bWxQ&#10;SwECFAAUAAAACACHTuJAXAwqFEwDAABmCQAADgAAAAAAAAABACAAAAAoAQAAZHJzL2Uyb0RvYy54&#10;bWxQSwUGAAAAAAYABgBZAQAA5gYAAAAA&#10;">
                <o:lock v:ext="edit" aspectratio="f"/>
                <v:rect id="矩形 13" o:spid="_x0000_s1026" o:spt="1" style="position:absolute;left:4551;top:52615;height:1175;width:8546;v-text-anchor:middle;" fillcolor="#B8B8B8" filled="t" stroked="f" coordsize="21600,21600" o:gfxdata="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7Lv9W8AAAA&#10;2wAAAA8AAAAAAAAAAQAgAAAAIgAAAGRycy9kb3ducmV2LnhtbFBLAQIUABQAAAAIAIdO4kAzLwWe&#10;OwAAADkAAAAQAAAAAAAAAAEAIAAAAAsBAABkcnMvc2hhcGV4bWwueG1sUEsFBgAAAAAGAAYAWwEA&#10;ALU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3vg2TroAAADb&#10;AAAADwAAAGRycy9kb3ducmV2LnhtbEVPyYoCMRC9C/5DKMGLaFpxRFqjBwdBkBFcDh6LpOxu7VR6&#10;krjM35uDMMfH2+fLl63Fg3yoHCsYDjIQxNqZigsFp+O6PwURIrLB2jEp+KMAy0W7NcfcuCfv6XGI&#10;hUghHHJUUMbY5FIGXZLFMHANceIuzluMCfpCGo/PFG5rOcqyibRYcWoosaFVSfp2uFsF5532Z/1F&#10;299eM/7Zf2+uVQhXpbqdYTYDEekV/8Uf98YoGKX16Uv6AXLx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DZOugAAANsA&#10;AAAPAAAAAAAAAAEAIAAAACIAAABkcnMvZG93bnJldi54bWxQSwECFAAUAAAACACHTuJAMy8FnjsA&#10;AAA5AAAAEAAAAAAAAAABACAAAAAJAQAAZHJzL3NoYXBleG1sLnhtbFBLBQYAAAAABgAGAFsBAACz&#10;Aw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pPr>
        <w:keepNext w:val="0"/>
        <w:keepLines w:val="0"/>
        <w:widowControl/>
        <w:numPr>
          <w:ilvl w:val="0"/>
          <w:numId w:val="0"/>
        </w:numPr>
        <w:suppressLineNumbers w:val="0"/>
        <w:spacing w:before="75" w:beforeAutospacing="0" w:after="75" w:afterAutospacing="0"/>
        <w:ind w:right="0" w:rightChars="0" w:firstLine="640" w:firstLineChars="200"/>
        <w:jc w:val="both"/>
        <w:rPr>
          <w:rFonts w:ascii="仿宋_GB2312" w:eastAsia="仿宋_GB2312" w:cs="DengXian-Regular"/>
          <w:sz w:val="32"/>
          <w:szCs w:val="32"/>
        </w:rPr>
      </w:pPr>
      <w:r>
        <w:rPr>
          <w:rFonts w:hint="eastAsia" w:ascii="仿宋_GB2312" w:eastAsia="仿宋_GB2312" w:cs="DengXian-Regular"/>
          <w:sz w:val="32"/>
          <w:szCs w:val="32"/>
        </w:rPr>
        <w:t>本部门2018年度</w:t>
      </w:r>
      <w:r>
        <w:rPr>
          <w:rFonts w:hint="eastAsia" w:ascii="仿宋_GB2312" w:eastAsia="仿宋_GB2312" w:cs="DengXian-Regular"/>
          <w:sz w:val="32"/>
          <w:szCs w:val="32"/>
          <w:lang w:eastAsia="zh-CN"/>
        </w:rPr>
        <w:t>收入总计</w:t>
      </w:r>
      <w:r>
        <w:rPr>
          <w:rFonts w:hint="eastAsia" w:ascii="仿宋_GB2312" w:eastAsia="仿宋_GB2312" w:cs="DengXian-Regular"/>
          <w:sz w:val="32"/>
          <w:szCs w:val="32"/>
          <w:lang w:val="en-US" w:eastAsia="zh-CN"/>
        </w:rPr>
        <w:t>3842.54万元、</w:t>
      </w:r>
      <w:r>
        <w:rPr>
          <w:rFonts w:hint="eastAsia" w:ascii="仿宋_GB2312" w:eastAsia="仿宋_GB2312" w:cs="DengXian-Regular"/>
          <w:sz w:val="32"/>
          <w:szCs w:val="32"/>
        </w:rPr>
        <w:t>支</w:t>
      </w:r>
      <w:r>
        <w:rPr>
          <w:rFonts w:hint="eastAsia" w:ascii="仿宋_GB2312" w:eastAsia="仿宋_GB2312" w:cs="DengXian-Regular"/>
          <w:sz w:val="32"/>
          <w:szCs w:val="32"/>
          <w:lang w:eastAsia="zh-CN"/>
        </w:rPr>
        <w:t>出</w:t>
      </w:r>
      <w:r>
        <w:rPr>
          <w:rFonts w:hint="eastAsia" w:ascii="仿宋_GB2312" w:eastAsia="仿宋_GB2312" w:cs="DengXian-Regular"/>
          <w:sz w:val="32"/>
          <w:szCs w:val="32"/>
        </w:rPr>
        <w:t>总计</w:t>
      </w:r>
      <w:r>
        <w:rPr>
          <w:rFonts w:hint="eastAsia" w:ascii="宋体" w:hAnsi="宋体" w:eastAsia="仿宋_GB2312" w:cs="宋体"/>
          <w:sz w:val="32"/>
          <w:szCs w:val="32"/>
          <w:lang w:val="en-US" w:eastAsia="zh-CN"/>
        </w:rPr>
        <w:t>2056.41</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2017年度收入总计1198.76万元，支出总计722.28万元。2018年度</w:t>
      </w:r>
      <w:r>
        <w:rPr>
          <w:rFonts w:hint="eastAsia" w:ascii="仿宋_GB2312" w:eastAsia="仿宋_GB2312" w:cs="DengXian-Regular"/>
          <w:sz w:val="32"/>
          <w:szCs w:val="32"/>
        </w:rPr>
        <w:t>与2017年度决算相比，收</w:t>
      </w:r>
      <w:r>
        <w:rPr>
          <w:rFonts w:hint="eastAsia" w:ascii="仿宋_GB2312" w:eastAsia="仿宋_GB2312" w:cs="DengXian-Regular"/>
          <w:sz w:val="32"/>
          <w:szCs w:val="32"/>
          <w:lang w:eastAsia="zh-CN"/>
        </w:rPr>
        <w:t>入增加</w:t>
      </w:r>
      <w:r>
        <w:rPr>
          <w:rFonts w:hint="eastAsia" w:ascii="仿宋_GB2312" w:eastAsia="仿宋_GB2312" w:cs="DengXian-Regular"/>
          <w:sz w:val="32"/>
          <w:szCs w:val="32"/>
          <w:lang w:val="en-US" w:eastAsia="zh-CN"/>
        </w:rPr>
        <w:t>2643.78万元，</w:t>
      </w:r>
      <w:r>
        <w:rPr>
          <w:rFonts w:hint="eastAsia" w:ascii="仿宋_GB2312" w:eastAsia="仿宋_GB2312" w:cs="DengXian-Regular"/>
          <w:sz w:val="32"/>
          <w:szCs w:val="32"/>
        </w:rPr>
        <w:t>主要原因是</w:t>
      </w:r>
      <w:r>
        <w:rPr>
          <w:rFonts w:hint="eastAsia" w:ascii="宋体" w:hAnsi="宋体" w:cs="宋体"/>
          <w:sz w:val="32"/>
          <w:szCs w:val="32"/>
        </w:rPr>
        <w:t>专项资金的增加</w:t>
      </w:r>
      <w:r>
        <w:rPr>
          <w:rFonts w:hint="eastAsia" w:ascii="仿宋_GB2312" w:eastAsia="仿宋_GB2312" w:cs="DengXian-Regular"/>
          <w:sz w:val="32"/>
          <w:szCs w:val="32"/>
        </w:rPr>
        <w:t>。支</w:t>
      </w:r>
      <w:r>
        <w:rPr>
          <w:rFonts w:hint="eastAsia" w:ascii="仿宋_GB2312" w:eastAsia="仿宋_GB2312" w:cs="DengXian-Regular"/>
          <w:sz w:val="32"/>
          <w:szCs w:val="32"/>
          <w:lang w:eastAsia="zh-CN"/>
        </w:rPr>
        <w:t>出</w:t>
      </w:r>
      <w:r>
        <w:rPr>
          <w:rFonts w:hint="eastAsia" w:ascii="仿宋_GB2312" w:eastAsia="仿宋_GB2312" w:cs="DengXian-Regular"/>
          <w:sz w:val="32"/>
          <w:szCs w:val="32"/>
        </w:rPr>
        <w:t>增加</w:t>
      </w:r>
      <w:r>
        <w:rPr>
          <w:rFonts w:hint="eastAsia" w:ascii="仿宋_GB2312" w:eastAsia="仿宋_GB2312" w:cs="DengXian-Regular"/>
          <w:sz w:val="32"/>
          <w:szCs w:val="32"/>
          <w:lang w:val="en-US" w:eastAsia="zh-CN"/>
        </w:rPr>
        <w:t>1334.13</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w:t>
      </w:r>
      <w:r>
        <w:rPr>
          <w:rFonts w:hint="eastAsia" w:ascii="仿宋" w:hAnsi="仿宋" w:eastAsia="仿宋" w:cs="仿宋"/>
          <w:i w:val="0"/>
          <w:caps w:val="0"/>
          <w:color w:val="000000"/>
          <w:spacing w:val="0"/>
          <w:sz w:val="32"/>
          <w:szCs w:val="32"/>
        </w:rPr>
        <w:t>要因为年终</w:t>
      </w:r>
      <w:r>
        <w:rPr>
          <w:rFonts w:hint="eastAsia" w:ascii="仿宋" w:hAnsi="仿宋" w:eastAsia="仿宋" w:cs="仿宋"/>
          <w:i w:val="0"/>
          <w:caps w:val="0"/>
          <w:color w:val="000000"/>
          <w:spacing w:val="0"/>
          <w:sz w:val="32"/>
          <w:szCs w:val="32"/>
          <w:lang w:eastAsia="zh-CN"/>
        </w:rPr>
        <w:t>项目完工支付比较多</w:t>
      </w:r>
      <w:r>
        <w:rPr>
          <w:rFonts w:hint="eastAsia" w:ascii="仿宋" w:hAnsi="仿宋" w:eastAsia="仿宋" w:cs="仿宋"/>
          <w:i w:val="0"/>
          <w:caps w:val="0"/>
          <w:color w:val="000000"/>
          <w:spacing w:val="0"/>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cs="DengXian-Regular" w:eastAsiaTheme="minorEastAsia"/>
          <w:sz w:val="32"/>
          <w:szCs w:val="32"/>
        </w:rPr>
      </w:pPr>
      <w:r>
        <w:rPr>
          <w:rFonts w:hint="eastAsia" w:ascii="仿宋_GB2312" w:eastAsia="仿宋_GB2312" w:cs="DengXian-Regular"/>
          <w:sz w:val="32"/>
          <w:szCs w:val="32"/>
        </w:rPr>
        <w:t>本部门2018年度本年收入合计</w:t>
      </w:r>
      <w:r>
        <w:rPr>
          <w:rFonts w:hint="eastAsia" w:ascii="仿宋_GB2312" w:cs="DengXian-Regular" w:eastAsiaTheme="minorEastAsia"/>
          <w:sz w:val="32"/>
          <w:szCs w:val="32"/>
          <w:lang w:val="en-US" w:eastAsia="zh-CN"/>
        </w:rPr>
        <w:t>3842.54</w:t>
      </w:r>
      <w:r>
        <w:rPr>
          <w:rFonts w:hint="eastAsia" w:ascii="仿宋_GB2312" w:eastAsia="仿宋_GB2312" w:cs="DengXian-Regular"/>
          <w:sz w:val="32"/>
          <w:szCs w:val="32"/>
        </w:rPr>
        <w:t>万元，其中：财政拨款收入</w:t>
      </w:r>
      <w:r>
        <w:rPr>
          <w:rFonts w:hint="eastAsia" w:ascii="仿宋_GB2312" w:cs="DengXian-Regular" w:eastAsiaTheme="minorEastAsia"/>
          <w:sz w:val="32"/>
          <w:szCs w:val="32"/>
          <w:lang w:val="en-US" w:eastAsia="zh-CN"/>
        </w:rPr>
        <w:t>3842.54</w:t>
      </w:r>
      <w:r>
        <w:rPr>
          <w:rFonts w:hint="eastAsia" w:ascii="仿宋_GB2312" w:eastAsia="仿宋_GB2312" w:cs="DengXian-Regular"/>
          <w:sz w:val="32"/>
          <w:szCs w:val="32"/>
        </w:rPr>
        <w:t>万元，占</w:t>
      </w:r>
      <w:r>
        <w:rPr>
          <w:rFonts w:hint="eastAsia" w:ascii="仿宋_GB2312" w:cs="DengXian-Regular" w:eastAsiaTheme="minorEastAsia"/>
          <w:sz w:val="32"/>
          <w:szCs w:val="32"/>
        </w:rPr>
        <w:t>100</w:t>
      </w:r>
      <w:r>
        <w:rPr>
          <w:rFonts w:hint="eastAsia" w:ascii="仿宋_GB2312" w:eastAsia="仿宋_GB2312" w:cs="DengXian-Regular"/>
          <w:sz w:val="32"/>
          <w:szCs w:val="32"/>
        </w:rPr>
        <w:t>%；事业收入</w:t>
      </w:r>
      <w:r>
        <w:rPr>
          <w:rFonts w:hint="eastAsia" w:ascii="仿宋_GB2312" w:cs="DengXian-Regular" w:eastAsiaTheme="minorEastAsia"/>
          <w:sz w:val="32"/>
          <w:szCs w:val="32"/>
        </w:rPr>
        <w:t>0</w:t>
      </w:r>
      <w:r>
        <w:rPr>
          <w:rFonts w:hint="eastAsia" w:ascii="仿宋_GB2312" w:eastAsia="仿宋_GB2312" w:cs="DengXian-Regular"/>
          <w:sz w:val="32"/>
          <w:szCs w:val="32"/>
        </w:rPr>
        <w:t>万元；经营收入</w:t>
      </w:r>
      <w:r>
        <w:rPr>
          <w:rFonts w:hint="eastAsia" w:ascii="仿宋_GB2312" w:cs="DengXian-Regular" w:eastAsiaTheme="minorEastAsia"/>
          <w:sz w:val="32"/>
          <w:szCs w:val="32"/>
        </w:rPr>
        <w:t>0</w:t>
      </w:r>
      <w:r>
        <w:rPr>
          <w:rFonts w:hint="eastAsia" w:ascii="仿宋_GB2312" w:eastAsia="仿宋_GB2312" w:cs="DengXian-Regular"/>
          <w:sz w:val="32"/>
          <w:szCs w:val="32"/>
        </w:rPr>
        <w:t>万元；其他收入</w:t>
      </w:r>
      <w:r>
        <w:rPr>
          <w:rFonts w:hint="eastAsia" w:ascii="仿宋_GB2312" w:cs="DengXian-Regular" w:eastAsiaTheme="minorEastAsia"/>
          <w:sz w:val="32"/>
          <w:szCs w:val="32"/>
        </w:rPr>
        <w:t>0</w:t>
      </w:r>
      <w:r>
        <w:rPr>
          <w:rFonts w:hint="eastAsia" w:ascii="仿宋_GB2312" w:eastAsia="仿宋_GB2312" w:cs="DengXian-Regular"/>
          <w:sz w:val="32"/>
          <w:szCs w:val="32"/>
        </w:rPr>
        <w:t>万元。</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w:t>
      </w:r>
      <w:r>
        <w:rPr>
          <w:rFonts w:hint="eastAsia" w:ascii="仿宋_GB2312" w:cs="DengXian-Regular" w:eastAsiaTheme="minorEastAsia"/>
          <w:sz w:val="32"/>
          <w:szCs w:val="32"/>
          <w:lang w:val="en-US" w:eastAsia="zh-CN"/>
        </w:rPr>
        <w:t>2056.41</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154.31</w:t>
      </w:r>
      <w:r>
        <w:rPr>
          <w:rFonts w:hint="eastAsia" w:ascii="仿宋_GB2312" w:eastAsia="仿宋_GB2312" w:cs="DengXian-Regular"/>
          <w:sz w:val="32"/>
          <w:szCs w:val="32"/>
        </w:rPr>
        <w:t>万元，占</w:t>
      </w:r>
      <w:r>
        <w:rPr>
          <w:rFonts w:hint="eastAsia" w:ascii="仿宋_GB2312" w:cs="DengXian-Regular" w:eastAsiaTheme="minorEastAsia"/>
          <w:sz w:val="32"/>
          <w:szCs w:val="32"/>
          <w:lang w:val="en-US" w:eastAsia="zh-CN"/>
        </w:rPr>
        <w:t>7.5</w:t>
      </w:r>
      <w:r>
        <w:rPr>
          <w:rFonts w:hint="eastAsia" w:ascii="仿宋_GB2312" w:eastAsia="仿宋_GB2312" w:cs="DengXian-Regular"/>
          <w:sz w:val="32"/>
          <w:szCs w:val="32"/>
        </w:rPr>
        <w:t>%；项目支出</w:t>
      </w:r>
      <w:r>
        <w:rPr>
          <w:rFonts w:hint="eastAsia" w:ascii="仿宋_GB2312" w:cs="DengXian-Regular" w:eastAsiaTheme="minorEastAsia"/>
          <w:sz w:val="32"/>
          <w:szCs w:val="32"/>
          <w:lang w:val="en-US" w:eastAsia="zh-CN"/>
        </w:rPr>
        <w:t>1902.1</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92</w:t>
      </w:r>
      <w:r>
        <w:rPr>
          <w:rFonts w:hint="eastAsia" w:ascii="宋体" w:hAnsi="宋体" w:cs="宋体"/>
          <w:sz w:val="32"/>
          <w:szCs w:val="32"/>
        </w:rPr>
        <w:t>.5</w:t>
      </w:r>
      <w:r>
        <w:rPr>
          <w:rFonts w:hint="eastAsia" w:ascii="仿宋_GB2312" w:eastAsia="仿宋_GB2312" w:cs="DengXian-Regular"/>
          <w:sz w:val="32"/>
          <w:szCs w:val="32"/>
        </w:rPr>
        <w:t>%,</w:t>
      </w:r>
      <w:r>
        <w:rPr>
          <w:rFonts w:hint="eastAsia" w:ascii="仿宋_GB2312" w:eastAsia="仿宋_GB2312" w:cs="DengXian-Regular"/>
          <w:sz w:val="32"/>
          <w:szCs w:val="32"/>
          <w:lang w:eastAsia="zh-CN"/>
        </w:rPr>
        <w:t>上缴上级支出</w:t>
      </w:r>
      <w:r>
        <w:rPr>
          <w:rFonts w:hint="eastAsia" w:ascii="仿宋_GB2312" w:eastAsia="仿宋_GB2312" w:cs="DengXian-Regular"/>
          <w:sz w:val="32"/>
          <w:szCs w:val="32"/>
          <w:lang w:val="en-US" w:eastAsia="zh-CN"/>
        </w:rPr>
        <w:t>0万元、</w:t>
      </w:r>
      <w:r>
        <w:rPr>
          <w:rFonts w:hint="eastAsia" w:ascii="仿宋_GB2312" w:eastAsia="仿宋_GB2312" w:cs="DengXian-Regular"/>
          <w:sz w:val="32"/>
          <w:szCs w:val="32"/>
        </w:rPr>
        <w:t>经营支</w:t>
      </w:r>
      <w:r>
        <w:rPr>
          <w:rFonts w:hint="eastAsia" w:ascii="仿宋_GB2312" w:cs="DengXian-Regular" w:eastAsiaTheme="minorEastAsia"/>
          <w:sz w:val="32"/>
          <w:szCs w:val="32"/>
        </w:rPr>
        <w:t>0</w:t>
      </w:r>
      <w:r>
        <w:rPr>
          <w:rFonts w:hint="eastAsia" w:ascii="仿宋_GB2312" w:eastAsia="仿宋_GB2312" w:cs="DengXian-Regular"/>
          <w:sz w:val="32"/>
          <w:szCs w:val="32"/>
        </w:rPr>
        <w:t>万元。</w:t>
      </w:r>
      <w:r>
        <mc:AlternateContent>
          <mc:Choice Requires="wpg">
            <w:drawing>
              <wp:anchor distT="0" distB="0" distL="114300" distR="114300" simplePos="0" relativeHeight="251668480" behindDoc="1" locked="0" layoutInCell="1" allowOverlap="1">
                <wp:simplePos x="0" y="0"/>
                <wp:positionH relativeFrom="column">
                  <wp:posOffset>756285</wp:posOffset>
                </wp:positionH>
                <wp:positionV relativeFrom="paragraph">
                  <wp:posOffset>85725</wp:posOffset>
                </wp:positionV>
                <wp:extent cx="3485515" cy="2927985"/>
                <wp:effectExtent l="0" t="0" r="0" b="0"/>
                <wp:wrapNone/>
                <wp:docPr id="3" name="组合 49"/>
                <wp:cNvGraphicFramePr/>
                <a:graphic xmlns:a="http://schemas.openxmlformats.org/drawingml/2006/main">
                  <a:graphicData uri="http://schemas.microsoft.com/office/word/2010/wordprocessingGroup">
                    <wpg:wgp>
                      <wpg:cNvGrpSpPr/>
                      <wpg:grpSpPr>
                        <a:xfrm>
                          <a:off x="0" y="0"/>
                          <a:ext cx="3485515" cy="2927985"/>
                          <a:chOff x="7032" y="190738"/>
                          <a:chExt cx="4600" cy="3607203"/>
                        </a:xfrm>
                      </wpg:grpSpPr>
                      <pic:pic xmlns:pic="http://schemas.openxmlformats.org/drawingml/2006/picture">
                        <pic:nvPicPr>
                          <pic:cNvPr id="1" name="图片 51"/>
                          <pic:cNvPicPr>
                            <a:picLocks noChangeAspect="1"/>
                          </pic:cNvPicPr>
                        </pic:nvPicPr>
                        <pic:blipFill>
                          <a:blip r:embed="rId8"/>
                          <a:srcRect l="3252" t="2274" r="1859" b="7961"/>
                          <a:stretch>
                            <a:fillRect/>
                          </a:stretch>
                        </pic:blipFill>
                        <pic:spPr>
                          <a:xfrm>
                            <a:off x="7032" y="190738"/>
                            <a:ext cx="4600" cy="2947"/>
                          </a:xfrm>
                          <a:prstGeom prst="rect">
                            <a:avLst/>
                          </a:prstGeom>
                          <a:noFill/>
                          <a:ln>
                            <a:noFill/>
                          </a:ln>
                        </pic:spPr>
                      </pic:pic>
                      <wps:wsp>
                        <wps:cNvPr id="2" name="文本框 50"/>
                        <wps:cNvSpPr txBox="1"/>
                        <wps:spPr>
                          <a:xfrm>
                            <a:off x="7289" y="193685"/>
                            <a:ext cx="4169" cy="660"/>
                          </a:xfrm>
                          <a:prstGeom prst="rect">
                            <a:avLst/>
                          </a:prstGeom>
                          <a:solidFill>
                            <a:srgbClr val="FFFFFF"/>
                          </a:solidFill>
                          <a:ln w="6350">
                            <a:noFill/>
                          </a:ln>
                        </wps:spPr>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wps:txbx>
                        <wps:bodyPr anchor="ctr" upright="1"/>
                      </wps:wsp>
                    </wpg:wgp>
                  </a:graphicData>
                </a:graphic>
              </wp:anchor>
            </w:drawing>
          </mc:Choice>
          <mc:Fallback>
            <w:pict>
              <v:group id="组合 49" o:spid="_x0000_s1026" o:spt="203" style="position:absolute;left:0pt;margin-left:59.55pt;margin-top:6.75pt;height:230.55pt;width:274.45pt;z-index:-251648000;mso-width-relative:page;mso-height-relative:page;" coordorigin="7032,190738" coordsize="4600,3607203" o:gfxdata="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">
                <o:lock v:ext="edit" aspectratio="f"/>
                <v:shape id="图片 51" o:spid="_x0000_s1026" o:spt="75" type="#_x0000_t75" style="position:absolute;left:7032;top:190738;height:2947;width:4600;" filled="f" o:preferrelative="t" stroked="f" coordsize="21600,21600" o:gfxdata="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XjA/ktAAAANoAAAAPAAAA&#10;AAAAAAEAIAAAACIAAABkcnMvZG93bnJldi54bWxQSwECFAAUAAAACACHTuJAMy8FnjsAAAA5AAAA&#10;EAAAAAAAAAABACAAAAADAQAAZHJzL3NoYXBleG1sLnhtbFBLBQYAAAAABgAGAFsBAACtAwAAAAA=&#10;">
                  <v:fill on="f" focussize="0,0"/>
                  <v:stroke on="f"/>
                  <v:imagedata r:id="rId8" cropleft="2131f" croptop="1490f" cropright="1218f" cropbottom="5217f" o:title=""/>
                  <o:lock v:ext="edit" aspectratio="t"/>
                </v:shape>
                <v:shape id="文本框 50" o:spid="_x0000_s1026" o:spt="202" type="#_x0000_t202" style="position:absolute;left:7289;top:193685;height:660;width:4169;v-text-anchor:middle;" fillcolor="#FFFFFF" filled="t" stroked="f" coordsize="21600,21600" o:gfxdata="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Ah6FbsAAADa&#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v:group>
            </w:pict>
          </mc:Fallback>
        </mc:AlternateContent>
      </w:r>
      <w:r>
        <w:rPr>
          <w:sz w:val="44"/>
        </w:rPr>
        <mc:AlternateContent>
          <mc:Choice Requires="wpg">
            <w:drawing>
              <wp:anchor distT="0" distB="0" distL="114300" distR="114300" simplePos="0" relativeHeight="251673600"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70" name="组合 46"/>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71"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2"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46" o:spid="_x0000_s1026" o:spt="203" style="position:absolute;left:0pt;margin-left:-0.55pt;margin-top:29.3pt;height:43.95pt;width:301.85pt;mso-position-horizontal-relative:page;mso-position-vertical-relative:page;z-index:251673600;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Bbx6QT2QAAAAkBAAAPAAAAAAAAAAEAIAAAACIAAABkcnMvZG93bnJldi54bWxQSwEC&#10;FAAUAAAACACHTuJApiqZN0kDAABmCQAADgAAAAAAAAABACAAAAAoAQAAZHJzL2Uyb0RvYy54bWxQ&#10;SwUGAAAAAAYABgBZAQAA4wYAAAAA&#10;">
                <o:lock v:ext="edit" aspectratio="f"/>
                <v:rect id="矩形 13" o:spid="_x0000_s1026" o:spt="1" style="position:absolute;left:4551;top:52615;height:1175;width:8546;v-text-anchor:middle;" fillcolor="#B8B8B8" filled="t" stroked="f" coordsize="21600,21600" o:gfxdata="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iVnO/&#10;AAAA2w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UtUiv74AAADb&#10;AAAADwAAAGRycy9kb3ducmV2LnhtbEWPT2sCMRTE70K/Q3gFL6JZpVZZjR4qgiAVtB48PpLn7trN&#10;y5rEP/32jSB4HGbmN8x0fre1uJIPlWMF/V4Gglg7U3GhYP+z7I5BhIhssHZMCv4owHz21ppibtyN&#10;t3TdxUIkCIccFZQxNrmUQZdkMfRcQ5y8o/MWY5K+kMbjLcFtLQdZ9iktVpwWSmzoqyT9u7tYBYeN&#10;9gc9pPW503x8bxerUxXCSan2ez+bgIh0j6/ws70yCkYDeHx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Uiv7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本部门2018年度形成的财政拨款收支均为一般公共预算财政拨款，其中一般公共预算财政拨款本年收入</w:t>
      </w:r>
      <w:r>
        <w:rPr>
          <w:rFonts w:hint="eastAsia" w:ascii="仿宋" w:hAnsi="仿宋" w:eastAsia="仿宋" w:cs="DengXian-Regular"/>
          <w:sz w:val="32"/>
          <w:szCs w:val="32"/>
          <w:lang w:val="en-US" w:eastAsia="zh-CN"/>
        </w:rPr>
        <w:t>2901.08</w:t>
      </w:r>
      <w:r>
        <w:rPr>
          <w:rFonts w:hint="eastAsia" w:ascii="仿宋" w:hAnsi="仿宋" w:eastAsia="仿宋" w:cs="DengXian-Regular"/>
          <w:sz w:val="32"/>
          <w:szCs w:val="32"/>
        </w:rPr>
        <w:t>万元,比2017年度增加</w:t>
      </w:r>
      <w:r>
        <w:rPr>
          <w:rFonts w:hint="eastAsia" w:ascii="仿宋" w:hAnsi="仿宋" w:eastAsia="仿宋" w:cs="DengXian-Regular"/>
          <w:sz w:val="32"/>
          <w:szCs w:val="32"/>
          <w:lang w:val="en-US" w:eastAsia="zh-CN"/>
        </w:rPr>
        <w:t>1916.57</w:t>
      </w:r>
      <w:r>
        <w:rPr>
          <w:rFonts w:hint="eastAsia" w:ascii="仿宋" w:hAnsi="仿宋" w:eastAsia="仿宋" w:cs="DengXian-Regular"/>
          <w:sz w:val="32"/>
          <w:szCs w:val="32"/>
        </w:rPr>
        <w:t>万元，主要是</w:t>
      </w:r>
      <w:r>
        <w:rPr>
          <w:rFonts w:hint="eastAsia" w:ascii="仿宋" w:hAnsi="仿宋" w:eastAsia="仿宋"/>
          <w:color w:val="000000"/>
          <w:sz w:val="32"/>
          <w:szCs w:val="32"/>
        </w:rPr>
        <w:t>2018年度上级下达的专项资金额增加</w:t>
      </w:r>
      <w:r>
        <w:rPr>
          <w:rFonts w:hint="eastAsia" w:ascii="仿宋" w:hAnsi="仿宋" w:eastAsia="仿宋" w:cs="DengXian-Regular"/>
          <w:sz w:val="32"/>
          <w:szCs w:val="32"/>
        </w:rPr>
        <w:t>；本年支出</w:t>
      </w:r>
      <w:r>
        <w:rPr>
          <w:rFonts w:hint="eastAsia" w:ascii="仿宋" w:hAnsi="仿宋" w:eastAsia="仿宋" w:cs="DengXian-Regular"/>
          <w:sz w:val="32"/>
          <w:szCs w:val="32"/>
          <w:lang w:val="en-US" w:eastAsia="zh-CN"/>
        </w:rPr>
        <w:t>1396.79</w:t>
      </w:r>
      <w:r>
        <w:rPr>
          <w:rFonts w:hint="eastAsia" w:ascii="仿宋" w:hAnsi="仿宋" w:eastAsia="仿宋" w:cs="DengXian-Regular"/>
          <w:sz w:val="32"/>
          <w:szCs w:val="32"/>
        </w:rPr>
        <w:t>万元，</w:t>
      </w:r>
      <w:r>
        <w:rPr>
          <w:rFonts w:hint="eastAsia" w:ascii="仿宋" w:hAnsi="仿宋" w:eastAsia="仿宋" w:cs="DengXian-Regular"/>
          <w:sz w:val="32"/>
          <w:szCs w:val="32"/>
          <w:lang w:eastAsia="zh-CN"/>
        </w:rPr>
        <w:t>比</w:t>
      </w:r>
      <w:r>
        <w:rPr>
          <w:rFonts w:hint="eastAsia" w:ascii="仿宋" w:hAnsi="仿宋" w:eastAsia="仿宋" w:cs="DengXian-Regular"/>
          <w:sz w:val="32"/>
          <w:szCs w:val="32"/>
          <w:lang w:val="en-US" w:eastAsia="zh-CN"/>
        </w:rPr>
        <w:t>2017年支出</w:t>
      </w:r>
      <w:r>
        <w:rPr>
          <w:rFonts w:hint="eastAsia" w:ascii="仿宋" w:hAnsi="仿宋" w:eastAsia="仿宋" w:cs="DengXian-Regular"/>
          <w:sz w:val="32"/>
          <w:szCs w:val="32"/>
        </w:rPr>
        <w:t>增加</w:t>
      </w:r>
      <w:r>
        <w:rPr>
          <w:rFonts w:hint="eastAsia" w:ascii="仿宋" w:hAnsi="仿宋" w:eastAsia="仿宋" w:cs="DengXian-Regular"/>
          <w:sz w:val="32"/>
          <w:szCs w:val="32"/>
          <w:lang w:val="en-US" w:eastAsia="zh-CN"/>
        </w:rPr>
        <w:t>851.79</w:t>
      </w:r>
      <w:r>
        <w:rPr>
          <w:rFonts w:hint="eastAsia" w:ascii="仿宋" w:hAnsi="仿宋" w:eastAsia="仿宋" w:cs="DengXian-Regular"/>
          <w:sz w:val="32"/>
          <w:szCs w:val="32"/>
        </w:rPr>
        <w:t>万元，增长主要是</w:t>
      </w:r>
      <w:r>
        <w:rPr>
          <w:rFonts w:hint="eastAsia" w:ascii="仿宋" w:hAnsi="仿宋" w:eastAsia="仿宋"/>
          <w:color w:val="000000"/>
          <w:sz w:val="32"/>
          <w:szCs w:val="32"/>
        </w:rPr>
        <w:t>2018年度</w:t>
      </w:r>
      <w:r>
        <w:rPr>
          <w:rFonts w:hint="eastAsia" w:ascii="仿宋" w:hAnsi="仿宋" w:eastAsia="仿宋"/>
          <w:color w:val="000000"/>
          <w:sz w:val="32"/>
          <w:szCs w:val="32"/>
          <w:lang w:eastAsia="zh-CN"/>
        </w:rPr>
        <w:t>项目完工支付较多</w:t>
      </w:r>
      <w:r>
        <w:rPr>
          <w:rFonts w:hint="eastAsia" w:ascii="仿宋" w:hAnsi="仿宋" w:eastAsia="仿宋" w:cs="DengXian-Regular"/>
          <w:sz w:val="32"/>
          <w:szCs w:val="32"/>
        </w:rPr>
        <w:t>。</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_GB2312" w:eastAsia="仿宋_GB2312" w:cs="DengXian-Regular"/>
          <w:sz w:val="32"/>
          <w:szCs w:val="32"/>
        </w:rPr>
        <w:t>本部门2018年度财政拨款本年收入</w:t>
      </w:r>
      <w:r>
        <w:rPr>
          <w:rFonts w:hint="eastAsia" w:ascii="仿宋_GB2312" w:cs="DengXian-Regular" w:eastAsiaTheme="minorEastAsia"/>
          <w:sz w:val="32"/>
          <w:szCs w:val="32"/>
        </w:rPr>
        <w:t>3842.54</w:t>
      </w:r>
      <w:r>
        <w:rPr>
          <w:rFonts w:hint="eastAsia" w:ascii="仿宋_GB2312" w:eastAsia="仿宋_GB2312" w:cs="DengXian-Regular"/>
          <w:sz w:val="32"/>
          <w:szCs w:val="32"/>
        </w:rPr>
        <w:t>万元,比2017</w:t>
      </w:r>
      <w:r>
        <w:rPr>
          <w:rFonts w:hint="eastAsia" w:ascii="仿宋" w:hAnsi="仿宋" w:eastAsia="仿宋" w:cs="DengXian-Regular"/>
          <w:sz w:val="32"/>
          <w:szCs w:val="32"/>
        </w:rPr>
        <w:t>年度增加</w:t>
      </w:r>
      <w:r>
        <w:rPr>
          <w:rFonts w:hint="eastAsia" w:ascii="仿宋" w:hAnsi="仿宋" w:eastAsia="仿宋" w:cs="DengXian-Regular"/>
          <w:sz w:val="32"/>
          <w:szCs w:val="32"/>
          <w:lang w:val="en-US" w:eastAsia="zh-CN"/>
        </w:rPr>
        <w:t>2643.78</w:t>
      </w:r>
      <w:r>
        <w:rPr>
          <w:rFonts w:hint="eastAsia" w:ascii="仿宋" w:hAnsi="仿宋" w:eastAsia="仿宋" w:cs="DengXian-Regular"/>
          <w:sz w:val="32"/>
          <w:szCs w:val="32"/>
        </w:rPr>
        <w:t>万元，增长</w:t>
      </w:r>
      <w:r>
        <w:rPr>
          <w:rFonts w:hint="eastAsia" w:ascii="仿宋" w:hAnsi="仿宋" w:eastAsia="仿宋" w:cs="DengXian-Regular"/>
          <w:sz w:val="32"/>
          <w:szCs w:val="32"/>
          <w:lang w:val="en-US" w:eastAsia="zh-CN"/>
        </w:rPr>
        <w:t>220.54</w:t>
      </w:r>
      <w:r>
        <w:rPr>
          <w:rFonts w:hint="eastAsia" w:ascii="仿宋" w:hAnsi="仿宋" w:eastAsia="仿宋" w:cs="DengXian-Regular"/>
          <w:sz w:val="32"/>
          <w:szCs w:val="32"/>
        </w:rPr>
        <w:t>%，主要是</w:t>
      </w:r>
      <w:r>
        <w:rPr>
          <w:rFonts w:hint="eastAsia" w:ascii="仿宋" w:hAnsi="仿宋" w:eastAsia="仿宋"/>
          <w:color w:val="000000"/>
          <w:sz w:val="32"/>
          <w:szCs w:val="32"/>
        </w:rPr>
        <w:t>专项资金额增加</w:t>
      </w:r>
      <w:r>
        <w:rPr>
          <w:rFonts w:hint="eastAsia" w:ascii="仿宋" w:hAnsi="仿宋" w:eastAsia="仿宋" w:cs="DengXian-Regular"/>
          <w:sz w:val="32"/>
          <w:szCs w:val="32"/>
        </w:rPr>
        <w:t>；本年支出</w:t>
      </w:r>
      <w:r>
        <w:rPr>
          <w:rFonts w:hint="eastAsia" w:ascii="仿宋" w:hAnsi="仿宋" w:eastAsia="仿宋" w:cs="DengXian-Regular"/>
          <w:sz w:val="32"/>
          <w:szCs w:val="32"/>
          <w:lang w:val="en-US" w:eastAsia="zh-CN"/>
        </w:rPr>
        <w:t>2056.41</w:t>
      </w:r>
      <w:r>
        <w:rPr>
          <w:rFonts w:hint="eastAsia" w:ascii="仿宋" w:hAnsi="仿宋" w:eastAsia="仿宋" w:cs="DengXian-Regular"/>
          <w:sz w:val="32"/>
          <w:szCs w:val="32"/>
        </w:rPr>
        <w:t>万元，增加</w:t>
      </w:r>
      <w:r>
        <w:rPr>
          <w:rFonts w:hint="eastAsia" w:ascii="仿宋" w:hAnsi="仿宋" w:eastAsia="仿宋" w:cs="DengXian-Regular"/>
          <w:sz w:val="32"/>
          <w:szCs w:val="32"/>
          <w:lang w:val="en-US" w:eastAsia="zh-CN"/>
        </w:rPr>
        <w:t>1334.13</w:t>
      </w:r>
      <w:r>
        <w:rPr>
          <w:rFonts w:hint="eastAsia" w:ascii="仿宋" w:hAnsi="仿宋" w:eastAsia="仿宋" w:cs="DengXian-Regular"/>
          <w:sz w:val="32"/>
          <w:szCs w:val="32"/>
        </w:rPr>
        <w:t>万元，增长</w:t>
      </w:r>
      <w:r>
        <w:rPr>
          <w:rFonts w:hint="eastAsia" w:ascii="仿宋" w:hAnsi="仿宋" w:eastAsia="仿宋" w:cs="DengXian-Regular"/>
          <w:sz w:val="32"/>
          <w:szCs w:val="32"/>
          <w:lang w:val="en-US" w:eastAsia="zh-CN"/>
        </w:rPr>
        <w:t>184.71</w:t>
      </w:r>
      <w:r>
        <w:rPr>
          <w:rFonts w:hint="eastAsia" w:ascii="仿宋" w:hAnsi="仿宋" w:eastAsia="仿宋" w:cs="DengXian-Regular"/>
          <w:sz w:val="32"/>
          <w:szCs w:val="32"/>
        </w:rPr>
        <w:t>%，主要是</w:t>
      </w:r>
      <w:r>
        <w:rPr>
          <w:rFonts w:hint="eastAsia" w:ascii="仿宋" w:hAnsi="仿宋" w:eastAsia="仿宋"/>
          <w:color w:val="000000"/>
          <w:sz w:val="32"/>
          <w:szCs w:val="32"/>
        </w:rPr>
        <w:t>专项资金额增加</w:t>
      </w:r>
      <w:r>
        <w:rPr>
          <w:rFonts w:hint="eastAsia" w:ascii="仿宋" w:hAnsi="仿宋" w:eastAsia="仿宋" w:cs="DengXian-Regular"/>
          <w:sz w:val="32"/>
          <w:szCs w:val="32"/>
        </w:rPr>
        <w:t>。</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其中：一般公共预算财政拨款本年收入</w:t>
      </w:r>
      <w:r>
        <w:rPr>
          <w:rFonts w:hint="eastAsia" w:ascii="仿宋" w:hAnsi="仿宋" w:eastAsia="仿宋" w:cs="DengXian-Regular"/>
          <w:sz w:val="32"/>
          <w:szCs w:val="32"/>
          <w:lang w:val="en-US" w:eastAsia="zh-CN"/>
        </w:rPr>
        <w:t>2901.08</w:t>
      </w:r>
      <w:r>
        <w:rPr>
          <w:rFonts w:hint="eastAsia" w:ascii="仿宋" w:hAnsi="仿宋" w:eastAsia="仿宋" w:cs="DengXian-Regular"/>
          <w:sz w:val="32"/>
          <w:szCs w:val="32"/>
        </w:rPr>
        <w:t>万元，比上年增加</w:t>
      </w:r>
      <w:r>
        <w:rPr>
          <w:rFonts w:hint="eastAsia" w:ascii="仿宋" w:hAnsi="仿宋" w:eastAsia="仿宋" w:cs="DengXian-Regular"/>
          <w:sz w:val="32"/>
          <w:szCs w:val="32"/>
          <w:lang w:val="en-US" w:eastAsia="zh-CN"/>
        </w:rPr>
        <w:t>2643.78</w:t>
      </w:r>
      <w:r>
        <w:rPr>
          <w:rFonts w:hint="eastAsia" w:ascii="仿宋" w:hAnsi="仿宋" w:eastAsia="仿宋" w:cs="DengXian-Regular"/>
          <w:sz w:val="32"/>
          <w:szCs w:val="32"/>
        </w:rPr>
        <w:t>万元；主要是</w:t>
      </w:r>
      <w:r>
        <w:rPr>
          <w:rFonts w:hint="eastAsia" w:ascii="仿宋" w:hAnsi="仿宋" w:eastAsia="仿宋"/>
          <w:color w:val="000000"/>
          <w:sz w:val="32"/>
          <w:szCs w:val="32"/>
        </w:rPr>
        <w:t>专项资金额增加</w:t>
      </w:r>
      <w:r>
        <w:rPr>
          <w:rFonts w:hint="eastAsia" w:ascii="仿宋" w:hAnsi="仿宋" w:eastAsia="仿宋" w:cs="DengXian-Regular"/>
          <w:sz w:val="32"/>
          <w:szCs w:val="32"/>
        </w:rPr>
        <w:t>；本年支出</w:t>
      </w:r>
      <w:r>
        <w:rPr>
          <w:rFonts w:hint="eastAsia" w:ascii="仿宋" w:hAnsi="仿宋" w:eastAsia="仿宋" w:cs="DengXian-Regular"/>
          <w:sz w:val="32"/>
          <w:szCs w:val="32"/>
          <w:lang w:val="en-US" w:eastAsia="zh-CN"/>
        </w:rPr>
        <w:t>2056.41</w:t>
      </w:r>
      <w:r>
        <w:rPr>
          <w:rFonts w:hint="eastAsia" w:ascii="仿宋" w:hAnsi="仿宋" w:eastAsia="仿宋" w:cs="DengXian-Regular"/>
          <w:sz w:val="32"/>
          <w:szCs w:val="32"/>
        </w:rPr>
        <w:t>万元，比上年增加</w:t>
      </w:r>
      <w:r>
        <w:rPr>
          <w:rFonts w:hint="eastAsia" w:ascii="仿宋" w:hAnsi="仿宋" w:eastAsia="仿宋" w:cs="DengXian-Regular"/>
          <w:sz w:val="32"/>
          <w:szCs w:val="32"/>
          <w:lang w:val="en-US" w:eastAsia="zh-CN"/>
        </w:rPr>
        <w:t>1334.13</w:t>
      </w:r>
      <w:r>
        <w:rPr>
          <w:rFonts w:hint="eastAsia" w:ascii="仿宋" w:hAnsi="仿宋" w:eastAsia="仿宋" w:cs="DengXian-Regular"/>
          <w:sz w:val="32"/>
          <w:szCs w:val="32"/>
        </w:rPr>
        <w:t>万元，主要是</w:t>
      </w:r>
      <w:r>
        <w:rPr>
          <w:rFonts w:hint="eastAsia" w:ascii="仿宋" w:hAnsi="仿宋" w:eastAsia="仿宋"/>
          <w:color w:val="000000"/>
          <w:sz w:val="32"/>
          <w:szCs w:val="32"/>
        </w:rPr>
        <w:t>专项资金额增加</w:t>
      </w:r>
      <w:r>
        <w:rPr>
          <w:rFonts w:hint="eastAsia" w:ascii="仿宋" w:hAnsi="仿宋" w:eastAsia="仿宋" w:cs="DengXian-Regular"/>
          <w:sz w:val="32"/>
          <w:szCs w:val="32"/>
        </w:rPr>
        <w:t>。政府性基金预算财政拨款本年收入941.46万元，比上年增加</w:t>
      </w:r>
      <w:r>
        <w:rPr>
          <w:rFonts w:hint="eastAsia" w:ascii="仿宋" w:hAnsi="仿宋" w:eastAsia="仿宋" w:cs="DengXian-Regular"/>
          <w:sz w:val="32"/>
          <w:szCs w:val="32"/>
          <w:lang w:val="en-US" w:eastAsia="zh-CN"/>
        </w:rPr>
        <w:t>727.21</w:t>
      </w:r>
      <w:r>
        <w:rPr>
          <w:rFonts w:hint="eastAsia" w:ascii="仿宋" w:hAnsi="仿宋" w:eastAsia="仿宋" w:cs="DengXian-Regular"/>
          <w:sz w:val="32"/>
          <w:szCs w:val="32"/>
        </w:rPr>
        <w:t>万元，主要原因是</w:t>
      </w:r>
      <w:r>
        <w:rPr>
          <w:rFonts w:hint="eastAsia" w:ascii="仿宋" w:hAnsi="仿宋" w:eastAsia="仿宋"/>
          <w:color w:val="000000"/>
          <w:sz w:val="32"/>
          <w:szCs w:val="32"/>
        </w:rPr>
        <w:t>专项资金额增加</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highlight w:val="none"/>
        </w:rPr>
      </w:pPr>
      <w:r>
        <w:rPr>
          <w:rFonts w:hint="eastAsia" w:ascii="仿宋_GB2312" w:eastAsia="仿宋_GB2312" w:cs="DengXian-Regular"/>
          <w:sz w:val="32"/>
          <w:szCs w:val="32"/>
          <w:highlight w:val="none"/>
        </w:rPr>
        <w:t>本部门2018年度一般公共预算财政拨款收入</w:t>
      </w:r>
      <w:r>
        <w:rPr>
          <w:rFonts w:hint="eastAsia" w:ascii="仿宋_GB2312" w:cs="DengXian-Regular" w:eastAsiaTheme="minorEastAsia"/>
          <w:sz w:val="32"/>
          <w:szCs w:val="32"/>
          <w:highlight w:val="none"/>
          <w:lang w:val="en-US" w:eastAsia="zh-CN"/>
        </w:rPr>
        <w:t>3842.54</w:t>
      </w:r>
      <w:r>
        <w:rPr>
          <w:rFonts w:hint="eastAsia" w:ascii="仿宋_GB2312" w:eastAsia="仿宋_GB2312" w:cs="DengXian-Regular"/>
          <w:sz w:val="32"/>
          <w:szCs w:val="32"/>
          <w:highlight w:val="none"/>
        </w:rPr>
        <w:t>万元，完成年初预算的</w:t>
      </w:r>
      <w:r>
        <w:rPr>
          <w:rFonts w:hint="eastAsia" w:ascii="仿宋_GB2312" w:cs="DengXian-Regular" w:eastAsiaTheme="minorEastAsia"/>
          <w:sz w:val="32"/>
          <w:szCs w:val="32"/>
          <w:highlight w:val="none"/>
          <w:lang w:val="en-US" w:eastAsia="zh-CN"/>
        </w:rPr>
        <w:t>157.84</w:t>
      </w:r>
      <w:r>
        <w:rPr>
          <w:rFonts w:hint="eastAsia" w:ascii="仿宋_GB2312" w:eastAsia="仿宋_GB2312" w:cs="DengXian-Regular"/>
          <w:sz w:val="32"/>
          <w:szCs w:val="32"/>
          <w:highlight w:val="none"/>
        </w:rPr>
        <w:t>%,比年初预算</w:t>
      </w:r>
      <w:r>
        <w:rPr>
          <w:rFonts w:hint="eastAsia" w:ascii="仿宋_GB2312" w:eastAsia="仿宋_GB2312" w:cs="DengXian-Regular"/>
          <w:sz w:val="32"/>
          <w:szCs w:val="32"/>
          <w:highlight w:val="none"/>
          <w:lang w:eastAsia="zh-CN"/>
        </w:rPr>
        <w:t>增加</w:t>
      </w:r>
      <w:r>
        <w:rPr>
          <w:rFonts w:hint="eastAsia" w:ascii="仿宋_GB2312" w:eastAsia="仿宋_GB2312" w:cs="DengXian-Regular"/>
          <w:sz w:val="32"/>
          <w:szCs w:val="32"/>
          <w:highlight w:val="none"/>
          <w:lang w:val="en-US" w:eastAsia="zh-CN"/>
        </w:rPr>
        <w:t>14</w:t>
      </w:r>
      <w:r>
        <w:rPr>
          <w:rFonts w:hint="eastAsia" w:ascii="仿宋_GB2312" w:cs="DengXian-Regular" w:eastAsiaTheme="minorEastAsia"/>
          <w:sz w:val="32"/>
          <w:szCs w:val="32"/>
          <w:highlight w:val="none"/>
          <w:lang w:val="en-US" w:eastAsia="zh-CN"/>
        </w:rPr>
        <w:t>08.08</w:t>
      </w:r>
      <w:r>
        <w:rPr>
          <w:rFonts w:hint="eastAsia" w:ascii="仿宋_GB2312" w:eastAsia="仿宋_GB2312" w:cs="DengXian-Regular"/>
          <w:sz w:val="32"/>
          <w:szCs w:val="32"/>
          <w:highlight w:val="none"/>
        </w:rPr>
        <w:t>万元；</w:t>
      </w:r>
      <w:r>
        <w:rPr>
          <w:rFonts w:hint="eastAsia" w:ascii="仿宋_GB2312" w:eastAsia="仿宋_GB2312" w:cs="DengXian-Regular"/>
          <w:sz w:val="32"/>
          <w:szCs w:val="32"/>
          <w:highlight w:val="none"/>
          <w:lang w:eastAsia="zh-CN"/>
        </w:rPr>
        <w:t>主要是专项资金增加；</w:t>
      </w:r>
      <w:r>
        <w:rPr>
          <w:rFonts w:hint="eastAsia" w:ascii="仿宋_GB2312" w:eastAsia="仿宋_GB2312" w:cs="DengXian-Regular"/>
          <w:sz w:val="32"/>
          <w:szCs w:val="32"/>
          <w:highlight w:val="none"/>
        </w:rPr>
        <w:t>本年支出</w:t>
      </w:r>
      <w:r>
        <w:rPr>
          <w:rFonts w:hint="eastAsia" w:ascii="仿宋_GB2312" w:cs="DengXian-Regular" w:eastAsiaTheme="minorEastAsia"/>
          <w:sz w:val="32"/>
          <w:szCs w:val="32"/>
          <w:highlight w:val="none"/>
          <w:lang w:val="en-US" w:eastAsia="zh-CN"/>
        </w:rPr>
        <w:t>2056.41</w:t>
      </w:r>
      <w:r>
        <w:rPr>
          <w:rFonts w:hint="eastAsia" w:ascii="仿宋_GB2312" w:eastAsia="仿宋_GB2312" w:cs="DengXian-Regular"/>
          <w:sz w:val="32"/>
          <w:szCs w:val="32"/>
          <w:highlight w:val="none"/>
        </w:rPr>
        <w:t>万元，完成年初预算的</w:t>
      </w:r>
      <w:r>
        <w:rPr>
          <w:rFonts w:hint="eastAsia" w:ascii="仿宋_GB2312" w:cs="DengXian-Regular" w:eastAsiaTheme="minorEastAsia"/>
          <w:sz w:val="32"/>
          <w:szCs w:val="32"/>
          <w:highlight w:val="none"/>
          <w:lang w:val="en-US" w:eastAsia="zh-CN"/>
        </w:rPr>
        <w:t>84.47</w:t>
      </w:r>
      <w:r>
        <w:rPr>
          <w:rFonts w:hint="eastAsia" w:ascii="仿宋_GB2312" w:eastAsia="仿宋_GB2312" w:cs="DengXian-Regular"/>
          <w:sz w:val="32"/>
          <w:szCs w:val="32"/>
          <w:highlight w:val="none"/>
        </w:rPr>
        <w:t>%,比年初预算减少</w:t>
      </w:r>
      <w:r>
        <w:rPr>
          <w:rFonts w:hint="eastAsia" w:ascii="仿宋_GB2312" w:eastAsia="仿宋_GB2312" w:cs="DengXian-Regular"/>
          <w:sz w:val="32"/>
          <w:szCs w:val="32"/>
          <w:highlight w:val="none"/>
          <w:lang w:val="en-US" w:eastAsia="zh-CN"/>
        </w:rPr>
        <w:t>378.05</w:t>
      </w:r>
      <w:r>
        <w:rPr>
          <w:rFonts w:hint="eastAsia" w:ascii="仿宋_GB2312" w:eastAsia="仿宋_GB2312" w:cs="DengXian-Regular"/>
          <w:sz w:val="32"/>
          <w:szCs w:val="32"/>
          <w:highlight w:val="none"/>
        </w:rPr>
        <w:t>万元，决算数小</w:t>
      </w:r>
      <w:r>
        <w:rPr>
          <w:sz w:val="44"/>
          <w:highlight w:val="none"/>
        </w:rPr>
        <mc:AlternateContent>
          <mc:Choice Requires="wpg">
            <w:drawing>
              <wp:anchor distT="0" distB="0" distL="114300" distR="114300" simplePos="0" relativeHeight="251674624"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76" name="组合 37"/>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77"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8"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37" o:spid="_x0000_s1026" o:spt="203" style="position:absolute;left:0pt;margin-left:-0.55pt;margin-top:29.3pt;height:43.95pt;width:301.85pt;mso-position-horizontal-relative:page;mso-position-vertical-relative:page;z-index:251674624;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FvHpBPZAAAACQEAAA8AAAAAAAAAAQAgAAAAIgAAAGRycy9kb3ducmV2Lnht&#10;bFBLAQIUABQAAAAIAIdO4kCpDrMCTgMAAGYJAAAOAAAAAAAAAAEAIAAAACgBAABkcnMvZTJvRG9j&#10;LnhtbFBLBQYAAAAABgAGAFkBAADoBgAAAAA=&#10;">
                <o:lock v:ext="edit" aspectratio="f"/>
                <v:rect id="矩形 13" o:spid="_x0000_s1026" o:spt="1" style="position:absolute;left:4551;top:52615;height:1175;width:8546;v-text-anchor:middle;" fillcolor="#B8B8B8" filled="t" stroked="f" coordsize="21600,21600" o:gfxdata="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drn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z0VVbwAAADb&#10;AAAADwAAAGRycy9kb3ducmV2LnhtbEVPz2vCMBS+D/wfwht4GTOtTDc6owdFEMYE6w49PpK3tq55&#10;qUms7r9fDgOPH9/vxepmOzGQD61jBfkkA0GsnWm5VvB13D6/gQgR2WDnmBT8UoDVcvSwwMK4Kx9o&#10;KGMtUgiHAhU0MfaFlEE3ZDFMXE+cuG/nLcYEfS2Nx2sKt52cZtlcWmw5NTTY07oh/VNerIJqr32l&#10;Z/RxfupfPg+b3akN4aTU+DHP3kFEusW7+N+9Mwpe09j0Jf0A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9FVW8AAAA&#10;2wAAAA8AAAAAAAAAAQAgAAAAIgAAAGRycy9kb3ducmV2LnhtbFBLAQIUABQAAAAIAIdO4kAzLwWe&#10;OwAAADkAAAAQAAAAAAAAAAEAIAAAAAsBAABkcnMvc2hhcGV4bWwueG1sUEsFBgAAAAAGAAYAWwEA&#10;ALUDA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highlight w:val="none"/>
        </w:rPr>
        <w:t>于预算数主要原因是</w:t>
      </w:r>
      <w:r>
        <w:rPr>
          <w:rFonts w:hint="eastAsia" w:ascii="仿宋_GB2312" w:eastAsia="仿宋_GB2312" w:cs="DengXian-Regular"/>
          <w:sz w:val="32"/>
          <w:szCs w:val="32"/>
          <w:highlight w:val="none"/>
          <w:lang w:eastAsia="zh-CN"/>
        </w:rPr>
        <w:t>部分专项未支出到位</w:t>
      </w:r>
      <w:r>
        <w:rPr>
          <w:rFonts w:hint="eastAsia" w:ascii="仿宋_GB2312" w:eastAsia="仿宋_GB2312" w:cs="DengXian-Regular"/>
          <w:sz w:val="32"/>
          <w:szCs w:val="32"/>
          <w:highlight w:val="none"/>
        </w:rPr>
        <w:t>。</w:t>
      </w:r>
    </w:p>
    <w:p>
      <w:pPr>
        <w:adjustRightInd w:val="0"/>
        <w:snapToGrid w:val="0"/>
        <w:spacing w:after="0" w:line="580" w:lineRule="exact"/>
        <w:ind w:firstLine="640" w:firstLineChars="200"/>
        <w:rPr>
          <w:rFonts w:hint="eastAsia" w:ascii="仿宋_GB2312" w:eastAsia="仿宋_GB2312" w:cs="DengXian-Regular"/>
          <w:sz w:val="32"/>
          <w:szCs w:val="32"/>
          <w:highlight w:val="none"/>
        </w:rPr>
      </w:pPr>
      <w:r>
        <w:rPr>
          <w:rFonts w:hint="eastAsia" w:ascii="仿宋_GB2312" w:eastAsia="仿宋_GB2312" w:cs="DengXian-Regular"/>
          <w:sz w:val="32"/>
          <w:szCs w:val="32"/>
          <w:highlight w:val="none"/>
        </w:rPr>
        <w:t>其中，一般公共预算财政拨款本年收入完成年初预算</w:t>
      </w:r>
      <w:r>
        <w:rPr>
          <w:rFonts w:hint="eastAsia" w:ascii="仿宋_GB2312" w:cs="DengXian-Regular" w:eastAsiaTheme="minorEastAsia"/>
          <w:sz w:val="32"/>
          <w:szCs w:val="32"/>
          <w:highlight w:val="none"/>
          <w:lang w:val="en-US" w:eastAsia="zh-CN"/>
        </w:rPr>
        <w:t>154.77</w:t>
      </w:r>
      <w:r>
        <w:rPr>
          <w:rFonts w:hint="eastAsia" w:ascii="仿宋_GB2312" w:eastAsia="仿宋_GB2312" w:cs="DengXian-Regular"/>
          <w:sz w:val="32"/>
          <w:szCs w:val="32"/>
          <w:highlight w:val="none"/>
        </w:rPr>
        <w:t>%，比年初预算</w:t>
      </w:r>
      <w:r>
        <w:rPr>
          <w:rFonts w:hint="eastAsia" w:ascii="仿宋_GB2312" w:eastAsia="仿宋_GB2312" w:cs="DengXian-Regular"/>
          <w:sz w:val="32"/>
          <w:szCs w:val="32"/>
          <w:highlight w:val="none"/>
          <w:lang w:eastAsia="zh-CN"/>
        </w:rPr>
        <w:t>增加</w:t>
      </w:r>
      <w:r>
        <w:rPr>
          <w:rFonts w:hint="eastAsia" w:ascii="仿宋_GB2312" w:eastAsia="仿宋_GB2312" w:cs="DengXian-Regular"/>
          <w:sz w:val="32"/>
          <w:szCs w:val="32"/>
          <w:highlight w:val="none"/>
          <w:lang w:val="en-US" w:eastAsia="zh-CN"/>
        </w:rPr>
        <w:t>1024.62</w:t>
      </w:r>
      <w:r>
        <w:rPr>
          <w:rFonts w:hint="eastAsia" w:ascii="仿宋_GB2312" w:eastAsia="仿宋_GB2312" w:cs="DengXian-Regular"/>
          <w:sz w:val="32"/>
          <w:szCs w:val="32"/>
          <w:highlight w:val="none"/>
        </w:rPr>
        <w:t>万元，主要是</w:t>
      </w:r>
      <w:r>
        <w:rPr>
          <w:rFonts w:hint="eastAsia" w:ascii="仿宋_GB2312" w:eastAsia="仿宋_GB2312" w:cs="DengXian-Regular"/>
          <w:sz w:val="32"/>
          <w:szCs w:val="32"/>
          <w:highlight w:val="none"/>
          <w:lang w:eastAsia="zh-CN"/>
        </w:rPr>
        <w:t>专项增加</w:t>
      </w:r>
      <w:r>
        <w:rPr>
          <w:rFonts w:hint="eastAsia" w:ascii="仿宋_GB2312" w:eastAsia="仿宋_GB2312" w:cs="DengXian-Regular"/>
          <w:sz w:val="32"/>
          <w:szCs w:val="32"/>
          <w:highlight w:val="none"/>
        </w:rPr>
        <w:t>；支出完成年初预算</w:t>
      </w:r>
      <w:r>
        <w:rPr>
          <w:rFonts w:hint="eastAsia" w:ascii="仿宋_GB2312" w:eastAsia="仿宋_GB2312" w:cs="DengXian-Regular"/>
          <w:sz w:val="32"/>
          <w:szCs w:val="32"/>
          <w:highlight w:val="none"/>
          <w:lang w:val="en-US" w:eastAsia="zh-CN"/>
        </w:rPr>
        <w:t>70.88</w:t>
      </w:r>
      <w:r>
        <w:rPr>
          <w:rFonts w:hint="eastAsia" w:ascii="仿宋_GB2312" w:eastAsia="仿宋_GB2312" w:cs="DengXian-Regular"/>
          <w:sz w:val="32"/>
          <w:szCs w:val="32"/>
          <w:highlight w:val="none"/>
        </w:rPr>
        <w:t>%，比年初预算减少</w:t>
      </w:r>
      <w:r>
        <w:rPr>
          <w:rFonts w:hint="eastAsia" w:ascii="仿宋_GB2312" w:eastAsia="仿宋_GB2312" w:cs="DengXian-Regular"/>
          <w:sz w:val="32"/>
          <w:szCs w:val="32"/>
          <w:highlight w:val="none"/>
          <w:lang w:val="en-US" w:eastAsia="zh-CN"/>
        </w:rPr>
        <w:t>844.67</w:t>
      </w:r>
      <w:r>
        <w:rPr>
          <w:rFonts w:hint="eastAsia" w:ascii="仿宋_GB2312" w:eastAsia="仿宋_GB2312" w:cs="DengXian-Regular"/>
          <w:sz w:val="32"/>
          <w:szCs w:val="32"/>
          <w:highlight w:val="none"/>
        </w:rPr>
        <w:t>万元，主要是</w:t>
      </w:r>
      <w:r>
        <w:rPr>
          <w:rFonts w:hint="eastAsia" w:ascii="仿宋_GB2312" w:eastAsia="仿宋_GB2312" w:cs="DengXian-Regular"/>
          <w:sz w:val="32"/>
          <w:szCs w:val="32"/>
          <w:highlight w:val="none"/>
          <w:lang w:eastAsia="zh-CN"/>
        </w:rPr>
        <w:t>部分项目专项未拨付完毕</w:t>
      </w:r>
      <w:r>
        <w:rPr>
          <w:rFonts w:hint="eastAsia" w:ascii="仿宋_GB2312" w:eastAsia="仿宋_GB2312" w:cs="DengXian-Regular"/>
          <w:sz w:val="32"/>
          <w:szCs w:val="32"/>
          <w:highlight w:val="none"/>
        </w:rPr>
        <w:t>。政府性基金预算财政拨款本年收入完成年初预算135</w:t>
      </w:r>
      <w:r>
        <w:rPr>
          <w:rFonts w:hint="eastAsia" w:ascii="宋体" w:hAnsi="宋体" w:cs="宋体"/>
          <w:sz w:val="32"/>
          <w:szCs w:val="32"/>
          <w:highlight w:val="none"/>
        </w:rPr>
        <w:t>.2</w:t>
      </w:r>
      <w:r>
        <w:rPr>
          <w:rFonts w:hint="eastAsia" w:ascii="仿宋_GB2312" w:eastAsia="仿宋_GB2312" w:cs="DengXian-Regular"/>
          <w:sz w:val="32"/>
          <w:szCs w:val="32"/>
          <w:highlight w:val="none"/>
        </w:rPr>
        <w:t>%，比年初预算增加167</w:t>
      </w:r>
      <w:r>
        <w:rPr>
          <w:rFonts w:hint="eastAsia" w:ascii="宋体" w:hAnsi="宋体" w:cs="宋体"/>
          <w:sz w:val="32"/>
          <w:szCs w:val="32"/>
          <w:highlight w:val="none"/>
        </w:rPr>
        <w:t>.5</w:t>
      </w:r>
      <w:r>
        <w:rPr>
          <w:rFonts w:hint="eastAsia" w:ascii="仿宋_GB2312" w:eastAsia="仿宋_GB2312" w:cs="DengXian-Regular"/>
          <w:sz w:val="32"/>
          <w:szCs w:val="32"/>
          <w:highlight w:val="none"/>
        </w:rPr>
        <w:t>万元，主要是</w:t>
      </w:r>
      <w:r>
        <w:rPr>
          <w:rFonts w:hint="eastAsia" w:ascii="仿宋_GB2312" w:eastAsia="仿宋_GB2312" w:cs="DengXian-Regular"/>
          <w:sz w:val="32"/>
          <w:szCs w:val="32"/>
          <w:highlight w:val="none"/>
          <w:lang w:eastAsia="zh-CN"/>
        </w:rPr>
        <w:t>项目追加</w:t>
      </w:r>
      <w:r>
        <w:rPr>
          <w:rFonts w:hint="eastAsia" w:ascii="仿宋_GB2312" w:eastAsia="仿宋_GB2312" w:cs="DengXian-Regular"/>
          <w:sz w:val="32"/>
          <w:szCs w:val="32"/>
          <w:highlight w:val="none"/>
        </w:rPr>
        <w:t>；支出完成年初预算</w:t>
      </w:r>
      <w:r>
        <w:rPr>
          <w:rFonts w:hint="eastAsia" w:ascii="仿宋_GB2312" w:eastAsia="仿宋_GB2312" w:cs="DengXian-Regular"/>
          <w:sz w:val="32"/>
          <w:szCs w:val="32"/>
          <w:highlight w:val="none"/>
          <w:lang w:val="en-US" w:eastAsia="zh-CN"/>
        </w:rPr>
        <w:t>117.89</w:t>
      </w:r>
      <w:r>
        <w:rPr>
          <w:rFonts w:hint="eastAsia" w:ascii="仿宋_GB2312" w:eastAsia="仿宋_GB2312" w:cs="DengXian-Regular"/>
          <w:sz w:val="32"/>
          <w:szCs w:val="32"/>
          <w:highlight w:val="none"/>
        </w:rPr>
        <w:t>%，比年初预算增加</w:t>
      </w:r>
      <w:r>
        <w:rPr>
          <w:rFonts w:hint="eastAsia" w:ascii="仿宋_GB2312" w:eastAsia="仿宋_GB2312" w:cs="DengXian-Regular"/>
          <w:sz w:val="32"/>
          <w:szCs w:val="32"/>
          <w:highlight w:val="none"/>
          <w:lang w:val="en-US" w:eastAsia="zh-CN"/>
        </w:rPr>
        <w:t>99.62</w:t>
      </w:r>
      <w:r>
        <w:rPr>
          <w:rFonts w:hint="eastAsia" w:ascii="仿宋_GB2312" w:eastAsia="仿宋_GB2312" w:cs="DengXian-Regular"/>
          <w:sz w:val="32"/>
          <w:szCs w:val="32"/>
          <w:highlight w:val="none"/>
        </w:rPr>
        <w:t>万元，</w:t>
      </w:r>
    </w:p>
    <w:p>
      <w:pPr>
        <w:adjustRightInd w:val="0"/>
        <w:snapToGrid w:val="0"/>
        <w:spacing w:after="0" w:line="580" w:lineRule="exact"/>
        <w:rPr>
          <w:rFonts w:ascii="仿宋_GB2312" w:eastAsia="仿宋_GB2312" w:cs="DengXian-Regular"/>
          <w:sz w:val="32"/>
          <w:szCs w:val="32"/>
          <w:highlight w:val="yellow"/>
        </w:rPr>
      </w:pPr>
      <w:r>
        <w:rPr>
          <w:rFonts w:hint="eastAsia" w:ascii="仿宋_GB2312" w:eastAsia="仿宋_GB2312" w:cs="DengXian-Regular"/>
          <w:sz w:val="32"/>
          <w:szCs w:val="32"/>
          <w:highlight w:val="none"/>
        </w:rPr>
        <w:t>主要是</w:t>
      </w:r>
      <w:r>
        <w:rPr>
          <w:rFonts w:hint="eastAsia" w:ascii="仿宋_GB2312" w:eastAsia="仿宋_GB2312" w:cs="DengXian-Regular"/>
          <w:sz w:val="32"/>
          <w:szCs w:val="32"/>
          <w:highlight w:val="none"/>
          <w:lang w:eastAsia="zh-CN"/>
        </w:rPr>
        <w:t>项目增加</w:t>
      </w:r>
      <w:r>
        <w:rPr>
          <w:rFonts w:hint="eastAsia" w:ascii="仿宋_GB2312" w:eastAsia="仿宋_GB2312" w:cs="DengXian-Regular"/>
          <w:sz w:val="32"/>
          <w:szCs w:val="32"/>
          <w:highlight w:val="none"/>
        </w:rPr>
        <w:t>。</w:t>
      </w:r>
    </w:p>
    <w:p>
      <w:pPr>
        <w:numPr>
          <w:ilvl w:val="0"/>
          <w:numId w:val="1"/>
        </w:numPr>
        <w:adjustRightInd w:val="0"/>
        <w:snapToGrid w:val="0"/>
        <w:spacing w:after="0" w:line="580" w:lineRule="exact"/>
        <w:ind w:left="420" w:leftChars="200"/>
        <w:rPr>
          <w:rFonts w:ascii="仿宋_GB2312" w:eastAsia="仿宋_GB2312" w:cs="DengXian-Regular"/>
          <w:sz w:val="32"/>
          <w:szCs w:val="32"/>
        </w:rPr>
      </w:pPr>
      <w:r>
        <w:rPr>
          <w:rFonts w:hint="eastAsia" w:ascii="楷体_GB2312" w:eastAsia="楷体_GB2312" w:cs="DengXian-Bold"/>
          <w:b/>
          <w:bCs/>
          <w:sz w:val="32"/>
          <w:szCs w:val="32"/>
        </w:rPr>
        <w:t>财政拨款支出决算结构情况。</w:t>
      </w:r>
    </w:p>
    <w:p>
      <w:pPr>
        <w:numPr>
          <w:ilvl w:val="0"/>
          <w:numId w:val="0"/>
        </w:num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w:t>
      </w:r>
      <w:r>
        <w:rPr>
          <w:rFonts w:hint="eastAsia" w:ascii="仿宋_GB2312" w:eastAsia="仿宋_GB2312" w:cs="DengXian-Regular"/>
          <w:sz w:val="32"/>
          <w:szCs w:val="32"/>
          <w:lang w:val="en-US" w:eastAsia="zh-CN"/>
        </w:rPr>
        <w:t>2056.41</w:t>
      </w:r>
      <w:r>
        <w:rPr>
          <w:rFonts w:hint="eastAsia" w:ascii="仿宋_GB2312" w:eastAsia="仿宋_GB2312" w:cs="DengXian-Regular"/>
          <w:sz w:val="32"/>
          <w:szCs w:val="32"/>
        </w:rPr>
        <w:t>万元，主要用于以下方面一般公共服务支出</w:t>
      </w:r>
      <w:r>
        <w:rPr>
          <w:rFonts w:hint="eastAsia" w:ascii="仿宋_GB2312" w:eastAsia="仿宋_GB2312" w:cs="DengXian-Regular"/>
          <w:sz w:val="32"/>
          <w:szCs w:val="32"/>
          <w:lang w:val="en-US" w:eastAsia="zh-CN"/>
        </w:rPr>
        <w:t>165.01</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8.02</w:t>
      </w:r>
      <w:r>
        <w:rPr>
          <w:rFonts w:hint="eastAsia" w:ascii="仿宋_GB2312" w:eastAsia="仿宋_GB2312" w:cs="DengXian-Regular"/>
          <w:sz w:val="32"/>
          <w:szCs w:val="32"/>
        </w:rPr>
        <w:t>%，</w:t>
      </w:r>
      <w:r>
        <w:rPr>
          <w:rFonts w:hint="eastAsia" w:ascii="仿宋_GB2312" w:eastAsia="仿宋_GB2312" w:cs="DengXian-Regular"/>
          <w:sz w:val="32"/>
          <w:szCs w:val="32"/>
          <w:lang w:eastAsia="zh-CN"/>
        </w:rPr>
        <w:t>城乡社区</w:t>
      </w:r>
      <w:r>
        <w:rPr>
          <w:rFonts w:hint="eastAsia" w:ascii="仿宋_GB2312" w:eastAsia="仿宋_GB2312" w:cs="DengXian-Regular"/>
          <w:sz w:val="32"/>
          <w:szCs w:val="32"/>
        </w:rPr>
        <w:t>支出</w:t>
      </w:r>
      <w:r>
        <w:rPr>
          <w:rFonts w:hint="eastAsia" w:ascii="仿宋_GB2312" w:eastAsia="仿宋_GB2312" w:cs="DengXian-Regular"/>
          <w:sz w:val="32"/>
          <w:szCs w:val="32"/>
          <w:lang w:val="en-US" w:eastAsia="zh-CN"/>
        </w:rPr>
        <w:t>659.62</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32.08</w:t>
      </w:r>
      <w:r>
        <w:rPr>
          <w:rFonts w:hint="eastAsia" w:ascii="仿宋_GB2312" w:eastAsia="仿宋_GB2312" w:cs="DengXian-Regular"/>
          <w:sz w:val="32"/>
          <w:szCs w:val="32"/>
        </w:rPr>
        <w:t>%；</w:t>
      </w:r>
      <w:r>
        <w:rPr>
          <w:rFonts w:hint="eastAsia" w:ascii="宋体" w:hAnsi="宋体" w:cs="宋体"/>
          <w:sz w:val="32"/>
          <w:szCs w:val="32"/>
        </w:rPr>
        <w:t>农林水支出</w:t>
      </w:r>
      <w:r>
        <w:rPr>
          <w:rFonts w:hint="eastAsia" w:ascii="宋体" w:hAnsi="宋体" w:cs="宋体"/>
          <w:sz w:val="32"/>
          <w:szCs w:val="32"/>
          <w:lang w:val="en-US" w:eastAsia="zh-CN"/>
        </w:rPr>
        <w:t>1231.78</w:t>
      </w:r>
      <w:r>
        <w:rPr>
          <w:rFonts w:hint="eastAsia" w:ascii="宋体" w:hAnsi="宋体" w:cs="宋体"/>
          <w:sz w:val="32"/>
          <w:szCs w:val="32"/>
        </w:rPr>
        <w:t>万元，占</w:t>
      </w:r>
      <w:r>
        <w:rPr>
          <w:rFonts w:hint="eastAsia" w:ascii="宋体" w:hAnsi="宋体" w:cs="宋体"/>
          <w:sz w:val="32"/>
          <w:szCs w:val="32"/>
          <w:lang w:val="en-US" w:eastAsia="zh-CN"/>
        </w:rPr>
        <w:t>59.9</w:t>
      </w:r>
      <w:r>
        <w:rPr>
          <w:rFonts w:hint="eastAsia" w:ascii="宋体" w:hAnsi="宋体" w:cs="宋体"/>
          <w:sz w:val="32"/>
          <w:szCs w:val="32"/>
        </w:rPr>
        <w:t>%</w:t>
      </w:r>
      <w:r>
        <w:rPr>
          <w:rFonts w:hint="eastAsia" w:ascii="仿宋_GB2312" w:eastAsia="仿宋_GB2312" w:cs="DengXian-Regular"/>
          <w:sz w:val="32"/>
          <w:szCs w:val="32"/>
        </w:rPr>
        <w:t>。</w:t>
      </w:r>
      <w:r>
        <w:t xml:space="preserve"> </w:t>
      </w:r>
    </w:p>
    <w:p>
      <w:pPr>
        <w:adjustRightInd w:val="0"/>
        <w:snapToGrid w:val="0"/>
        <w:spacing w:after="0" w:line="580" w:lineRule="exact"/>
        <w:ind w:left="420" w:leftChars="200"/>
        <w:rPr>
          <w:rFonts w:ascii="楷体_GB2312" w:eastAsia="楷体_GB2312" w:cs="DengXian-Bold"/>
          <w:b/>
          <w:bCs/>
          <w:sz w:val="32"/>
          <w:szCs w:val="32"/>
        </w:rPr>
      </w:pPr>
      <w:r>
        <w:rPr>
          <w:sz w:val="44"/>
        </w:rPr>
        <mc:AlternateContent>
          <mc:Choice Requires="wpg">
            <w:drawing>
              <wp:anchor distT="0" distB="0" distL="114300" distR="114300" simplePos="0" relativeHeight="251675648"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79" name="组合 28"/>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80"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1"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8" o:spid="_x0000_s1026" o:spt="203" style="position:absolute;left:0pt;margin-left:-0.55pt;margin-top:29.3pt;height:43.95pt;width:301.85pt;mso-position-horizontal-relative:page;mso-position-vertical-relative:page;z-index:251675648;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FvHpBPZAAAACQEAAA8AAAAAAAAAAQAgAAAAIgAAAGRycy9kb3ducmV2LnhtbFBL&#10;AQIUABQAAAAIAIdO4kCuqYEZSwMAAGYJAAAOAAAAAAAAAAEAIAAAACgBAABkcnMvZTJvRG9jLnht&#10;bFBLBQYAAAAABgAGAFkBAADlBgAAAAA=&#10;">
                <o:lock v:ext="edit" aspectratio="f"/>
                <v:rect id="矩形 13" o:spid="_x0000_s1026" o:spt="1" style="position:absolute;left:4551;top:52615;height:1175;width:8546;v-text-anchor:middle;" fillcolor="#B8B8B8" filled="t" stroked="f" coordsize="21600,21600" o:gfxdata="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uDz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l9LM770AAADb&#10;AAAADwAAAGRycy9kb3ducmV2LnhtbEWPT2sCMRTE70K/Q3gFL1KzK1pka/SgCIJU0Pbg8ZE8d1c3&#10;L2sS//TbG0HocZiZ3zCT2d024ko+1I4V5P0MBLF2puZSwe/P8mMMIkRkg41jUvBHAWbTt84EC+Nu&#10;vKXrLpYiQTgUqKCKsS2kDLoii6HvWuLkHZy3GJP0pTQebwluGznIsk9psea0UGFL84r0aXexCvYb&#10;7fd6ROtzrx1+bxerYx3CUanue559gYh0j//hV3tlFIxzeH5JP0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0szvvQAA&#10;ANsAAAAPAAAAAAAAAAEAIAAAACIAAABkcnMvZG93bnJldi54bWxQSwECFAAUAAAACACHTuJAMy8F&#10;njsAAAA5AAAAEAAAAAAAAAABACAAAAAMAQAAZHJzL3NoYXBleG1sLnhtbFBLBQYAAAAABgAGAFsB&#10;AAC2Aw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hint="eastAsia" w:ascii="仿宋_GB2312" w:eastAsia="仿宋_GB2312" w:cs="DengXian-Regular"/>
          <w:sz w:val="32"/>
          <w:szCs w:val="32"/>
          <w:lang w:val="en-US" w:eastAsia="zh-CN"/>
        </w:rPr>
        <w:t>154.31</w:t>
      </w:r>
      <w:r>
        <w:rPr>
          <w:rFonts w:hint="eastAsia" w:ascii="仿宋_GB2312" w:eastAsia="仿宋_GB2312" w:cs="DengXian-Regular"/>
          <w:sz w:val="32"/>
          <w:szCs w:val="32"/>
        </w:rPr>
        <w:t>万元，其中：人员经费</w:t>
      </w:r>
      <w:r>
        <w:rPr>
          <w:rFonts w:hint="eastAsia" w:ascii="仿宋_GB2312" w:eastAsia="仿宋_GB2312" w:cs="DengXian-Regular"/>
          <w:sz w:val="32"/>
          <w:szCs w:val="32"/>
          <w:lang w:val="en-US" w:eastAsia="zh-CN"/>
        </w:rPr>
        <w:t>92.76</w:t>
      </w:r>
      <w:r>
        <w:rPr>
          <w:rFonts w:hint="eastAsia" w:ascii="仿宋_GB2312"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hint="eastAsia" w:ascii="仿宋_GB2312" w:eastAsia="仿宋_GB2312" w:cs="DengXian-Regular"/>
          <w:sz w:val="32"/>
          <w:szCs w:val="32"/>
          <w:lang w:val="en-US" w:eastAsia="zh-CN"/>
        </w:rPr>
        <w:t>61.55</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w:t>
      </w:r>
      <w:bookmarkStart w:id="0" w:name="_GoBack"/>
      <w:bookmarkEnd w:id="0"/>
      <w:r>
        <w:rPr>
          <w:rFonts w:hint="eastAsia" w:ascii="黑体" w:eastAsia="黑体"/>
          <w:b w:val="0"/>
          <w:bCs w:val="0"/>
        </w:rPr>
        <w:t>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w:t>
      </w:r>
      <w:r>
        <w:rPr>
          <w:rFonts w:hint="eastAsia" w:ascii="仿宋_GB2312" w:eastAsia="仿宋_GB2312" w:cs="DengXian-Regular"/>
          <w:sz w:val="32"/>
          <w:szCs w:val="32"/>
          <w:lang w:val="en-US" w:eastAsia="zh-CN"/>
        </w:rPr>
        <w:t>2.91</w:t>
      </w:r>
      <w:r>
        <w:rPr>
          <w:rFonts w:hint="eastAsia" w:ascii="仿宋_GB2312" w:eastAsia="仿宋_GB2312" w:cs="DengXian-Regular"/>
          <w:sz w:val="32"/>
          <w:szCs w:val="32"/>
        </w:rPr>
        <w:t>万元，</w:t>
      </w:r>
      <w:r>
        <w:rPr>
          <w:rFonts w:hint="eastAsia" w:ascii="仿宋_GB2312" w:eastAsia="仿宋_GB2312" w:cs="DengXian-Regular"/>
          <w:b w:val="0"/>
          <w:bCs w:val="0"/>
          <w:sz w:val="32"/>
          <w:szCs w:val="32"/>
        </w:rPr>
        <w:t>较年初预算</w:t>
      </w:r>
      <w:r>
        <w:rPr>
          <w:rFonts w:hint="eastAsia" w:ascii="仿宋_GB2312" w:eastAsia="仿宋_GB2312" w:cs="DengXian-Regular"/>
          <w:b w:val="0"/>
          <w:bCs w:val="0"/>
          <w:sz w:val="32"/>
          <w:szCs w:val="32"/>
          <w:lang w:eastAsia="zh-CN"/>
        </w:rPr>
        <w:t>持平</w:t>
      </w:r>
      <w:r>
        <w:rPr>
          <w:rFonts w:hint="eastAsia" w:ascii="仿宋_GB2312" w:eastAsia="仿宋_GB2312" w:cs="DengXian-Regular"/>
          <w:b w:val="0"/>
          <w:bCs w:val="0"/>
          <w:sz w:val="32"/>
          <w:szCs w:val="32"/>
        </w:rPr>
        <w:t>，</w:t>
      </w:r>
      <w:r>
        <w:rPr>
          <w:rFonts w:hint="eastAsia" w:ascii="仿宋_GB2312" w:eastAsia="仿宋_GB2312" w:cs="DengXian-Regular"/>
          <w:sz w:val="32"/>
          <w:szCs w:val="32"/>
          <w:lang w:val="en-US" w:eastAsia="zh-CN"/>
        </w:rPr>
        <w:t>。较2017年持平，主要减少了公务用车维护费，</w:t>
      </w:r>
      <w:r>
        <w:rPr>
          <w:rFonts w:hint="eastAsia" w:ascii="仿宋_GB2312" w:eastAsia="仿宋_GB2312" w:cs="DengXian-Regular"/>
          <w:sz w:val="32"/>
          <w:szCs w:val="32"/>
        </w:rPr>
        <w:t>认真贯彻落实中央八项规定精神和厉行节约要求，从严控制“三公”经费开支，全年实际支出比预算有所节约。具体情况如下：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rPr>
          <w:sz w:val="44"/>
        </w:rPr>
        <mc:AlternateContent>
          <mc:Choice Requires="wpg">
            <w:drawing>
              <wp:anchor distT="0" distB="0" distL="114300" distR="114300" simplePos="0" relativeHeight="251679744" behindDoc="0" locked="1" layoutInCell="1" allowOverlap="1">
                <wp:simplePos x="0" y="0"/>
                <wp:positionH relativeFrom="page">
                  <wp:posOffset>145415</wp:posOffset>
                </wp:positionH>
                <wp:positionV relativeFrom="page">
                  <wp:posOffset>524510</wp:posOffset>
                </wp:positionV>
                <wp:extent cx="3833495" cy="558165"/>
                <wp:effectExtent l="1270" t="0" r="13335" b="13335"/>
                <wp:wrapNone/>
                <wp:docPr id="14" name="组合 14"/>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15"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3"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1.45pt;margin-top:41.3pt;height:43.95pt;width:301.85pt;mso-position-horizontal-relative:page;mso-position-vertical-relative:page;z-index:251679744;mso-width-relative:page;mso-height-relative:page;" coordorigin="4551,52615" coordsize="8546,1398" o:gfxdata="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K86nYfZAAAACQEAAA8AAAAAAAAAAQAgAAAAIgAAAGRycy9kb3ducmV2Lnht&#10;bFBLAQIUABQAAAAIAIdO4kDXorqVTgMAAGYJAAAOAAAAAAAAAAEAIAAAACgBAABkcnMvZTJvRG9j&#10;LnhtbFBLBQYAAAAABgAGAFkBAADoBgAAAAA=&#10;">
                <o:lock v:ext="edit" aspectratio="f"/>
                <v:rect id="矩形 13" o:spid="_x0000_s1026" o:spt="1" style="position:absolute;left:4551;top:52615;height:1175;width:8546;v-text-anchor:middle;" fillcolor="#B8B8B8" filled="t" stroked="f" coordsize="21600,21600" o:gfxdata="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tdC8AAAA&#10;2wAAAA8AAAAAAAAAAQAgAAAAIgAAAGRycy9kb3ducmV2LnhtbFBLAQIUABQAAAAIAIdO4kAzLwWe&#10;OwAAADkAAAAQAAAAAAAAAAEAIAAAAAsBAABkcnMvc2hhcGV4bWwueG1sUEsFBgAAAAAGAAYAWwEA&#10;ALU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LiqoOb4AAADb&#10;AAAADwAAAGRycy9kb3ducmV2LnhtbEWPT2sCMRTE70K/Q3gFL6JZrRVZjR4qgiAVtB48PpLn7trN&#10;y5rEP/32jSB4HGbmN8x0fre1uJIPlWMF/V4Gglg7U3GhYP+z7I5BhIhssHZMCv4owHz21ppibtyN&#10;t3TdxUIkCIccFZQxNrmUQZdkMfRcQ5y8o/MWY5K+kMbjLcFtLQdZNpIWK04LJTb0VZL+3V2sgsNG&#10;+4P+pPW50wy/t4vVqQrhpFT7vZ9NQES6x1f42V4ZBYMPeHx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qoOb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本部门2018年度因公出国（境）团组0个、共0人/参加其他单位组织的因公出国（境）团组0个、共0人/无本单位组织的出国（境）团组。</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2.75</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本部门2018年度公务用车购置及运行维护费较年初预算</w:t>
      </w:r>
      <w:r>
        <w:rPr>
          <w:rFonts w:hint="eastAsia" w:ascii="仿宋_GB2312" w:eastAsia="仿宋_GB2312" w:cs="DengXian-Regular"/>
          <w:sz w:val="32"/>
          <w:szCs w:val="32"/>
          <w:lang w:val="en-US" w:eastAsia="zh-CN"/>
        </w:rPr>
        <w:t>持平</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较上年减少持平</w:t>
      </w:r>
      <w:r>
        <w:rPr>
          <w:rFonts w:hint="eastAsia" w:ascii="仿宋_GB2312" w:eastAsia="仿宋_GB2312" w:cs="DengXian-Regular"/>
          <w:sz w:val="32"/>
          <w:szCs w:val="32"/>
        </w:rPr>
        <w:t>,主要是认真贯彻落实中央八项规定精神和厉行节约要求，从严控制“三公”经费开支</w:t>
      </w:r>
      <w:r>
        <w:rPr>
          <w:rFonts w:hint="eastAsia" w:ascii="仿宋_GB2312" w:eastAsia="仿宋_GB2312" w:cs="DengXian-Regular"/>
          <w:sz w:val="32"/>
          <w:szCs w:val="32"/>
          <w:lang w:eastAsia="zh-CN"/>
        </w:rPr>
        <w:t>。</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辆，发生“公务用车购置”经费支出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万元。公务用车购置费支出较年初预算</w:t>
      </w:r>
      <w:r>
        <w:rPr>
          <w:rFonts w:hint="eastAsia" w:ascii="仿宋_GB2312" w:eastAsia="仿宋_GB2312" w:cs="DengXian-Regular"/>
          <w:sz w:val="32"/>
          <w:szCs w:val="32"/>
          <w:lang w:val="en-US" w:eastAsia="zh-CN"/>
        </w:rPr>
        <w:t>持平，较2017年持平</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w:t>
      </w:r>
      <w:r>
        <w:rPr>
          <w:rFonts w:hint="eastAsia" w:ascii="仿宋_GB2312" w:eastAsia="仿宋_GB2312" w:cs="DengXian-Regular"/>
          <w:sz w:val="32"/>
          <w:szCs w:val="32"/>
          <w:lang w:val="en-US" w:eastAsia="zh-CN"/>
        </w:rPr>
        <w:t>3</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，发生公车运行维护费</w:t>
      </w:r>
      <w:r>
        <w:rPr>
          <w:rFonts w:hint="eastAsia" w:ascii="仿宋_GB2312" w:eastAsia="仿宋_GB2312" w:cs="DengXian-Regular"/>
          <w:sz w:val="32"/>
          <w:szCs w:val="32"/>
          <w:lang w:val="en-US" w:eastAsia="zh-CN"/>
        </w:rPr>
        <w:t>2.75万元。</w:t>
      </w:r>
      <w:r>
        <w:rPr>
          <w:rFonts w:hint="eastAsia" w:ascii="仿宋_GB2312" w:eastAsia="仿宋_GB2312" w:cs="DengXian-Regular"/>
          <w:sz w:val="32"/>
          <w:szCs w:val="32"/>
        </w:rPr>
        <w:t>公车运行维护费支出较年初预算</w:t>
      </w:r>
      <w:r>
        <w:rPr>
          <w:rFonts w:hint="eastAsia" w:ascii="仿宋_GB2312" w:eastAsia="仿宋_GB2312" w:cs="DengXian-Regular"/>
          <w:sz w:val="32"/>
          <w:szCs w:val="32"/>
          <w:lang w:val="en-US" w:eastAsia="zh-CN"/>
        </w:rPr>
        <w:t>持平，主要是</w:t>
      </w:r>
      <w:r>
        <w:rPr>
          <w:rFonts w:hint="eastAsia" w:ascii="仿宋_GB2312" w:eastAsia="仿宋_GB2312" w:cs="DengXian-Regular"/>
          <w:sz w:val="32"/>
          <w:szCs w:val="32"/>
        </w:rPr>
        <w:t>认真贯彻落实中央八项规定精神和厉行节约要求，从严控制“三公”经费开支。</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0.15</w:t>
      </w:r>
      <w:r>
        <w:rPr>
          <w:rFonts w:hint="eastAsia" w:ascii="楷体_GB2312" w:eastAsia="楷体_GB2312" w:cs="DengXian-Bold"/>
          <w:b/>
          <w:bCs/>
          <w:sz w:val="32"/>
          <w:szCs w:val="32"/>
        </w:rPr>
        <w:t>万元。</w:t>
      </w:r>
      <w:r>
        <w:rPr>
          <w:rFonts w:hint="eastAsia" w:ascii="仿宋_GB2312" w:eastAsia="仿宋_GB2312" w:cs="DengXian-Regular"/>
          <w:sz w:val="32"/>
          <w:szCs w:val="32"/>
        </w:rPr>
        <w:t xml:space="preserve">本部门2018年度公务接待共  </w:t>
      </w:r>
      <w:r>
        <w:rPr>
          <w:rFonts w:hint="eastAsia" w:ascii="仿宋_GB2312" w:eastAsia="仿宋_GB2312" w:cs="DengXian-Regular"/>
          <w:sz w:val="32"/>
          <w:szCs w:val="32"/>
          <w:lang w:val="en-US" w:eastAsia="zh-CN"/>
        </w:rPr>
        <w:t>5</w:t>
      </w:r>
      <w:r>
        <w:rPr>
          <w:rFonts w:hint="eastAsia" w:ascii="仿宋_GB2312" w:eastAsia="仿宋_GB2312" w:cs="DengXian-Regular"/>
          <w:sz w:val="32"/>
          <w:szCs w:val="32"/>
        </w:rPr>
        <w:t xml:space="preserve"> 批次、</w:t>
      </w:r>
      <w:r>
        <w:rPr>
          <w:rFonts w:hint="eastAsia" w:ascii="仿宋_GB2312" w:eastAsia="仿宋_GB2312" w:cs="DengXian-Regular"/>
          <w:sz w:val="32"/>
          <w:szCs w:val="32"/>
          <w:lang w:val="en-US" w:eastAsia="zh-CN"/>
        </w:rPr>
        <w:t>20</w:t>
      </w:r>
      <w:r>
        <w:rPr>
          <w:rFonts w:hint="eastAsia" w:ascii="仿宋_GB2312" w:eastAsia="仿宋_GB2312" w:cs="DengXian-Regular"/>
          <w:sz w:val="32"/>
          <w:szCs w:val="32"/>
        </w:rPr>
        <w:t>人次。公务接待费支出较年初预算</w:t>
      </w:r>
      <w:r>
        <w:rPr>
          <w:rFonts w:hint="eastAsia" w:ascii="仿宋_GB2312" w:eastAsia="仿宋_GB2312" w:cs="DengXian-Regular"/>
          <w:sz w:val="32"/>
          <w:szCs w:val="32"/>
          <w:lang w:val="en-US" w:eastAsia="zh-CN"/>
        </w:rPr>
        <w:t>持平</w:t>
      </w:r>
      <w:r>
        <w:rPr>
          <w:rFonts w:hint="eastAsia" w:ascii="仿宋_GB2312" w:eastAsia="仿宋_GB2312" w:cs="DengXian-Regular"/>
          <w:sz w:val="32"/>
          <w:szCs w:val="32"/>
        </w:rPr>
        <w:t>。</w:t>
      </w:r>
    </w:p>
    <w:p>
      <w:pPr>
        <w:adjustRightInd w:val="0"/>
        <w:snapToGrid w:val="0"/>
        <w:spacing w:after="0" w:line="580" w:lineRule="exact"/>
        <w:ind w:firstLine="880" w:firstLineChars="200"/>
        <w:rPr>
          <w:rFonts w:ascii="仿宋_GB2312" w:eastAsia="仿宋_GB2312" w:cs="DengXian-Regular"/>
          <w:sz w:val="32"/>
          <w:szCs w:val="32"/>
        </w:rPr>
      </w:pPr>
      <w:r>
        <w:rPr>
          <w:sz w:val="44"/>
        </w:rPr>
        <mc:AlternateContent>
          <mc:Choice Requires="wpg">
            <w:drawing>
              <wp:anchor distT="0" distB="0" distL="114300" distR="114300" simplePos="0" relativeHeight="251676672"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85" name="组合 19"/>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86"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7"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9" o:spid="_x0000_s1026" o:spt="203" style="position:absolute;left:0pt;margin-left:-0.55pt;margin-top:29.3pt;height:43.95pt;width:301.85pt;mso-position-horizontal-relative:page;mso-position-vertical-relative:page;z-index:251676672;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W8ekE9kAAAAJAQAADwAAAAAAAAABACAAAAAiAAAAZHJzL2Rvd25yZXYueG1sUEsB&#10;AhQAFAAAAAgAh07iQDln6QVKAwAAZgkAAA4AAAAAAAAAAQAgAAAAKAEAAGRycy9lMm9Eb2MueG1s&#10;UEsFBgAAAAAGAAYAWQEAAOQGAAAAAA==&#10;">
                <o:lock v:ext="edit" aspectratio="f"/>
                <v:rect id="矩形 13" o:spid="_x0000_s1026" o:spt="1" style="position:absolute;left:4551;top:52615;height:1175;width:8546;v-text-anchor:middle;" fillcolor="#B8B8B8" filled="t" stroked="f" coordsize="21600,21600" o:gfxdata="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16+I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d3fxAL8AAADb&#10;AAAADwAAAGRycy9kb3ducmV2LnhtbEWPT2sCMRTE74V+h/AKXoqbVaqVrdFDRVgQC2oPHh/Jc3ft&#10;5mWbxD/99qYgeBxm5jfMdH61rTiTD41jBYMsB0GsnWm4UvC9W/YnIEJENtg6JgV/FGA+e36aYmHc&#10;hTd03sZKJAiHAhXUMXaFlEHXZDFkriNO3sF5izFJX0nj8ZLgtpXDPB9Liw2nhRo7+qxJ/2xPVsH+&#10;S/u9HtHq97V7W28W5bEJ4ahU72WQf4CIdI2P8L1dGgWTd/j/kn6A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38QC/&#10;AAAA2wAAAA8AAAAAAAAAAQAgAAAAIgAAAGRycy9kb3ducmV2LnhtbFBLAQIUABQAAAAIAIdO4kAz&#10;LwWeOwAAADkAAAAQAAAAAAAAAAEAIAAAAA4BAABkcnMvc2hhcGV4bWwueG1sUEsFBgAAAAAGAAYA&#10;WwEAALgDA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lang w:eastAsia="zh-CN"/>
        </w:rPr>
        <w:t>六</w:t>
      </w:r>
      <w:r>
        <w:rPr>
          <w:rFonts w:hint="eastAsia" w:ascii="黑体" w:eastAsia="黑体" w:cs="Times New Roman"/>
          <w:b w:val="0"/>
          <w:bCs w:val="0"/>
        </w:rPr>
        <w:t>、其他重要事项的说明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w:t>
      </w:r>
      <w:r>
        <w:rPr>
          <w:rFonts w:hint="eastAsia" w:ascii="仿宋_GB2312" w:eastAsia="仿宋_GB2312" w:cs="DengXian-Regular"/>
          <w:sz w:val="32"/>
          <w:szCs w:val="32"/>
          <w:lang w:val="en-US" w:eastAsia="zh-CN"/>
        </w:rPr>
        <w:t>61.55</w:t>
      </w:r>
      <w:r>
        <w:rPr>
          <w:rFonts w:hint="eastAsia" w:ascii="仿宋_GB2312" w:eastAsia="仿宋_GB2312" w:cs="DengXian-Regular"/>
          <w:sz w:val="32"/>
          <w:szCs w:val="32"/>
        </w:rPr>
        <w:t>万元，比年初预算数增加</w:t>
      </w:r>
      <w:r>
        <w:rPr>
          <w:rFonts w:hint="eastAsia" w:ascii="仿宋_GB2312" w:eastAsia="仿宋_GB2312" w:cs="DengXian-Regular"/>
          <w:sz w:val="32"/>
          <w:szCs w:val="32"/>
          <w:lang w:val="en-US" w:eastAsia="zh-CN"/>
        </w:rPr>
        <w:t>49.55</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24.2</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办公经费支出较多</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w:t>
      </w:r>
      <w:r>
        <w:rPr>
          <w:rFonts w:hint="eastAsia" w:ascii="仿宋_GB2312" w:eastAsia="仿宋_GB2312" w:cs="DengXian-Regular"/>
          <w:sz w:val="32"/>
          <w:szCs w:val="32"/>
          <w:lang w:val="en-US" w:eastAsia="zh-CN"/>
        </w:rPr>
        <w:t>1522</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rPr>
        <w:t>政府采购</w:t>
      </w:r>
      <w:r>
        <w:rPr>
          <w:rFonts w:hint="eastAsia" w:ascii="仿宋_GB2312" w:hAnsi="仿宋_GB2312" w:eastAsia="仿宋_GB2312" w:cs="仿宋_GB2312"/>
          <w:color w:val="000000"/>
          <w:kern w:val="0"/>
          <w:sz w:val="32"/>
          <w:szCs w:val="32"/>
          <w:lang w:eastAsia="zh-CN"/>
        </w:rPr>
        <w:t>服务</w:t>
      </w:r>
      <w:r>
        <w:rPr>
          <w:rFonts w:ascii="仿宋_GB2312" w:hAnsi="仿宋_GB2312" w:eastAsia="仿宋_GB2312" w:cs="仿宋_GB2312"/>
          <w:color w:val="000000"/>
          <w:kern w:val="0"/>
          <w:sz w:val="32"/>
          <w:szCs w:val="32"/>
        </w:rPr>
        <w:t>支出</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lang w:val="en-US" w:eastAsia="zh-CN"/>
        </w:rPr>
        <w:t>1522</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lang w:val="en-US" w:eastAsia="zh-CN"/>
        </w:rPr>
        <w:t>1522</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100</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 xml:space="preserve">万元，占政府采购支出总额的 </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hint="eastAsia" w:ascii="仿宋_GB2312" w:eastAsia="仿宋_GB2312" w:cs="DengXian-Regular"/>
          <w:sz w:val="32"/>
          <w:szCs w:val="32"/>
          <w:lang w:val="en-US" w:eastAsia="zh-CN"/>
        </w:rPr>
        <w:t>3</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其中公务用车</w:t>
      </w:r>
      <w:r>
        <w:rPr>
          <w:rFonts w:hint="eastAsia" w:ascii="仿宋_GB2312" w:eastAsia="仿宋_GB2312" w:cs="DengXian-Regular"/>
          <w:sz w:val="32"/>
          <w:szCs w:val="32"/>
          <w:lang w:val="en-US" w:eastAsia="zh-CN"/>
        </w:rPr>
        <w:t>3辆。</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万元以上通用设备0台（套），比上年增加（减少）0套。</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lang w:eastAsia="zh-CN"/>
        </w:rPr>
        <w:t>（四）</w:t>
      </w:r>
      <w:r>
        <w:rPr>
          <w:rFonts w:hint="eastAsia" w:ascii="楷体_GB2312" w:eastAsia="楷体_GB2312" w:cs="DengXian-Bold"/>
        </w:rPr>
        <w:t>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1、本部门2018年度国有资本经营无收支及结转结余情况，故0</w:t>
      </w:r>
      <w:r>
        <w:rPr>
          <w:rFonts w:hint="eastAsia" w:ascii="宋体" w:hAnsi="宋体" w:cs="宋体"/>
          <w:sz w:val="32"/>
          <w:szCs w:val="32"/>
        </w:rPr>
        <w:t>9</w:t>
      </w:r>
      <w:r>
        <w:rPr>
          <w:rFonts w:hint="eastAsia" w:ascii="仿宋_GB2312" w:eastAsia="仿宋_GB2312" w:cs="DengXian-Regular"/>
          <w:sz w:val="32"/>
          <w:szCs w:val="32"/>
        </w:rPr>
        <w:t>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mc:AlternateContent>
          <mc:Choice Requires="wpg">
            <w:drawing>
              <wp:anchor distT="0" distB="0" distL="114300" distR="114300" simplePos="0" relativeHeight="251677696"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91" name="组合 13"/>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92"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3"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3" o:spid="_x0000_s1026" o:spt="203" style="position:absolute;left:0pt;margin-left:-0.55pt;margin-top:29.3pt;height:43.95pt;width:301.85pt;mso-position-horizontal-relative:page;mso-position-vertical-relative:page;z-index:251677696;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Bbx6QT2QAAAAkBAAAPAAAAAAAAAAEAIAAAACIAAABkcnMvZG93bnJldi54bWxQSwEC&#10;FAAUAAAACACHTuJA2rDMbEkDAABmCQAADgAAAAAAAAABACAAAAAoAQAAZHJzL2Uyb0RvYy54bWxQ&#10;SwUGAAAAAAYABgBZAQAA4wYAAAAA&#10;">
                <o:lock v:ext="edit" aspectratio="f"/>
                <v:rect id="矩形 13" o:spid="_x0000_s1026" o:spt="1" style="position:absolute;left:4551;top:52615;height:1175;width:8546;v-text-anchor:middle;" fillcolor="#B8B8B8" filled="t" stroked="f" coordsize="21600,21600" o:gfxdata="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wu/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ZVh3r4AAADb&#10;AAAADwAAAGRycy9kb3ducmV2LnhtbEWPzWsCMRTE74L/Q3gFL6JZtUq7Gj20FASp4MfB4yN57q7d&#10;vKxJ6sd/bwoFj8PM/IaZLW62FhfyoXKsYNDPQBBrZyouFOx3X703ECEiG6wdk4I7BVjM260Z5sZd&#10;eUOXbSxEgnDIUUEZY5NLGXRJFkPfNcTJOzpvMSbpC2k8XhPc1nKYZRNpseK0UGJDHyXpn+2vVXBY&#10;a3/QY1qdu83r9+ZzeapCOCnVeRlkUxCRbvEZ/m8vjYL3Efx9S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Vh3r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745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6432"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643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EVGE7UQCAAB3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kdfkaZhHyZCGkqPUuhX/R7nylRbwHRmmBRv+VWLUq6ZD7fMYTRQPpYn3OCopUFKs5co&#10;aYz79i999EfHYKWkw6iV1H9dMycokR80evl2dBpZCelyOp4UuLjHltVji16rC4NpHmFNLU9i9A/y&#10;INbOqC/YsUXMChPTHLlLGg7iRRgWADvKxWKRnDCNloVrvbQ8hh7IXayDqdvEe6Rp4AZNiBfMY2rH&#10;fnfiwD++J6+H/8X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lmnozeAAAADQEAAA8AAAAAAAAA&#10;AQAgAAAAIgAAAGRycy9kb3ducmV2LnhtbFBLAQIUABQAAAAIAIdO4kARUYTtRAIAAHcEAAAOAAAA&#10;AAAAAAEAIAAAAC0BAABkcnMvZTJvRG9jLnhtbFBLBQYAAAAABgAGAFkBAADj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mc:Fallback>
        </mc:AlternateContent>
      </w:r>
    </w:p>
    <w:p>
      <w:pPr>
        <w:widowControl/>
        <w:shd w:val="clear" w:color="auto" w:fill="FFFFFF"/>
        <w:spacing w:before="100" w:beforeAutospacing="1" w:after="100" w:afterAutospacing="1" w:line="360" w:lineRule="auto"/>
        <w:ind w:firstLine="640"/>
        <w:rPr>
          <w:rFonts w:ascii="仿宋" w:hAnsi="仿宋" w:eastAsia="仿宋" w:cs="宋体"/>
          <w:kern w:val="0"/>
          <w:szCs w:val="32"/>
        </w:rPr>
      </w:pPr>
      <w:r>
        <w:rPr>
          <w:rFonts w:hint="eastAsia" w:ascii="仿宋" w:hAnsi="仿宋" w:eastAsia="仿宋" w:cs="宋体"/>
          <w:color w:val="000000"/>
          <w:kern w:val="0"/>
          <w:szCs w:val="32"/>
        </w:rPr>
        <w:t>1.财政拨款收入：本级财政部门当年拨付的财政预算资金，包括公共预算财政拨款和政府性基金预算财政拨款。</w:t>
      </w:r>
    </w:p>
    <w:p>
      <w:pPr>
        <w:widowControl/>
        <w:shd w:val="clear" w:color="auto" w:fill="FFFFFF"/>
        <w:spacing w:before="100" w:beforeAutospacing="1" w:after="100" w:afterAutospacing="1" w:line="360" w:lineRule="auto"/>
        <w:ind w:firstLine="640"/>
        <w:rPr>
          <w:rFonts w:ascii="仿宋" w:hAnsi="仿宋" w:eastAsia="仿宋" w:cs="宋体"/>
          <w:kern w:val="0"/>
          <w:szCs w:val="32"/>
        </w:rPr>
      </w:pPr>
      <w:r>
        <w:rPr>
          <w:rFonts w:hint="eastAsia" w:ascii="仿宋" w:hAnsi="仿宋" w:eastAsia="仿宋" w:cs="宋体"/>
          <w:color w:val="000000"/>
          <w:kern w:val="0"/>
          <w:szCs w:val="32"/>
        </w:rPr>
        <w:t>2.其他收入：预算单位在“财政拨款、事业收入、经营收入、上级补助收入”等之外取得的各项收入。</w:t>
      </w:r>
    </w:p>
    <w:p>
      <w:pPr>
        <w:widowControl/>
        <w:shd w:val="clear" w:color="auto" w:fill="FFFFFF"/>
        <w:spacing w:before="100" w:beforeAutospacing="1" w:after="100" w:afterAutospacing="1" w:line="360" w:lineRule="auto"/>
        <w:ind w:firstLine="640"/>
        <w:rPr>
          <w:rFonts w:ascii="仿宋" w:hAnsi="仿宋" w:eastAsia="仿宋" w:cs="宋体"/>
          <w:kern w:val="0"/>
          <w:szCs w:val="32"/>
        </w:rPr>
      </w:pPr>
      <w:r>
        <w:rPr>
          <w:rFonts w:hint="eastAsia" w:ascii="仿宋" w:hAnsi="仿宋" w:eastAsia="仿宋" w:cs="宋体"/>
          <w:color w:val="000000"/>
          <w:kern w:val="0"/>
          <w:szCs w:val="32"/>
        </w:rPr>
        <w:t>3.上年结转：是指预算单位以前年度的收入预算未执行完毕，需结转本年度按照原用途继续使用的结转资金，以及以前年度收支相抵后的盈余或亏损结余资金。</w:t>
      </w:r>
    </w:p>
    <w:p>
      <w:pPr>
        <w:widowControl/>
        <w:shd w:val="clear" w:color="auto" w:fill="FFFFFF"/>
        <w:spacing w:before="100" w:beforeAutospacing="1" w:after="100" w:afterAutospacing="1" w:line="360" w:lineRule="auto"/>
        <w:ind w:firstLine="640"/>
        <w:rPr>
          <w:rFonts w:ascii="仿宋" w:hAnsi="仿宋" w:eastAsia="仿宋" w:cs="宋体"/>
          <w:kern w:val="0"/>
          <w:szCs w:val="32"/>
        </w:rPr>
      </w:pPr>
      <w:r>
        <w:rPr>
          <w:rFonts w:hint="eastAsia" w:ascii="仿宋" w:hAnsi="仿宋" w:eastAsia="仿宋" w:cs="宋体"/>
          <w:color w:val="000000"/>
          <w:kern w:val="0"/>
          <w:szCs w:val="32"/>
        </w:rPr>
        <w:t>4.结转下年：是指预算单位本年底前的收入预算未执行完毕，需结转下年度按照原用途继续使用的结转资金，以及本年底前收支相抵后盈余或亏损的结余资金，其中包括当年事业单位按照国家规定，用于核算当年应交所得税和提取事业基金、专用基金的分配情况和结果。</w:t>
      </w:r>
    </w:p>
    <w:p>
      <w:pPr>
        <w:widowControl/>
        <w:shd w:val="clear" w:color="auto" w:fill="FFFFFF"/>
        <w:spacing w:before="100" w:beforeAutospacing="1" w:after="100" w:afterAutospacing="1" w:line="360" w:lineRule="auto"/>
        <w:ind w:firstLine="640"/>
        <w:rPr>
          <w:rFonts w:ascii="仿宋" w:hAnsi="仿宋" w:eastAsia="仿宋" w:cs="宋体"/>
          <w:kern w:val="0"/>
          <w:szCs w:val="32"/>
        </w:rPr>
      </w:pPr>
      <w:r>
        <w:rPr>
          <w:rFonts w:hint="eastAsia" w:ascii="仿宋" w:hAnsi="仿宋" w:eastAsia="仿宋" w:cs="宋体"/>
          <w:color w:val="000000"/>
          <w:kern w:val="0"/>
          <w:szCs w:val="32"/>
        </w:rPr>
        <w:t>5.基本支出：是预算单位为保障其正常运转，完成日常工作任务所发生的支出，包括人员支出和日常公用支出。</w:t>
      </w:r>
    </w:p>
    <w:p>
      <w:pPr>
        <w:widowControl/>
        <w:shd w:val="clear" w:color="auto" w:fill="FFFFFF"/>
        <w:spacing w:before="100" w:beforeAutospacing="1" w:after="100" w:afterAutospacing="1" w:line="360" w:lineRule="auto"/>
        <w:ind w:firstLine="640"/>
        <w:rPr>
          <w:rFonts w:ascii="仿宋" w:hAnsi="仿宋" w:eastAsia="仿宋" w:cs="宋体"/>
          <w:color w:val="000000"/>
          <w:kern w:val="0"/>
          <w:szCs w:val="32"/>
        </w:rPr>
      </w:pPr>
      <w:r>
        <w:rPr>
          <w:rFonts w:hint="eastAsia" w:ascii="仿宋" w:hAnsi="仿宋" w:eastAsia="仿宋" w:cs="宋体"/>
          <w:color w:val="000000"/>
          <w:kern w:val="0"/>
          <w:szCs w:val="32"/>
        </w:rPr>
        <w:t>6.项目支出：是预算单位为完成其特定的行政工作任务或事业发展目标所发生的支出。</w:t>
      </w:r>
    </w:p>
    <w:p>
      <w:pPr>
        <w:widowControl/>
        <w:shd w:val="clear" w:color="auto" w:fill="FFFFFF"/>
        <w:spacing w:before="100" w:beforeAutospacing="1" w:after="100" w:afterAutospacing="1" w:line="360" w:lineRule="auto"/>
        <w:ind w:firstLine="640"/>
        <w:rPr>
          <w:rFonts w:ascii="仿宋" w:hAnsi="仿宋" w:eastAsia="仿宋" w:cs="宋体"/>
          <w:color w:val="000000"/>
          <w:kern w:val="0"/>
          <w:szCs w:val="32"/>
        </w:rPr>
      </w:pPr>
      <w:r>
        <w:rPr>
          <w:rFonts w:hint="eastAsia" w:ascii="仿宋" w:hAnsi="仿宋" w:eastAsia="仿宋" w:cs="宋体"/>
          <w:color w:val="000000"/>
          <w:kern w:val="0"/>
          <w:szCs w:val="32"/>
        </w:rPr>
        <w:t>7.“三公”经费支出：是指因公出国（境）费、公务用车购置及运行维护费和公务接待费。因公出国（境）费包括出国（境）的旅费、国外城市间交通费、住宿费、伙食费、培训费和公杂费等；公务用车运行维护费包括单位按规定保留的公务用车租赁费、燃料费、维修费、过路过桥费、保险费、安全奖励费用等支出。</w:t>
      </w:r>
    </w:p>
    <w:p>
      <w:pPr>
        <w:autoSpaceDE w:val="0"/>
        <w:autoSpaceDN w:val="0"/>
        <w:adjustRightInd w:val="0"/>
        <w:spacing w:line="240" w:lineRule="auto"/>
        <w:ind w:firstLine="640"/>
        <w:jc w:val="left"/>
        <w:rPr>
          <w:rFonts w:ascii="仿宋" w:hAnsi="仿宋" w:eastAsia="仿宋" w:cs="FZFSK--GBK1-0"/>
          <w:kern w:val="0"/>
          <w:szCs w:val="32"/>
        </w:rPr>
      </w:pPr>
      <w:r>
        <w:rPr>
          <w:rFonts w:hint="eastAsia" w:ascii="仿宋" w:hAnsi="仿宋" w:eastAsia="仿宋" w:cs="宋体"/>
          <w:color w:val="000000"/>
          <w:kern w:val="0"/>
          <w:szCs w:val="32"/>
        </w:rPr>
        <w:t>8.</w:t>
      </w:r>
      <w:r>
        <w:rPr>
          <w:rFonts w:hint="eastAsia" w:ascii="仿宋" w:hAnsi="仿宋" w:eastAsia="仿宋"/>
          <w:szCs w:val="32"/>
        </w:rPr>
        <w:t xml:space="preserve"> </w:t>
      </w:r>
      <w:r>
        <w:rPr>
          <w:rFonts w:hint="eastAsia" w:ascii="仿宋" w:hAnsi="仿宋" w:eastAsia="仿宋" w:cs="宋体"/>
          <w:color w:val="000000"/>
          <w:kern w:val="0"/>
          <w:szCs w:val="32"/>
        </w:rPr>
        <w:t>机关运行经费支出：</w:t>
      </w:r>
      <w:r>
        <w:rPr>
          <w:rFonts w:hint="eastAsia" w:ascii="仿宋" w:hAnsi="仿宋" w:eastAsia="仿宋" w:cs="FZFSK--GBK1-0"/>
          <w:kern w:val="0"/>
          <w:szCs w:val="32"/>
        </w:rPr>
        <w:t>是指各部门的公用经费</w:t>
      </w:r>
      <w:r>
        <w:rPr>
          <w:rFonts w:hint="eastAsia" w:ascii="仿宋" w:hAnsi="仿宋" w:eastAsia="仿宋" w:cs="E-BX"/>
          <w:kern w:val="0"/>
          <w:szCs w:val="32"/>
        </w:rPr>
        <w:t>,</w:t>
      </w:r>
      <w:r>
        <w:rPr>
          <w:rFonts w:hint="eastAsia" w:ascii="仿宋" w:hAnsi="仿宋" w:eastAsia="仿宋" w:cs="FZFSK--GBK1-0"/>
          <w:kern w:val="0"/>
          <w:szCs w:val="32"/>
        </w:rPr>
        <w:t>包括办公及印刷费</w:t>
      </w:r>
      <w:r>
        <w:rPr>
          <w:rFonts w:hint="eastAsia" w:ascii="仿宋" w:hAnsi="仿宋" w:eastAsia="仿宋" w:cs="E-BX"/>
          <w:kern w:val="0"/>
          <w:szCs w:val="32"/>
        </w:rPr>
        <w:t>、</w:t>
      </w:r>
      <w:r>
        <w:rPr>
          <w:rFonts w:hint="eastAsia" w:ascii="仿宋" w:hAnsi="仿宋" w:eastAsia="仿宋" w:cs="FZFSK--GBK1-0"/>
          <w:kern w:val="0"/>
          <w:szCs w:val="32"/>
        </w:rPr>
        <w:t>邮电费</w:t>
      </w:r>
      <w:r>
        <w:rPr>
          <w:rFonts w:hint="eastAsia" w:ascii="仿宋" w:hAnsi="仿宋" w:eastAsia="仿宋" w:cs="E-BX"/>
          <w:kern w:val="0"/>
          <w:szCs w:val="32"/>
        </w:rPr>
        <w:t>、</w:t>
      </w:r>
      <w:r>
        <w:rPr>
          <w:rFonts w:hint="eastAsia" w:ascii="仿宋" w:hAnsi="仿宋" w:eastAsia="仿宋" w:cs="FZFSK--GBK1-0"/>
          <w:kern w:val="0"/>
          <w:szCs w:val="32"/>
        </w:rPr>
        <w:t>差旅费</w:t>
      </w:r>
      <w:r>
        <w:rPr>
          <w:rFonts w:hint="eastAsia" w:ascii="仿宋" w:hAnsi="仿宋" w:eastAsia="仿宋" w:cs="E-BX"/>
          <w:kern w:val="0"/>
          <w:szCs w:val="32"/>
        </w:rPr>
        <w:t>、</w:t>
      </w:r>
      <w:r>
        <w:rPr>
          <w:rFonts w:hint="eastAsia" w:ascii="仿宋" w:hAnsi="仿宋" w:eastAsia="仿宋" w:cs="FZFSK--GBK1-0"/>
          <w:kern w:val="0"/>
          <w:szCs w:val="32"/>
        </w:rPr>
        <w:t>会议费</w:t>
      </w:r>
      <w:r>
        <w:rPr>
          <w:rFonts w:hint="eastAsia" w:ascii="仿宋" w:hAnsi="仿宋" w:eastAsia="仿宋" w:cs="E-BX"/>
          <w:kern w:val="0"/>
          <w:szCs w:val="32"/>
        </w:rPr>
        <w:t>、</w:t>
      </w:r>
      <w:r>
        <w:rPr>
          <w:rFonts w:hint="eastAsia" w:ascii="仿宋" w:hAnsi="仿宋" w:eastAsia="仿宋" w:cs="FZFSK--GBK1-0"/>
          <w:kern w:val="0"/>
          <w:szCs w:val="32"/>
        </w:rPr>
        <w:t>福利费</w:t>
      </w:r>
      <w:r>
        <w:rPr>
          <w:rFonts w:hint="eastAsia" w:ascii="仿宋" w:hAnsi="仿宋" w:eastAsia="仿宋" w:cs="E-BX"/>
          <w:kern w:val="0"/>
          <w:szCs w:val="32"/>
        </w:rPr>
        <w:t>、</w:t>
      </w:r>
      <w:r>
        <w:rPr>
          <w:rFonts w:hint="eastAsia" w:ascii="仿宋" w:hAnsi="仿宋" w:eastAsia="仿宋" w:cs="FZFSK--GBK1-0"/>
          <w:kern w:val="0"/>
          <w:szCs w:val="32"/>
        </w:rPr>
        <w:t>日常维修费</w:t>
      </w:r>
      <w:r>
        <w:rPr>
          <w:rFonts w:hint="eastAsia" w:ascii="仿宋" w:hAnsi="仿宋" w:eastAsia="仿宋" w:cs="E-BX"/>
          <w:kern w:val="0"/>
          <w:szCs w:val="32"/>
        </w:rPr>
        <w:t>、</w:t>
      </w:r>
      <w:r>
        <w:rPr>
          <w:rFonts w:hint="eastAsia" w:ascii="仿宋" w:hAnsi="仿宋" w:eastAsia="仿宋" w:cs="FZFSK--GBK1-0"/>
          <w:kern w:val="0"/>
          <w:szCs w:val="32"/>
        </w:rPr>
        <w:t>专用材料及一般设备购置费</w:t>
      </w:r>
      <w:r>
        <w:rPr>
          <w:rFonts w:hint="eastAsia" w:ascii="仿宋" w:hAnsi="仿宋" w:eastAsia="仿宋" w:cs="E-BX"/>
          <w:kern w:val="0"/>
          <w:szCs w:val="32"/>
        </w:rPr>
        <w:t>、</w:t>
      </w:r>
      <w:r>
        <w:rPr>
          <w:rFonts w:hint="eastAsia" w:ascii="仿宋" w:hAnsi="仿宋" w:eastAsia="仿宋" w:cs="FZFSK--GBK1-0"/>
          <w:kern w:val="0"/>
          <w:szCs w:val="32"/>
        </w:rPr>
        <w:t>办公用房水电费</w:t>
      </w:r>
      <w:r>
        <w:rPr>
          <w:rFonts w:hint="eastAsia" w:ascii="仿宋" w:hAnsi="仿宋" w:eastAsia="仿宋" w:cs="E-BX"/>
          <w:kern w:val="0"/>
          <w:szCs w:val="32"/>
        </w:rPr>
        <w:t>、</w:t>
      </w:r>
      <w:r>
        <w:rPr>
          <w:rFonts w:hint="eastAsia" w:ascii="仿宋" w:hAnsi="仿宋" w:eastAsia="仿宋" w:cs="FZFSK--GBK1-0"/>
          <w:kern w:val="0"/>
          <w:szCs w:val="32"/>
        </w:rPr>
        <w:t>办公用房取暖费</w:t>
      </w:r>
      <w:r>
        <w:rPr>
          <w:rFonts w:hint="eastAsia" w:ascii="仿宋" w:hAnsi="仿宋" w:eastAsia="仿宋" w:cs="E-BX"/>
          <w:kern w:val="0"/>
          <w:szCs w:val="32"/>
        </w:rPr>
        <w:t>、</w:t>
      </w:r>
      <w:r>
        <w:rPr>
          <w:rFonts w:hint="eastAsia" w:ascii="仿宋" w:hAnsi="仿宋" w:eastAsia="仿宋" w:cs="FZFSK--GBK1-0"/>
          <w:kern w:val="0"/>
          <w:szCs w:val="32"/>
        </w:rPr>
        <w:t>办公用房物业管理费</w:t>
      </w:r>
      <w:r>
        <w:rPr>
          <w:rFonts w:hint="eastAsia" w:ascii="仿宋" w:hAnsi="仿宋" w:eastAsia="仿宋" w:cs="E-BX"/>
          <w:kern w:val="0"/>
          <w:szCs w:val="32"/>
        </w:rPr>
        <w:t>、</w:t>
      </w:r>
      <w:r>
        <w:rPr>
          <w:rFonts w:hint="eastAsia" w:ascii="仿宋" w:hAnsi="仿宋" w:eastAsia="仿宋" w:cs="FZFSK--GBK1-0"/>
          <w:kern w:val="0"/>
          <w:szCs w:val="32"/>
        </w:rPr>
        <w:t>公务用车运行维护费及其他费用</w:t>
      </w:r>
      <w:r>
        <w:rPr>
          <w:rFonts w:hint="eastAsia" w:ascii="仿宋" w:hAnsi="仿宋" w:eastAsia="仿宋" w:cs="E-BX"/>
          <w:kern w:val="0"/>
          <w:szCs w:val="32"/>
        </w:rPr>
        <w:t>。</w:t>
      </w:r>
    </w:p>
    <w:p>
      <w:pPr>
        <w:widowControl/>
        <w:spacing w:after="0" w:line="560" w:lineRule="exact"/>
        <w:ind w:firstLine="640" w:firstLineChars="200"/>
        <w:rPr>
          <w:rFonts w:ascii="仿宋_GB2312" w:cs="ArialUnicodeMS" w:hAnsiTheme="minorHAnsi" w:eastAsiaTheme="minorEastAsia"/>
          <w:kern w:val="0"/>
          <w:sz w:val="32"/>
          <w:szCs w:val="32"/>
        </w:rPr>
        <w:sectPr>
          <w:pgSz w:w="11906" w:h="16838"/>
          <w:pgMar w:top="2098" w:right="1474" w:bottom="1985" w:left="1588" w:header="851" w:footer="992" w:gutter="0"/>
          <w:cols w:space="425" w:num="1"/>
          <w:docGrid w:type="lines" w:linePitch="312" w:charSpace="0"/>
        </w:sectPr>
      </w:pP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9"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D145A20-0240-4B78-AEE5-1F089FF66DB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DBA7036E-87A1-47DD-8BBF-AC615431C0B9}"/>
  </w:font>
  <w:font w:name="楷体">
    <w:panose1 w:val="02010609060101010101"/>
    <w:charset w:val="86"/>
    <w:family w:val="modern"/>
    <w:pitch w:val="default"/>
    <w:sig w:usb0="800002BF" w:usb1="38CF7CFA" w:usb2="00000016" w:usb3="00000000" w:csb0="00040001" w:csb1="00000000"/>
    <w:embedRegular r:id="rId3" w:fontKey="{2C880A39-B798-4D04-9E77-041EB44350EE}"/>
  </w:font>
  <w:font w:name="仿宋_GB2312">
    <w:altName w:val="仿宋"/>
    <w:panose1 w:val="00000000000000000000"/>
    <w:charset w:val="86"/>
    <w:family w:val="modern"/>
    <w:pitch w:val="default"/>
    <w:sig w:usb0="00000000" w:usb1="00000000" w:usb2="00000000" w:usb3="00000000" w:csb0="00000000" w:csb1="00000000"/>
    <w:embedRegular r:id="rId4" w:fontKey="{C5A8D9A4-EBC4-418B-8B1C-FC6B4CA56833}"/>
  </w:font>
  <w:font w:name="ArialUnicodeMS">
    <w:altName w:val="Malgun Gothic"/>
    <w:panose1 w:val="00000000000000000000"/>
    <w:charset w:val="81"/>
    <w:family w:val="auto"/>
    <w:pitch w:val="default"/>
    <w:sig w:usb0="00000000" w:usb1="00000000" w:usb2="00000010" w:usb3="00000000" w:csb0="00080001" w:csb1="00000000"/>
    <w:embedRegular r:id="rId5" w:fontKey="{B6E98D94-8A77-4A04-AA1F-ED25CCA5F26A}"/>
  </w:font>
  <w:font w:name="Tahoma">
    <w:panose1 w:val="020B0604030504040204"/>
    <w:charset w:val="00"/>
    <w:family w:val="auto"/>
    <w:pitch w:val="default"/>
    <w:sig w:usb0="E1002EFF" w:usb1="C000605B" w:usb2="00000029" w:usb3="00000000" w:csb0="200101FF" w:csb1="20280000"/>
    <w:embedRegular r:id="rId6" w:fontKey="{CECB68BC-B3EA-42AB-A45A-AA53FD407428}"/>
  </w:font>
  <w:font w:name="方正书宋_GBK">
    <w:altName w:val="微软雅黑"/>
    <w:panose1 w:val="00000000000000000000"/>
    <w:charset w:val="86"/>
    <w:family w:val="script"/>
    <w:pitch w:val="default"/>
    <w:sig w:usb0="00000000" w:usb1="00000000" w:usb2="00000010" w:usb3="00000000" w:csb0="00040000" w:csb1="00000000"/>
    <w:embedRegular r:id="rId7" w:fontKey="{36C6FB45-45F5-4606-A16A-3CFD74FCC395}"/>
  </w:font>
  <w:font w:name="MS-UIGothic,Bold">
    <w:altName w:val="Malgun Gothic"/>
    <w:panose1 w:val="00000000000000000000"/>
    <w:charset w:val="81"/>
    <w:family w:val="auto"/>
    <w:pitch w:val="default"/>
    <w:sig w:usb0="00000000" w:usb1="00000000" w:usb2="00000010" w:usb3="00000000" w:csb0="00080000" w:csb1="00000000"/>
    <w:embedRegular r:id="rId8" w:fontKey="{9D9740FD-1DDA-4C17-B157-EE002FCA3627}"/>
  </w:font>
  <w:font w:name="仿宋">
    <w:panose1 w:val="02010609060101010101"/>
    <w:charset w:val="86"/>
    <w:family w:val="modern"/>
    <w:pitch w:val="default"/>
    <w:sig w:usb0="800002BF" w:usb1="38CF7CFA" w:usb2="00000016" w:usb3="00000000" w:csb0="00040001" w:csb1="00000000"/>
    <w:embedRegular r:id="rId9" w:fontKey="{77B692F8-4741-4724-9DE0-87CE8888898A}"/>
  </w:font>
  <w:font w:name="DengXian-Regular">
    <w:altName w:val="宋体"/>
    <w:panose1 w:val="00000000000000000000"/>
    <w:charset w:val="86"/>
    <w:family w:val="auto"/>
    <w:pitch w:val="default"/>
    <w:sig w:usb0="00000000" w:usb1="00000000" w:usb2="00000010" w:usb3="00000000" w:csb0="00040001" w:csb1="00000000"/>
    <w:embedRegular r:id="rId10" w:fontKey="{3F5DE639-E4BB-47DF-8914-E2B7637C1507}"/>
  </w:font>
  <w:font w:name="楷体_GB2312">
    <w:altName w:val="楷体"/>
    <w:panose1 w:val="00000000000000000000"/>
    <w:charset w:val="86"/>
    <w:family w:val="modern"/>
    <w:pitch w:val="default"/>
    <w:sig w:usb0="00000000" w:usb1="00000000" w:usb2="00000000" w:usb3="00000000" w:csb0="00000000" w:csb1="00000000"/>
    <w:embedRegular r:id="rId11" w:fontKey="{98ECFE71-E8F1-4D17-AF13-5DCDD91A9F82}"/>
  </w:font>
  <w:font w:name="DengXian-Bold">
    <w:altName w:val="宋体"/>
    <w:panose1 w:val="00000000000000000000"/>
    <w:charset w:val="86"/>
    <w:family w:val="auto"/>
    <w:pitch w:val="default"/>
    <w:sig w:usb0="00000000" w:usb1="00000000" w:usb2="00000010" w:usb3="00000000" w:csb0="00040001" w:csb1="00000000"/>
    <w:embedRegular r:id="rId12" w:fontKey="{44D826E9-C5E6-400C-8091-C7FB0B61F3D4}"/>
  </w:font>
  <w:font w:name="TimesNewRomanPSMT">
    <w:altName w:val="Arial"/>
    <w:panose1 w:val="00000000000000000000"/>
    <w:charset w:val="00"/>
    <w:family w:val="swiss"/>
    <w:pitch w:val="default"/>
    <w:sig w:usb0="00000000" w:usb1="00000000" w:usb2="00000000" w:usb3="00000000" w:csb0="00000001" w:csb1="00000000"/>
  </w:font>
  <w:font w:name="FZFSK--GBK1-0">
    <w:altName w:val="宋体"/>
    <w:panose1 w:val="00000000000000000000"/>
    <w:charset w:val="86"/>
    <w:family w:val="auto"/>
    <w:pitch w:val="default"/>
    <w:sig w:usb0="00000000" w:usb1="00000000" w:usb2="00000010" w:usb3="00000000" w:csb0="00040000" w:csb1="00000000"/>
    <w:embedRegular r:id="rId13" w:fontKey="{DA3BF8AA-6FFF-44C8-AB91-047CBA9F732E}"/>
  </w:font>
  <w:font w:name="E-BX">
    <w:altName w:val="宋体"/>
    <w:panose1 w:val="00000000000000000000"/>
    <w:charset w:val="86"/>
    <w:family w:val="auto"/>
    <w:pitch w:val="default"/>
    <w:sig w:usb0="00000000" w:usb1="00000000" w:usb2="00000010" w:usb3="00000000" w:csb0="00040000" w:csb1="00000000"/>
    <w:embedRegular r:id="rId14" w:fontKey="{CDC80530-9694-455A-AEEF-11B3E10916CD}"/>
  </w:font>
  <w:font w:name="微软雅黑">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3MzdkNjM4ODgwYzA2ODU2MjM2OTJlMmM0YWU3ZDAifQ=="/>
  </w:docVars>
  <w:rsids>
    <w:rsidRoot w:val="003C1413"/>
    <w:rsid w:val="00024E7F"/>
    <w:rsid w:val="000475A0"/>
    <w:rsid w:val="00070448"/>
    <w:rsid w:val="00070FC0"/>
    <w:rsid w:val="000838C3"/>
    <w:rsid w:val="000B2446"/>
    <w:rsid w:val="000D7C65"/>
    <w:rsid w:val="000E2F81"/>
    <w:rsid w:val="000E66E8"/>
    <w:rsid w:val="00117946"/>
    <w:rsid w:val="00117E2C"/>
    <w:rsid w:val="00146C47"/>
    <w:rsid w:val="00152FB8"/>
    <w:rsid w:val="00176658"/>
    <w:rsid w:val="0018239E"/>
    <w:rsid w:val="001A59DD"/>
    <w:rsid w:val="001B3410"/>
    <w:rsid w:val="001C030D"/>
    <w:rsid w:val="001C4A84"/>
    <w:rsid w:val="001D6C73"/>
    <w:rsid w:val="001E5902"/>
    <w:rsid w:val="002003D5"/>
    <w:rsid w:val="002230E3"/>
    <w:rsid w:val="00233705"/>
    <w:rsid w:val="002407CF"/>
    <w:rsid w:val="00242EEA"/>
    <w:rsid w:val="00254C0E"/>
    <w:rsid w:val="002657D0"/>
    <w:rsid w:val="00275CA2"/>
    <w:rsid w:val="00292146"/>
    <w:rsid w:val="002A65A5"/>
    <w:rsid w:val="002C04C4"/>
    <w:rsid w:val="002D08B0"/>
    <w:rsid w:val="002D1AE3"/>
    <w:rsid w:val="002E6262"/>
    <w:rsid w:val="002F2ECE"/>
    <w:rsid w:val="00322281"/>
    <w:rsid w:val="00327B0E"/>
    <w:rsid w:val="00341C8F"/>
    <w:rsid w:val="0035463A"/>
    <w:rsid w:val="00391D9D"/>
    <w:rsid w:val="00397765"/>
    <w:rsid w:val="003B6C51"/>
    <w:rsid w:val="003C1413"/>
    <w:rsid w:val="003C549F"/>
    <w:rsid w:val="003D5A16"/>
    <w:rsid w:val="003E36D1"/>
    <w:rsid w:val="003E7DB3"/>
    <w:rsid w:val="00402495"/>
    <w:rsid w:val="004238F7"/>
    <w:rsid w:val="00431175"/>
    <w:rsid w:val="004349EA"/>
    <w:rsid w:val="00452827"/>
    <w:rsid w:val="0049760A"/>
    <w:rsid w:val="004B6E37"/>
    <w:rsid w:val="004C32BA"/>
    <w:rsid w:val="00531556"/>
    <w:rsid w:val="00575922"/>
    <w:rsid w:val="005A6C90"/>
    <w:rsid w:val="005D0171"/>
    <w:rsid w:val="005E3FB0"/>
    <w:rsid w:val="005E6675"/>
    <w:rsid w:val="005F4B66"/>
    <w:rsid w:val="005F5208"/>
    <w:rsid w:val="005F5B22"/>
    <w:rsid w:val="00641318"/>
    <w:rsid w:val="00642E14"/>
    <w:rsid w:val="0064405D"/>
    <w:rsid w:val="00657DFD"/>
    <w:rsid w:val="00695557"/>
    <w:rsid w:val="006A73C0"/>
    <w:rsid w:val="006D4EA7"/>
    <w:rsid w:val="0070012A"/>
    <w:rsid w:val="00703A00"/>
    <w:rsid w:val="0070664B"/>
    <w:rsid w:val="007071B8"/>
    <w:rsid w:val="007414DE"/>
    <w:rsid w:val="0074239A"/>
    <w:rsid w:val="007905A9"/>
    <w:rsid w:val="007A0123"/>
    <w:rsid w:val="007B4701"/>
    <w:rsid w:val="007D42DC"/>
    <w:rsid w:val="007E5500"/>
    <w:rsid w:val="007F055B"/>
    <w:rsid w:val="007F19AF"/>
    <w:rsid w:val="00811C2F"/>
    <w:rsid w:val="00816557"/>
    <w:rsid w:val="0082418E"/>
    <w:rsid w:val="00833D46"/>
    <w:rsid w:val="00840A97"/>
    <w:rsid w:val="0087252F"/>
    <w:rsid w:val="008769BB"/>
    <w:rsid w:val="0088340D"/>
    <w:rsid w:val="008C0149"/>
    <w:rsid w:val="008D5DED"/>
    <w:rsid w:val="008E25CA"/>
    <w:rsid w:val="008F34FC"/>
    <w:rsid w:val="008F679E"/>
    <w:rsid w:val="00944CD7"/>
    <w:rsid w:val="009630B7"/>
    <w:rsid w:val="009831B2"/>
    <w:rsid w:val="009A0336"/>
    <w:rsid w:val="009A1ABE"/>
    <w:rsid w:val="009C2836"/>
    <w:rsid w:val="009E21A4"/>
    <w:rsid w:val="009F22C6"/>
    <w:rsid w:val="00A07E50"/>
    <w:rsid w:val="00A15397"/>
    <w:rsid w:val="00A35CE0"/>
    <w:rsid w:val="00A4462E"/>
    <w:rsid w:val="00A44AA4"/>
    <w:rsid w:val="00A55374"/>
    <w:rsid w:val="00A61623"/>
    <w:rsid w:val="00A84687"/>
    <w:rsid w:val="00AB0A0E"/>
    <w:rsid w:val="00AC5E7F"/>
    <w:rsid w:val="00AD3B6E"/>
    <w:rsid w:val="00AE6347"/>
    <w:rsid w:val="00B1751F"/>
    <w:rsid w:val="00B450F3"/>
    <w:rsid w:val="00B56722"/>
    <w:rsid w:val="00B74D39"/>
    <w:rsid w:val="00B81E47"/>
    <w:rsid w:val="00B863FC"/>
    <w:rsid w:val="00B91DA4"/>
    <w:rsid w:val="00BA2696"/>
    <w:rsid w:val="00C12630"/>
    <w:rsid w:val="00C26BAF"/>
    <w:rsid w:val="00C34562"/>
    <w:rsid w:val="00C34D4D"/>
    <w:rsid w:val="00C3774E"/>
    <w:rsid w:val="00C57456"/>
    <w:rsid w:val="00C65387"/>
    <w:rsid w:val="00C87FAB"/>
    <w:rsid w:val="00C91FF7"/>
    <w:rsid w:val="00C94E53"/>
    <w:rsid w:val="00CC2983"/>
    <w:rsid w:val="00D0048E"/>
    <w:rsid w:val="00D23E7A"/>
    <w:rsid w:val="00D31121"/>
    <w:rsid w:val="00D36834"/>
    <w:rsid w:val="00D61063"/>
    <w:rsid w:val="00D95117"/>
    <w:rsid w:val="00DA5F25"/>
    <w:rsid w:val="00DB35AF"/>
    <w:rsid w:val="00DD1D6F"/>
    <w:rsid w:val="00DD72D7"/>
    <w:rsid w:val="00DF5B88"/>
    <w:rsid w:val="00E0589E"/>
    <w:rsid w:val="00E129DE"/>
    <w:rsid w:val="00E21B12"/>
    <w:rsid w:val="00E241FA"/>
    <w:rsid w:val="00E2595E"/>
    <w:rsid w:val="00E35374"/>
    <w:rsid w:val="00E50C19"/>
    <w:rsid w:val="00E602DE"/>
    <w:rsid w:val="00E64655"/>
    <w:rsid w:val="00E73081"/>
    <w:rsid w:val="00E838F8"/>
    <w:rsid w:val="00E856C9"/>
    <w:rsid w:val="00EB6A8B"/>
    <w:rsid w:val="00EF38C6"/>
    <w:rsid w:val="00EF6EE5"/>
    <w:rsid w:val="00F6526F"/>
    <w:rsid w:val="00F679C7"/>
    <w:rsid w:val="00F7711A"/>
    <w:rsid w:val="00FA0D58"/>
    <w:rsid w:val="00FA56F4"/>
    <w:rsid w:val="00FB4EDA"/>
    <w:rsid w:val="00FD3BD5"/>
    <w:rsid w:val="00FD698B"/>
    <w:rsid w:val="00FE3DC8"/>
    <w:rsid w:val="01AF4F43"/>
    <w:rsid w:val="04073F84"/>
    <w:rsid w:val="069B17EF"/>
    <w:rsid w:val="072256E8"/>
    <w:rsid w:val="0A9B1EAF"/>
    <w:rsid w:val="0B60750A"/>
    <w:rsid w:val="0BF204DD"/>
    <w:rsid w:val="0CA468D3"/>
    <w:rsid w:val="0EF3137D"/>
    <w:rsid w:val="10686488"/>
    <w:rsid w:val="10814852"/>
    <w:rsid w:val="10AB0AEE"/>
    <w:rsid w:val="10DF728A"/>
    <w:rsid w:val="120C4F52"/>
    <w:rsid w:val="1264200E"/>
    <w:rsid w:val="12F4431C"/>
    <w:rsid w:val="141C5B77"/>
    <w:rsid w:val="14B61CEB"/>
    <w:rsid w:val="15285D23"/>
    <w:rsid w:val="18D8339D"/>
    <w:rsid w:val="1A21388F"/>
    <w:rsid w:val="1A570D2F"/>
    <w:rsid w:val="202F3339"/>
    <w:rsid w:val="21D323F2"/>
    <w:rsid w:val="228A782C"/>
    <w:rsid w:val="23B83B7F"/>
    <w:rsid w:val="265C1512"/>
    <w:rsid w:val="273D7C26"/>
    <w:rsid w:val="289C17D0"/>
    <w:rsid w:val="28FB0B8D"/>
    <w:rsid w:val="2A1B1BBF"/>
    <w:rsid w:val="2A9870FC"/>
    <w:rsid w:val="2C38774D"/>
    <w:rsid w:val="2D2031D7"/>
    <w:rsid w:val="2D2B7942"/>
    <w:rsid w:val="2D46481D"/>
    <w:rsid w:val="2DD35024"/>
    <w:rsid w:val="2E733B28"/>
    <w:rsid w:val="2F2773FB"/>
    <w:rsid w:val="3068110E"/>
    <w:rsid w:val="306E1D95"/>
    <w:rsid w:val="31852B5A"/>
    <w:rsid w:val="32D01238"/>
    <w:rsid w:val="36CB2AFC"/>
    <w:rsid w:val="37500E81"/>
    <w:rsid w:val="39A2631B"/>
    <w:rsid w:val="3D401F86"/>
    <w:rsid w:val="3DFC59A8"/>
    <w:rsid w:val="3ECF245E"/>
    <w:rsid w:val="3FB96314"/>
    <w:rsid w:val="42916E0A"/>
    <w:rsid w:val="43722E27"/>
    <w:rsid w:val="466265AD"/>
    <w:rsid w:val="47D00B68"/>
    <w:rsid w:val="4D390032"/>
    <w:rsid w:val="4DE22CBF"/>
    <w:rsid w:val="506B4986"/>
    <w:rsid w:val="51DD4FFA"/>
    <w:rsid w:val="532237C8"/>
    <w:rsid w:val="53A44FAF"/>
    <w:rsid w:val="54404FC6"/>
    <w:rsid w:val="56A36B6A"/>
    <w:rsid w:val="584F14BB"/>
    <w:rsid w:val="594329EC"/>
    <w:rsid w:val="5B8F0493"/>
    <w:rsid w:val="5BEE1540"/>
    <w:rsid w:val="5DE61A5D"/>
    <w:rsid w:val="5E4E7FB2"/>
    <w:rsid w:val="5F1112F3"/>
    <w:rsid w:val="5FF2442F"/>
    <w:rsid w:val="62226F9C"/>
    <w:rsid w:val="6376486B"/>
    <w:rsid w:val="63C04243"/>
    <w:rsid w:val="649C01C7"/>
    <w:rsid w:val="65A32144"/>
    <w:rsid w:val="675C0A31"/>
    <w:rsid w:val="68D746B3"/>
    <w:rsid w:val="69356E1F"/>
    <w:rsid w:val="699A3F60"/>
    <w:rsid w:val="6BE17890"/>
    <w:rsid w:val="6C9949F3"/>
    <w:rsid w:val="70B32A19"/>
    <w:rsid w:val="72902E62"/>
    <w:rsid w:val="72932E0F"/>
    <w:rsid w:val="73914443"/>
    <w:rsid w:val="73C61104"/>
    <w:rsid w:val="75980E90"/>
    <w:rsid w:val="75BF5489"/>
    <w:rsid w:val="776452EA"/>
    <w:rsid w:val="77AF2D22"/>
    <w:rsid w:val="7A6E7DB3"/>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2"/>
    <w:semiHidden/>
    <w:unhideWhenUsed/>
    <w:qFormat/>
    <w:uiPriority w:val="99"/>
    <w:pPr>
      <w:ind w:left="100" w:leftChars="2500"/>
    </w:pPr>
  </w:style>
  <w:style w:type="paragraph" w:styleId="7">
    <w:name w:val="Balloon Text"/>
    <w:basedOn w:val="1"/>
    <w:link w:val="20"/>
    <w:semiHidden/>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2"/>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2">
    <w:name w:val="Title"/>
    <w:basedOn w:val="1"/>
    <w:next w:val="1"/>
    <w:link w:val="21"/>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4">
    <w:name w:val="Table Grid"/>
    <w:basedOn w:val="13"/>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页眉 Char"/>
    <w:basedOn w:val="15"/>
    <w:link w:val="9"/>
    <w:qFormat/>
    <w:uiPriority w:val="99"/>
    <w:rPr>
      <w:sz w:val="18"/>
      <w:szCs w:val="18"/>
    </w:rPr>
  </w:style>
  <w:style w:type="character" w:customStyle="1" w:styleId="17">
    <w:name w:val="页脚 Char"/>
    <w:basedOn w:val="15"/>
    <w:link w:val="8"/>
    <w:qFormat/>
    <w:uiPriority w:val="99"/>
    <w:rPr>
      <w:sz w:val="18"/>
      <w:szCs w:val="18"/>
    </w:rPr>
  </w:style>
  <w:style w:type="paragraph" w:styleId="18">
    <w:name w:val="No Spacing"/>
    <w:link w:val="19"/>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9">
    <w:name w:val="无间隔 Char"/>
    <w:basedOn w:val="15"/>
    <w:link w:val="18"/>
    <w:qFormat/>
    <w:uiPriority w:val="1"/>
    <w:rPr>
      <w:kern w:val="0"/>
      <w:sz w:val="22"/>
    </w:rPr>
  </w:style>
  <w:style w:type="character" w:customStyle="1" w:styleId="20">
    <w:name w:val="批注框文本 Char"/>
    <w:basedOn w:val="15"/>
    <w:link w:val="7"/>
    <w:semiHidden/>
    <w:qFormat/>
    <w:uiPriority w:val="99"/>
    <w:rPr>
      <w:rFonts w:ascii="Times New Roman" w:hAnsi="Times New Roman" w:eastAsia="宋体" w:cs="Times New Roman"/>
      <w:sz w:val="18"/>
      <w:szCs w:val="18"/>
    </w:rPr>
  </w:style>
  <w:style w:type="character" w:customStyle="1" w:styleId="21">
    <w:name w:val="标题 Char"/>
    <w:basedOn w:val="15"/>
    <w:link w:val="12"/>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2">
    <w:name w:val="副标题 Char"/>
    <w:basedOn w:val="15"/>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3">
    <w:name w:val="Style1"/>
    <w:basedOn w:val="15"/>
    <w:qFormat/>
    <w:uiPriority w:val="1"/>
    <w:rPr>
      <w:rFonts w:asciiTheme="minorHAnsi" w:hAnsiTheme="minorEastAsia" w:eastAsiaTheme="minorEastAsia" w:cstheme="minorBidi"/>
      <w:sz w:val="22"/>
      <w:szCs w:val="22"/>
      <w:lang w:eastAsia="zh-CN"/>
    </w:rPr>
  </w:style>
  <w:style w:type="character" w:customStyle="1" w:styleId="24">
    <w:name w:val="Style2"/>
    <w:basedOn w:val="15"/>
    <w:qFormat/>
    <w:uiPriority w:val="1"/>
    <w:rPr>
      <w:rFonts w:asciiTheme="minorHAnsi" w:hAnsiTheme="minorEastAsia" w:eastAsiaTheme="minorEastAsia" w:cstheme="minorBidi"/>
      <w:sz w:val="22"/>
      <w:szCs w:val="22"/>
      <w:lang w:eastAsia="zh-CN"/>
    </w:rPr>
  </w:style>
  <w:style w:type="character" w:customStyle="1" w:styleId="25">
    <w:name w:val="Style3"/>
    <w:basedOn w:val="15"/>
    <w:qFormat/>
    <w:uiPriority w:val="1"/>
    <w:rPr>
      <w:rFonts w:asciiTheme="minorHAnsi" w:hAnsiTheme="minorEastAsia" w:eastAsiaTheme="minorEastAsia" w:cstheme="minorBidi"/>
      <w:szCs w:val="22"/>
      <w:lang w:eastAsia="zh-CN"/>
    </w:rPr>
  </w:style>
  <w:style w:type="character" w:customStyle="1" w:styleId="26">
    <w:name w:val="Style4"/>
    <w:basedOn w:val="15"/>
    <w:qFormat/>
    <w:uiPriority w:val="1"/>
    <w:rPr>
      <w:rFonts w:asciiTheme="minorHAnsi" w:hAnsiTheme="minorEastAsia" w:eastAsiaTheme="minorEastAsia" w:cstheme="minorBidi"/>
      <w:szCs w:val="22"/>
      <w:lang w:eastAsia="zh-CN"/>
    </w:rPr>
  </w:style>
  <w:style w:type="character" w:customStyle="1" w:styleId="27">
    <w:name w:val="Style5"/>
    <w:basedOn w:val="15"/>
    <w:qFormat/>
    <w:uiPriority w:val="1"/>
    <w:rPr>
      <w:rFonts w:asciiTheme="minorHAnsi" w:hAnsiTheme="minorEastAsia" w:eastAsiaTheme="minorEastAsia" w:cstheme="minorBidi"/>
      <w:sz w:val="22"/>
      <w:szCs w:val="22"/>
      <w:lang w:eastAsia="zh-CN"/>
    </w:rPr>
  </w:style>
  <w:style w:type="character" w:customStyle="1" w:styleId="28">
    <w:name w:val="标题 1 Char"/>
    <w:basedOn w:val="15"/>
    <w:link w:val="2"/>
    <w:qFormat/>
    <w:uiPriority w:val="9"/>
    <w:rPr>
      <w:rFonts w:ascii="Times New Roman" w:hAnsi="Times New Roman" w:eastAsia="宋体" w:cs="Times New Roman"/>
      <w:b/>
      <w:bCs/>
      <w:kern w:val="44"/>
      <w:sz w:val="44"/>
      <w:szCs w:val="44"/>
    </w:rPr>
  </w:style>
  <w:style w:type="character" w:customStyle="1" w:styleId="29">
    <w:name w:val="标题 2 Char"/>
    <w:basedOn w:val="15"/>
    <w:link w:val="3"/>
    <w:qFormat/>
    <w:uiPriority w:val="9"/>
    <w:rPr>
      <w:rFonts w:asciiTheme="majorHAnsi" w:hAnsiTheme="majorHAnsi" w:eastAsiaTheme="majorEastAsia" w:cstheme="majorBidi"/>
      <w:b/>
      <w:bCs/>
      <w:sz w:val="32"/>
      <w:szCs w:val="32"/>
    </w:rPr>
  </w:style>
  <w:style w:type="character" w:customStyle="1" w:styleId="30">
    <w:name w:val="标题 3 Char"/>
    <w:basedOn w:val="15"/>
    <w:link w:val="4"/>
    <w:qFormat/>
    <w:uiPriority w:val="9"/>
    <w:rPr>
      <w:rFonts w:ascii="Times New Roman" w:hAnsi="Times New Roman" w:eastAsia="宋体" w:cs="Times New Roman"/>
      <w:b/>
      <w:bCs/>
      <w:sz w:val="32"/>
      <w:szCs w:val="32"/>
    </w:rPr>
  </w:style>
  <w:style w:type="character" w:customStyle="1" w:styleId="31">
    <w:name w:val="标题 4 Char"/>
    <w:basedOn w:val="15"/>
    <w:link w:val="5"/>
    <w:qFormat/>
    <w:uiPriority w:val="9"/>
    <w:rPr>
      <w:rFonts w:asciiTheme="majorHAnsi" w:hAnsiTheme="majorHAnsi" w:eastAsiaTheme="majorEastAsia" w:cstheme="majorBidi"/>
      <w:b/>
      <w:bCs/>
      <w:sz w:val="28"/>
      <w:szCs w:val="28"/>
    </w:rPr>
  </w:style>
  <w:style w:type="character" w:customStyle="1" w:styleId="32">
    <w:name w:val="日期 Char"/>
    <w:basedOn w:val="15"/>
    <w:link w:val="6"/>
    <w:semiHidden/>
    <w:qFormat/>
    <w:uiPriority w:val="99"/>
    <w:rPr>
      <w:rFonts w:ascii="Times New Roman" w:hAnsi="Times New Roman" w:eastAsia="宋体" w:cs="Times New Roman"/>
      <w:szCs w:val="24"/>
    </w:rPr>
  </w:style>
  <w:style w:type="paragraph" w:styleId="33">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ED4A27-8E1D-4A6E-8415-5BEB6669946A}">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2971</Words>
  <Characters>16937</Characters>
  <Lines>141</Lines>
  <Paragraphs>39</Paragraphs>
  <TotalTime>2</TotalTime>
  <ScaleCrop>false</ScaleCrop>
  <LinksUpToDate>false</LinksUpToDate>
  <CharactersWithSpaces>19869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Administrator</cp:lastModifiedBy>
  <cp:lastPrinted>2019-08-02T01:01:00Z</cp:lastPrinted>
  <dcterms:modified xsi:type="dcterms:W3CDTF">2023-11-25T11:06:18Z</dcterms:modified>
  <dc:subject>石家庄市xxx部门</dc:subject>
  <dc:title>2017年度部门决算</dc:title>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EFAC79BDDFB24B2589BA0DB1F96EC2A9_12</vt:lpwstr>
  </property>
</Properties>
</file>