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8255</wp:posOffset>
            </wp:positionH>
            <wp:positionV relativeFrom="page">
              <wp:posOffset>0</wp:posOffset>
            </wp:positionV>
            <wp:extent cx="7552055" cy="1069213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7552055" cy="1069213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25" w:lineRule="exact"/>
        <w:rPr>
          <w:color w:val="auto"/>
          <w:sz w:val="24"/>
          <w:szCs w:val="24"/>
        </w:rPr>
      </w:pPr>
    </w:p>
    <w:p>
      <w:pPr>
        <w:spacing w:after="0" w:line="1159" w:lineRule="exact"/>
        <w:ind w:left="480" w:right="626" w:firstLine="120"/>
        <w:rPr>
          <w:color w:val="auto"/>
          <w:sz w:val="20"/>
          <w:szCs w:val="20"/>
        </w:rPr>
      </w:pPr>
      <w:r>
        <w:rPr>
          <w:rFonts w:ascii="宋体" w:hAnsi="宋体" w:eastAsia="宋体" w:cs="宋体"/>
          <w:color w:val="FDEFBE"/>
          <w:sz w:val="93"/>
          <w:szCs w:val="93"/>
        </w:rPr>
        <w:t xml:space="preserve">馆陶县农业农村局 </w:t>
      </w:r>
      <w:r>
        <w:rPr>
          <w:rFonts w:ascii="黑体" w:hAnsi="黑体" w:eastAsia="黑体" w:cs="黑体"/>
          <w:color w:val="FDEFBE"/>
          <w:sz w:val="93"/>
          <w:szCs w:val="93"/>
        </w:rPr>
        <w:t xml:space="preserve">2018 </w:t>
      </w:r>
      <w:r>
        <w:rPr>
          <w:rFonts w:ascii="宋体" w:hAnsi="宋体" w:eastAsia="宋体" w:cs="宋体"/>
          <w:color w:val="FDEFBE"/>
          <w:sz w:val="93"/>
          <w:szCs w:val="93"/>
        </w:rPr>
        <w:t>年度部门决算</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35" w:lineRule="exact"/>
        <w:rPr>
          <w:color w:val="auto"/>
          <w:sz w:val="24"/>
          <w:szCs w:val="24"/>
        </w:rPr>
      </w:pPr>
    </w:p>
    <w:p>
      <w:pPr>
        <w:spacing w:after="0" w:line="326" w:lineRule="exact"/>
        <w:rPr>
          <w:color w:val="auto"/>
          <w:sz w:val="24"/>
          <w:szCs w:val="24"/>
        </w:rPr>
      </w:pPr>
    </w:p>
    <w:p>
      <w:pPr>
        <w:spacing w:after="0" w:line="457" w:lineRule="exact"/>
        <w:ind w:right="-113"/>
        <w:jc w:val="center"/>
        <w:rPr>
          <w:color w:val="auto"/>
          <w:sz w:val="20"/>
          <w:szCs w:val="20"/>
        </w:rPr>
      </w:pPr>
      <w:r>
        <w:rPr>
          <w:rFonts w:ascii="宋体" w:hAnsi="宋体" w:eastAsia="宋体" w:cs="宋体"/>
          <w:b/>
          <w:bCs/>
          <w:color w:val="auto"/>
          <w:sz w:val="40"/>
          <w:szCs w:val="40"/>
        </w:rPr>
        <w:t>二〇一九年十</w:t>
      </w:r>
      <w:r>
        <w:rPr>
          <w:rFonts w:hint="eastAsia" w:ascii="宋体" w:hAnsi="宋体" w:eastAsia="宋体" w:cs="宋体"/>
          <w:b/>
          <w:bCs/>
          <w:color w:val="auto"/>
          <w:sz w:val="40"/>
          <w:szCs w:val="40"/>
          <w:lang w:eastAsia="zh-CN"/>
        </w:rPr>
        <w:t>二</w:t>
      </w:r>
      <w:r>
        <w:rPr>
          <w:rFonts w:ascii="宋体" w:hAnsi="宋体" w:eastAsia="宋体" w:cs="宋体"/>
          <w:b/>
          <w:bCs/>
          <w:color w:val="auto"/>
          <w:sz w:val="40"/>
          <w:szCs w:val="40"/>
        </w:rPr>
        <w:t>月</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 w:name="page2"/>
      <w:bookmarkEnd w:id="1"/>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507365</wp:posOffset>
                </wp:positionV>
                <wp:extent cx="3157855" cy="0"/>
                <wp:effectExtent l="0" t="0" r="0" b="0"/>
                <wp:wrapNone/>
                <wp:docPr id="2" name="Shape 2"/>
                <wp:cNvGraphicFramePr/>
                <a:graphic xmlns:a="http://schemas.openxmlformats.org/drawingml/2006/main">
                  <a:graphicData uri="http://schemas.microsoft.com/office/word/2010/wordprocessingShape">
                    <wps:wsp>
                      <wps:cNvCnPr/>
                      <wps:spPr>
                        <a:xfrm>
                          <a:off x="0" y="0"/>
                          <a:ext cx="3157855" cy="4763"/>
                        </a:xfrm>
                        <a:prstGeom prst="line">
                          <a:avLst/>
                        </a:prstGeom>
                        <a:solidFill>
                          <a:srgbClr val="FFFFFF"/>
                        </a:solidFill>
                        <a:ln w="634">
                          <a:solidFill>
                            <a:srgbClr val="D9D9D9"/>
                          </a:solidFill>
                          <a:miter lim="800000"/>
                        </a:ln>
                      </wps:spPr>
                      <wps:bodyPr/>
                    </wps:wsp>
                  </a:graphicData>
                </a:graphic>
              </wp:anchor>
            </w:drawing>
          </mc:Choice>
          <mc:Fallback>
            <w:pict>
              <v:line id="Shape 2" o:spid="_x0000_s1026" o:spt="20" style="position:absolute;left:0pt;margin-left:0pt;margin-top:39.95pt;height:0pt;width:248.65pt;mso-position-horizontal-relative:page;mso-position-vertical-relative:page;z-index:-251658240;mso-width-relative:page;mso-height-relative:page;" fillcolor="#FFFFFF" filled="t" stroked="t" coordsize="21600,21600" o:allowincell="f" o:gfxdata="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fff9HVAAAABgEAAA8AAAAAAAAAAQAgAAAAIgAA&#10;AGRycy9kb3ducmV2LnhtbFBLAQIUABQAAAAIAIdO4kBchp29mQEAAEoDAAAOAAAAAAAAAAEAIAAA&#10;ACQBAABkcnMvZTJvRG9jLnhtbFBLBQYAAAAABgAGAFkBAAAvBQ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507365</wp:posOffset>
                </wp:positionV>
                <wp:extent cx="3084830" cy="0"/>
                <wp:effectExtent l="0" t="0" r="0" b="0"/>
                <wp:wrapNone/>
                <wp:docPr id="3" name="Shape 3"/>
                <wp:cNvGraphicFramePr/>
                <a:graphic xmlns:a="http://schemas.openxmlformats.org/drawingml/2006/main">
                  <a:graphicData uri="http://schemas.microsoft.com/office/word/2010/wordprocessingShape">
                    <wps:wsp>
                      <wps:cNvCnPr/>
                      <wps:spPr>
                        <a:xfrm>
                          <a:off x="0" y="0"/>
                          <a:ext cx="3084830" cy="4763"/>
                        </a:xfrm>
                        <a:prstGeom prst="line">
                          <a:avLst/>
                        </a:prstGeom>
                        <a:solidFill>
                          <a:srgbClr val="FFFFFF"/>
                        </a:solidFill>
                        <a:ln w="634">
                          <a:solidFill>
                            <a:srgbClr val="AD002D"/>
                          </a:solidFill>
                          <a:miter lim="800000"/>
                        </a:ln>
                      </wps:spPr>
                      <wps:bodyPr/>
                    </wps:wsp>
                  </a:graphicData>
                </a:graphic>
              </wp:anchor>
            </w:drawing>
          </mc:Choice>
          <mc:Fallback>
            <w:pict>
              <v:line id="Shape 3" o:spid="_x0000_s1026" o:spt="20" style="position:absolute;left:0pt;margin-left:0pt;margin-top:39.95pt;height:0pt;width:242.9pt;mso-position-horizontal-relative:page;mso-position-vertical-relative:page;z-index:-251658240;mso-width-relative:page;mso-height-relative:page;" fillcolor="#FFFFFF" filled="t" stroked="t" coordsize="21600,21600" o:allowincell="f" o:gfxdata="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eOTLVAAAABgEAAA8AAAAAAAAAAQAgAAAA&#10;IgAAAGRycy9kb3ducmV2LnhtbFBLAQIUABQAAAAIAIdO4kCEzLjznAEAAEoDAAAOAAAAAAAAAAEA&#10;IAAAACQBAABkcnMvZTJvRG9jLnhtbFBLBQYAAAAABgAGAFkBAAAyBQ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507365</wp:posOffset>
                </wp:positionV>
                <wp:extent cx="3084830" cy="0"/>
                <wp:effectExtent l="0" t="12700" r="8890" b="17780"/>
                <wp:wrapNone/>
                <wp:docPr id="4" name="Shape 4"/>
                <wp:cNvGraphicFramePr/>
                <a:graphic xmlns:a="http://schemas.openxmlformats.org/drawingml/2006/main">
                  <a:graphicData uri="http://schemas.microsoft.com/office/word/2010/wordprocessingShape">
                    <wps:wsp>
                      <wps:cNvCnPr/>
                      <wps:spPr>
                        <a:xfrm>
                          <a:off x="0" y="0"/>
                          <a:ext cx="3084830" cy="4763"/>
                        </a:xfrm>
                        <a:prstGeom prst="line">
                          <a:avLst/>
                        </a:prstGeom>
                        <a:solidFill>
                          <a:srgbClr val="FFFFFF"/>
                        </a:solidFill>
                        <a:ln w="26034">
                          <a:solidFill>
                            <a:srgbClr val="B0761F"/>
                          </a:solidFill>
                          <a:miter lim="800000"/>
                        </a:ln>
                      </wps:spPr>
                      <wps:bodyPr/>
                    </wps:wsp>
                  </a:graphicData>
                </a:graphic>
              </wp:anchor>
            </w:drawing>
          </mc:Choice>
          <mc:Fallback>
            <w:pict>
              <v:line id="Shape 4" o:spid="_x0000_s1026" o:spt="20" style="position:absolute;left:0pt;margin-left:0pt;margin-top:39.95pt;height:0pt;width:242.9pt;mso-position-horizontal-relative:page;mso-position-vertical-relative:page;z-index:-251658240;mso-width-relative:page;mso-height-relative:page;" fillcolor="#FFFFFF" filled="t" stroked="t" coordsize="21600,21600" o:allowincell="f" o:gfxdata="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XEjEPVAAAABgEAAA8AAAAAAAAAAQAgAAAA&#10;IgAAAGRycy9kb3ducmV2LnhtbFBLAQIUABQAAAAIAIdO4kAvYN2CnAEAAEwDAAAOAAAAAAAAAAEA&#10;IAAAACQBAABkcnMvZTJvRG9jLnhtbFBLBQYAAAAABgAGAFkBAAAyBQAAAAA=&#10;">
                <v:fill on="t" focussize="0,0"/>
                <v:stroke weight="2.04992125984252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3072130</wp:posOffset>
                </wp:positionH>
                <wp:positionV relativeFrom="page">
                  <wp:posOffset>507365</wp:posOffset>
                </wp:positionV>
                <wp:extent cx="25400" cy="0"/>
                <wp:effectExtent l="0" t="0" r="0" b="0"/>
                <wp:wrapNone/>
                <wp:docPr id="5" name="Shape 5"/>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5" o:spid="_x0000_s1026" o:spt="20" style="position:absolute;left:0pt;margin-left:241.9pt;margin-top:39.9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oKnZk1gAAAAkBAAAPAAAAAAAAAAEAIAAAACIA&#10;AABkcnMvZG93bnJldi54bWxQSwECFAAUAAAACACHTuJAfff1EZkBAABIAwAADgAAAAAAAAABACAA&#10;AAAlAQAAZHJzL2Uyb0RvYy54bWxQSwUGAAAAAAYABgBZAQAAMAUAAAAA&#10;">
                <v:fill on="t" focussize="0,0"/>
                <v:stroke weight="0.0499212598425197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-20955</wp:posOffset>
                </wp:positionH>
                <wp:positionV relativeFrom="page">
                  <wp:posOffset>507365</wp:posOffset>
                </wp:positionV>
                <wp:extent cx="25400" cy="0"/>
                <wp:effectExtent l="0" t="0" r="0" b="0"/>
                <wp:wrapNone/>
                <wp:docPr id="6" name="Shape 6"/>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6" o:spid="_x0000_s1026" o:spt="20" style="position:absolute;left:0pt;margin-left:-1.65pt;margin-top:39.9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iQ0PzTAAAABQEAAA8AAAAAAAAAAQAgAAAAIgAAAGRy&#10;cy9kb3ducmV2LnhtbFBLAQIUABQAAAAIAIdO4kDgtgBomAEAAEgDAAAOAAAAAAAAAAEAIAAAACIB&#10;AABkcnMvZTJvRG9jLnhtbFBLBQYAAAAABgAGAFkBAAAsBQAAAAA=&#10;">
                <v:fill on="t" focussize="0,0"/>
                <v:stroke weight="0.0499212598425197pt" color="#B0761F"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tabs>
          <w:tab w:val="left" w:pos="5040"/>
        </w:tabs>
        <w:spacing w:after="0" w:line="548" w:lineRule="exact"/>
        <w:ind w:left="3620"/>
        <w:rPr>
          <w:color w:val="auto"/>
          <w:sz w:val="20"/>
          <w:szCs w:val="20"/>
        </w:rPr>
      </w:pPr>
      <w:r>
        <w:rPr>
          <w:rFonts w:ascii="宋体" w:hAnsi="宋体" w:eastAsia="宋体" w:cs="宋体"/>
          <w:color w:val="auto"/>
          <w:sz w:val="48"/>
          <w:szCs w:val="48"/>
        </w:rPr>
        <w:t>目</w:t>
      </w:r>
      <w:r>
        <w:rPr>
          <w:color w:val="auto"/>
          <w:sz w:val="20"/>
          <w:szCs w:val="20"/>
        </w:rPr>
        <w:tab/>
      </w:r>
      <w:r>
        <w:rPr>
          <w:rFonts w:ascii="宋体" w:hAnsi="宋体" w:eastAsia="宋体" w:cs="宋体"/>
          <w:color w:val="auto"/>
          <w:sz w:val="48"/>
          <w:szCs w:val="48"/>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tabs>
          <w:tab w:val="left" w:pos="2520"/>
        </w:tabs>
        <w:spacing w:after="0" w:line="366" w:lineRule="exact"/>
        <w:ind w:left="800"/>
        <w:rPr>
          <w:color w:val="auto"/>
          <w:sz w:val="20"/>
          <w:szCs w:val="20"/>
        </w:rPr>
      </w:pPr>
      <w:r>
        <w:rPr>
          <w:rFonts w:ascii="宋体" w:hAnsi="宋体" w:eastAsia="宋体" w:cs="宋体"/>
          <w:color w:val="auto"/>
          <w:sz w:val="32"/>
          <w:szCs w:val="32"/>
        </w:rPr>
        <w:t>第一部分</w:t>
      </w:r>
      <w:r>
        <w:rPr>
          <w:color w:val="auto"/>
          <w:sz w:val="20"/>
          <w:szCs w:val="20"/>
        </w:rPr>
        <w:tab/>
      </w:r>
      <w:r>
        <w:rPr>
          <w:rFonts w:ascii="宋体" w:hAnsi="宋体" w:eastAsia="宋体" w:cs="宋体"/>
          <w:color w:val="auto"/>
          <w:sz w:val="32"/>
          <w:szCs w:val="32"/>
        </w:rPr>
        <w:t>部门概况</w:t>
      </w:r>
    </w:p>
    <w:p>
      <w:pPr>
        <w:spacing w:after="0" w:line="377"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一、部门职责</w:t>
      </w:r>
    </w:p>
    <w:p>
      <w:pPr>
        <w:spacing w:after="0" w:line="374"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二、机构设置</w:t>
      </w:r>
    </w:p>
    <w:p>
      <w:pPr>
        <w:spacing w:after="0" w:line="374" w:lineRule="exact"/>
        <w:rPr>
          <w:color w:val="auto"/>
          <w:sz w:val="20"/>
          <w:szCs w:val="20"/>
        </w:rPr>
      </w:pPr>
    </w:p>
    <w:p>
      <w:pPr>
        <w:tabs>
          <w:tab w:val="left" w:pos="2520"/>
        </w:tabs>
        <w:spacing w:after="0" w:line="390" w:lineRule="exact"/>
        <w:ind w:left="800"/>
        <w:rPr>
          <w:color w:val="auto"/>
          <w:sz w:val="20"/>
          <w:szCs w:val="20"/>
        </w:rPr>
      </w:pPr>
      <w:r>
        <w:rPr>
          <w:rFonts w:ascii="宋体" w:hAnsi="宋体" w:eastAsia="宋体" w:cs="宋体"/>
          <w:color w:val="auto"/>
          <w:sz w:val="32"/>
          <w:szCs w:val="32"/>
        </w:rPr>
        <w:t>第二部分</w:t>
      </w:r>
      <w:r>
        <w:rPr>
          <w:color w:val="auto"/>
          <w:sz w:val="20"/>
          <w:szCs w:val="20"/>
        </w:rPr>
        <w:tab/>
      </w:r>
      <w:r>
        <w:rPr>
          <w:rFonts w:ascii="Times New Roman" w:hAnsi="Times New Roman" w:eastAsia="Times New Roman" w:cs="Times New Roman"/>
          <w:color w:val="auto"/>
          <w:sz w:val="32"/>
          <w:szCs w:val="32"/>
        </w:rPr>
        <w:t xml:space="preserve">2018 </w:t>
      </w:r>
      <w:r>
        <w:rPr>
          <w:rFonts w:ascii="宋体" w:hAnsi="宋体" w:eastAsia="宋体" w:cs="宋体"/>
          <w:color w:val="auto"/>
          <w:sz w:val="32"/>
          <w:szCs w:val="32"/>
        </w:rPr>
        <w:t>年度部门决算报表</w:t>
      </w:r>
    </w:p>
    <w:p>
      <w:pPr>
        <w:spacing w:after="0" w:line="353"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一、收入支出决算总表</w:t>
      </w:r>
    </w:p>
    <w:p>
      <w:pPr>
        <w:spacing w:after="0" w:line="374"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二、收入决算表</w:t>
      </w:r>
    </w:p>
    <w:p>
      <w:pPr>
        <w:spacing w:after="0" w:line="375"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三、支出决算表</w:t>
      </w:r>
    </w:p>
    <w:p>
      <w:pPr>
        <w:spacing w:after="0" w:line="377"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四、财政拨款收入支出决算总表</w:t>
      </w:r>
    </w:p>
    <w:p>
      <w:pPr>
        <w:spacing w:after="0" w:line="374"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五、一般公共预算财政拨款支出决算表</w:t>
      </w:r>
    </w:p>
    <w:p>
      <w:pPr>
        <w:spacing w:after="0" w:line="374" w:lineRule="exact"/>
        <w:rPr>
          <w:color w:val="auto"/>
          <w:sz w:val="20"/>
          <w:szCs w:val="20"/>
        </w:rPr>
      </w:pPr>
    </w:p>
    <w:p>
      <w:pPr>
        <w:spacing w:after="0" w:line="366" w:lineRule="exact"/>
        <w:ind w:right="86"/>
        <w:jc w:val="center"/>
        <w:rPr>
          <w:color w:val="auto"/>
          <w:sz w:val="20"/>
          <w:szCs w:val="20"/>
        </w:rPr>
      </w:pPr>
      <w:r>
        <w:rPr>
          <w:rFonts w:ascii="宋体" w:hAnsi="宋体" w:eastAsia="宋体" w:cs="宋体"/>
          <w:color w:val="auto"/>
          <w:sz w:val="32"/>
          <w:szCs w:val="32"/>
        </w:rPr>
        <w:t>六、一般公共预算财政拨款基本支出决算表</w:t>
      </w:r>
    </w:p>
    <w:p>
      <w:pPr>
        <w:spacing w:after="0" w:line="376" w:lineRule="exact"/>
        <w:rPr>
          <w:color w:val="auto"/>
          <w:sz w:val="20"/>
          <w:szCs w:val="20"/>
        </w:rPr>
      </w:pPr>
    </w:p>
    <w:p>
      <w:pPr>
        <w:spacing w:after="0" w:line="390" w:lineRule="exact"/>
        <w:ind w:left="1420"/>
        <w:rPr>
          <w:color w:val="auto"/>
          <w:sz w:val="20"/>
          <w:szCs w:val="20"/>
        </w:rPr>
      </w:pPr>
      <w:r>
        <w:rPr>
          <w:rFonts w:ascii="宋体" w:hAnsi="宋体" w:eastAsia="宋体" w:cs="宋体"/>
          <w:color w:val="auto"/>
          <w:sz w:val="32"/>
          <w:szCs w:val="32"/>
        </w:rPr>
        <w:t>七、一般公共预算财政拨款</w:t>
      </w:r>
      <w:r>
        <w:rPr>
          <w:rFonts w:ascii="Times New Roman" w:hAnsi="Times New Roman" w:eastAsia="Times New Roman" w:cs="Times New Roman"/>
          <w:color w:val="auto"/>
          <w:sz w:val="32"/>
          <w:szCs w:val="32"/>
        </w:rPr>
        <w:t>“</w:t>
      </w:r>
      <w:r>
        <w:rPr>
          <w:rFonts w:ascii="宋体" w:hAnsi="宋体" w:eastAsia="宋体" w:cs="宋体"/>
          <w:color w:val="auto"/>
          <w:sz w:val="32"/>
          <w:szCs w:val="32"/>
        </w:rPr>
        <w:t>三公</w:t>
      </w:r>
      <w:r>
        <w:rPr>
          <w:rFonts w:ascii="Times New Roman" w:hAnsi="Times New Roman" w:eastAsia="Times New Roman" w:cs="Times New Roman"/>
          <w:color w:val="auto"/>
          <w:sz w:val="32"/>
          <w:szCs w:val="32"/>
        </w:rPr>
        <w:t>”</w:t>
      </w:r>
      <w:r>
        <w:rPr>
          <w:rFonts w:ascii="宋体" w:hAnsi="宋体" w:eastAsia="宋体" w:cs="宋体"/>
          <w:color w:val="auto"/>
          <w:sz w:val="32"/>
          <w:szCs w:val="32"/>
        </w:rPr>
        <w:t>经费支出决算表</w:t>
      </w:r>
    </w:p>
    <w:p>
      <w:pPr>
        <w:spacing w:after="0" w:line="351"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八、政府性基金预算财政拨款收入支出决算表</w:t>
      </w:r>
    </w:p>
    <w:p>
      <w:pPr>
        <w:spacing w:after="0" w:line="374" w:lineRule="exact"/>
        <w:rPr>
          <w:color w:val="auto"/>
          <w:sz w:val="20"/>
          <w:szCs w:val="20"/>
        </w:rPr>
      </w:pPr>
    </w:p>
    <w:p>
      <w:pPr>
        <w:spacing w:after="0" w:line="366" w:lineRule="exact"/>
        <w:ind w:right="86"/>
        <w:jc w:val="center"/>
        <w:rPr>
          <w:color w:val="auto"/>
          <w:sz w:val="20"/>
          <w:szCs w:val="20"/>
        </w:rPr>
      </w:pPr>
      <w:r>
        <w:rPr>
          <w:rFonts w:ascii="宋体" w:hAnsi="宋体" w:eastAsia="宋体" w:cs="宋体"/>
          <w:color w:val="auto"/>
          <w:sz w:val="32"/>
          <w:szCs w:val="32"/>
        </w:rPr>
        <w:t>九、国有资本经营预算财政拨款支出决算表</w:t>
      </w:r>
    </w:p>
    <w:p>
      <w:pPr>
        <w:spacing w:after="0" w:line="377" w:lineRule="exact"/>
        <w:rPr>
          <w:color w:val="auto"/>
          <w:sz w:val="20"/>
          <w:szCs w:val="20"/>
        </w:rPr>
      </w:pPr>
    </w:p>
    <w:p>
      <w:pPr>
        <w:spacing w:after="0" w:line="366" w:lineRule="exact"/>
        <w:ind w:left="1420"/>
        <w:rPr>
          <w:color w:val="auto"/>
          <w:sz w:val="20"/>
          <w:szCs w:val="20"/>
        </w:rPr>
      </w:pPr>
      <w:r>
        <w:rPr>
          <w:rFonts w:ascii="宋体" w:hAnsi="宋体" w:eastAsia="宋体" w:cs="宋体"/>
          <w:color w:val="auto"/>
          <w:sz w:val="32"/>
          <w:szCs w:val="32"/>
        </w:rPr>
        <w:t>十、政府采购情况表</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 w:name="page3"/>
      <w:bookmarkEnd w:id="2"/>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494665</wp:posOffset>
                </wp:positionV>
                <wp:extent cx="2811780" cy="0"/>
                <wp:effectExtent l="0" t="0" r="0" b="0"/>
                <wp:wrapNone/>
                <wp:docPr id="7" name="Shape 7"/>
                <wp:cNvGraphicFramePr/>
                <a:graphic xmlns:a="http://schemas.openxmlformats.org/drawingml/2006/main">
                  <a:graphicData uri="http://schemas.microsoft.com/office/word/2010/wordprocessingShape">
                    <wps:wsp>
                      <wps:cNvCnPr/>
                      <wps:spPr>
                        <a:xfrm>
                          <a:off x="0" y="0"/>
                          <a:ext cx="2811780" cy="4763"/>
                        </a:xfrm>
                        <a:prstGeom prst="line">
                          <a:avLst/>
                        </a:prstGeom>
                        <a:solidFill>
                          <a:srgbClr val="FFFFFF"/>
                        </a:solidFill>
                        <a:ln w="634">
                          <a:solidFill>
                            <a:srgbClr val="D9D9D9"/>
                          </a:solidFill>
                          <a:miter lim="800000"/>
                        </a:ln>
                      </wps:spPr>
                      <wps:bodyPr/>
                    </wps:wsp>
                  </a:graphicData>
                </a:graphic>
              </wp:anchor>
            </w:drawing>
          </mc:Choice>
          <mc:Fallback>
            <w:pict>
              <v:line id="Shape 7" o:spid="_x0000_s1026" o:spt="20" style="position:absolute;left:0pt;margin-left:0pt;margin-top:38.95pt;height:0pt;width:221.4pt;mso-position-horizontal-relative:page;mso-position-vertical-relative:page;z-index:-251658240;mso-width-relative:page;mso-height-relative:page;" fillcolor="#FFFFFF" filled="t" stroked="t" coordsize="21600,21600" o:allowincell="f" o:gfxdata="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csiTNUAAAAGAQAADwAAAAAAAAABACAAAAAiAAAA&#10;ZHJzL2Rvd25yZXYueG1sUEsBAhQAFAAAAAgAh07iQDsRkWGYAQAASgMAAA4AAAAAAAAAAQAgAAAA&#10;JAEAAGRycy9lMm9Eb2MueG1sUEsFBgAAAAAGAAYAWQEAAC4FA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494665</wp:posOffset>
                </wp:positionV>
                <wp:extent cx="2747010" cy="0"/>
                <wp:effectExtent l="0" t="0" r="0" b="0"/>
                <wp:wrapNone/>
                <wp:docPr id="8" name="Shape 8"/>
                <wp:cNvGraphicFramePr/>
                <a:graphic xmlns:a="http://schemas.openxmlformats.org/drawingml/2006/main">
                  <a:graphicData uri="http://schemas.microsoft.com/office/word/2010/wordprocessingShape">
                    <wps:wsp>
                      <wps:cNvCnPr/>
                      <wps:spPr>
                        <a:xfrm>
                          <a:off x="0" y="0"/>
                          <a:ext cx="2747010" cy="4763"/>
                        </a:xfrm>
                        <a:prstGeom prst="line">
                          <a:avLst/>
                        </a:prstGeom>
                        <a:solidFill>
                          <a:srgbClr val="FFFFFF"/>
                        </a:solidFill>
                        <a:ln w="634">
                          <a:solidFill>
                            <a:srgbClr val="AD002D"/>
                          </a:solidFill>
                          <a:miter lim="800000"/>
                        </a:ln>
                      </wps:spPr>
                      <wps:bodyPr/>
                    </wps:wsp>
                  </a:graphicData>
                </a:graphic>
              </wp:anchor>
            </w:drawing>
          </mc:Choice>
          <mc:Fallback>
            <w:pict>
              <v:line id="Shape 8" o:spid="_x0000_s1026" o:spt="20" style="position:absolute;left:0pt;margin-left:0pt;margin-top:38.95pt;height:0pt;width:216.3pt;mso-position-horizontal-relative:page;mso-position-vertical-relative:page;z-index:-251658240;mso-width-relative:page;mso-height-relative:page;" fillcolor="#FFFFFF" filled="t" stroked="t" coordsize="21600,21600" o:allowincell="f" o:gfxdata="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bQozLVAAAABgEAAA8AAAAAAAAAAQAgAAAAIgAA&#10;AGRycy9kb3ducmV2LnhtbFBLAQIUABQAAAAIAIdO4kCboyr6mQEAAEoDAAAOAAAAAAAAAAEAIAAA&#10;ACQBAABkcnMvZTJvRG9jLnhtbFBLBQYAAAAABgAGAFkBAAAvBQ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494665</wp:posOffset>
                </wp:positionV>
                <wp:extent cx="2747010" cy="0"/>
                <wp:effectExtent l="0" t="12700" r="11430" b="17780"/>
                <wp:wrapNone/>
                <wp:docPr id="9" name="Shape 9"/>
                <wp:cNvGraphicFramePr/>
                <a:graphic xmlns:a="http://schemas.openxmlformats.org/drawingml/2006/main">
                  <a:graphicData uri="http://schemas.microsoft.com/office/word/2010/wordprocessingShape">
                    <wps:wsp>
                      <wps:cNvCnPr/>
                      <wps:spPr>
                        <a:xfrm>
                          <a:off x="0" y="0"/>
                          <a:ext cx="2747010" cy="4763"/>
                        </a:xfrm>
                        <a:prstGeom prst="line">
                          <a:avLst/>
                        </a:prstGeom>
                        <a:solidFill>
                          <a:srgbClr val="FFFFFF"/>
                        </a:solidFill>
                        <a:ln w="26034">
                          <a:solidFill>
                            <a:srgbClr val="B0761F"/>
                          </a:solidFill>
                          <a:miter lim="800000"/>
                        </a:ln>
                      </wps:spPr>
                      <wps:bodyPr/>
                    </wps:wsp>
                  </a:graphicData>
                </a:graphic>
              </wp:anchor>
            </w:drawing>
          </mc:Choice>
          <mc:Fallback>
            <w:pict>
              <v:line id="Shape 9" o:spid="_x0000_s1026" o:spt="20" style="position:absolute;left:0pt;margin-left:0pt;margin-top:38.95pt;height:0pt;width:216.3pt;mso-position-horizontal-relative:page;mso-position-vertical-relative:page;z-index:-251658240;mso-width-relative:page;mso-height-relative:page;" fillcolor="#FFFFFF" filled="t" stroked="t" coordsize="21600,21600" o:allowincell="f" o:gfxdata="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IoWQ9UAAAAGAQAADwAAAAAAAAABACAAAAAi&#10;AAAAZHJzL2Rvd25yZXYueG1sUEsBAhQAFAAAAAgAh07iQDYeSm6bAQAATAMAAA4AAAAAAAAAAQAg&#10;AAAAJAEAAGRycy9lMm9Eb2MueG1sUEsFBgAAAAAGAAYAWQEAADEFAAAAAA==&#10;">
                <v:fill on="t" focussize="0,0"/>
                <v:stroke weight="2.04992125984252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2734310</wp:posOffset>
                </wp:positionH>
                <wp:positionV relativeFrom="page">
                  <wp:posOffset>494665</wp:posOffset>
                </wp:positionV>
                <wp:extent cx="25400" cy="0"/>
                <wp:effectExtent l="0" t="0" r="0" b="0"/>
                <wp:wrapNone/>
                <wp:docPr id="10" name="Shape 10"/>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10" o:spid="_x0000_s1026" o:spt="20" style="position:absolute;left:0pt;margin-left:215.3pt;margin-top:38.9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xsTj1gAAAAkBAAAPAAAAAAAAAAEAIAAAACIA&#10;AABkcnMvZG93bnJldi54bWxQSwECFAAUAAAACACHTuJA/imytpkBAABKAwAADgAAAAAAAAABACAA&#10;AAAlAQAAZHJzL2Uyb0RvYy54bWxQSwUGAAAAAAYABgBZAQAAMAUAAAAA&#10;">
                <v:fill on="t" focussize="0,0"/>
                <v:stroke weight="0.0499212598425197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-21590</wp:posOffset>
                </wp:positionH>
                <wp:positionV relativeFrom="page">
                  <wp:posOffset>494665</wp:posOffset>
                </wp:positionV>
                <wp:extent cx="25400" cy="0"/>
                <wp:effectExtent l="0" t="0" r="0" b="0"/>
                <wp:wrapNone/>
                <wp:docPr id="11" name="Shape 11"/>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11" o:spid="_x0000_s1026" o:spt="20" style="position:absolute;left:0pt;margin-left:-1.7pt;margin-top:38.9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&#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vUD9a0wAAAAUBAAAPAAAAAAAAAAEAIAAAACIAAABk&#10;cnMvZG93bnJldi54bWxQSwECFAAUAAAACACHTuJASCNBpJkBAABKAwAADgAAAAAAAAABACAAAAAi&#10;AQAAZHJzL2Uyb0RvYy54bWxQSwUGAAAAAAYABgBZAQAALQUAAAAA&#10;">
                <v:fill on="t" focussize="0,0"/>
                <v:stroke weight="0.0499212598425197pt" color="#B0761F"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2360"/>
        </w:tabs>
        <w:spacing w:after="0" w:line="390" w:lineRule="exact"/>
        <w:ind w:left="800"/>
        <w:rPr>
          <w:color w:val="auto"/>
          <w:sz w:val="20"/>
          <w:szCs w:val="20"/>
        </w:rPr>
      </w:pPr>
      <w:r>
        <w:rPr>
          <w:rFonts w:ascii="宋体" w:hAnsi="宋体" w:eastAsia="宋体" w:cs="宋体"/>
          <w:color w:val="auto"/>
          <w:sz w:val="32"/>
          <w:szCs w:val="32"/>
        </w:rPr>
        <w:t>第三部分</w:t>
      </w:r>
      <w:r>
        <w:rPr>
          <w:color w:val="auto"/>
          <w:sz w:val="20"/>
          <w:szCs w:val="20"/>
        </w:rPr>
        <w:tab/>
      </w:r>
      <w:r>
        <w:rPr>
          <w:rFonts w:ascii="宋体" w:hAnsi="宋体" w:eastAsia="宋体" w:cs="宋体"/>
          <w:color w:val="auto"/>
          <w:sz w:val="32"/>
          <w:szCs w:val="32"/>
        </w:rPr>
        <w:t>馆陶县农业农村局</w:t>
      </w:r>
      <w:r>
        <w:rPr>
          <w:rFonts w:ascii="Times New Roman" w:hAnsi="Times New Roman" w:eastAsia="Times New Roman" w:cs="Times New Roman"/>
          <w:color w:val="auto"/>
          <w:sz w:val="32"/>
          <w:szCs w:val="32"/>
        </w:rPr>
        <w:t xml:space="preserve"> 2018 </w:t>
      </w:r>
      <w:r>
        <w:rPr>
          <w:rFonts w:ascii="宋体" w:hAnsi="宋体" w:eastAsia="宋体" w:cs="宋体"/>
          <w:color w:val="auto"/>
          <w:sz w:val="32"/>
          <w:szCs w:val="32"/>
        </w:rPr>
        <w:t>年部门决算情况说明</w:t>
      </w:r>
    </w:p>
    <w:p>
      <w:pPr>
        <w:spacing w:after="0" w:line="353"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一、收入支出决算总体情况说明</w:t>
      </w:r>
    </w:p>
    <w:p>
      <w:pPr>
        <w:spacing w:after="0" w:line="374"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二、收入决算情况说明</w:t>
      </w:r>
    </w:p>
    <w:p>
      <w:pPr>
        <w:spacing w:after="0" w:line="375"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三、支出决算情况说明</w:t>
      </w:r>
    </w:p>
    <w:p>
      <w:pPr>
        <w:spacing w:after="0" w:line="377"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四、财政拨款收入支出决算情况说明</w:t>
      </w:r>
    </w:p>
    <w:p>
      <w:pPr>
        <w:spacing w:after="0" w:line="386" w:lineRule="exact"/>
        <w:rPr>
          <w:color w:val="auto"/>
          <w:sz w:val="20"/>
          <w:szCs w:val="20"/>
        </w:rPr>
      </w:pPr>
    </w:p>
    <w:p>
      <w:pPr>
        <w:spacing w:after="0" w:line="378" w:lineRule="exact"/>
        <w:ind w:left="800"/>
        <w:rPr>
          <w:color w:val="auto"/>
          <w:sz w:val="20"/>
          <w:szCs w:val="20"/>
        </w:rPr>
      </w:pPr>
      <w:r>
        <w:rPr>
          <w:rFonts w:ascii="宋体" w:hAnsi="宋体" w:eastAsia="宋体" w:cs="宋体"/>
          <w:color w:val="auto"/>
          <w:sz w:val="31"/>
          <w:szCs w:val="31"/>
        </w:rPr>
        <w:t>五、一般公共预算财政拨款</w:t>
      </w:r>
      <w:r>
        <w:rPr>
          <w:rFonts w:ascii="Times New Roman" w:hAnsi="Times New Roman" w:eastAsia="Times New Roman" w:cs="Times New Roman"/>
          <w:color w:val="auto"/>
          <w:sz w:val="31"/>
          <w:szCs w:val="31"/>
        </w:rPr>
        <w:t>“</w:t>
      </w:r>
      <w:r>
        <w:rPr>
          <w:rFonts w:ascii="宋体" w:hAnsi="宋体" w:eastAsia="宋体" w:cs="宋体"/>
          <w:color w:val="auto"/>
          <w:sz w:val="31"/>
          <w:szCs w:val="31"/>
        </w:rPr>
        <w:t>三公</w:t>
      </w:r>
      <w:r>
        <w:rPr>
          <w:rFonts w:ascii="Times New Roman" w:hAnsi="Times New Roman" w:eastAsia="Times New Roman" w:cs="Times New Roman"/>
          <w:color w:val="auto"/>
          <w:sz w:val="31"/>
          <w:szCs w:val="31"/>
        </w:rPr>
        <w:t>”</w:t>
      </w:r>
      <w:r>
        <w:rPr>
          <w:rFonts w:ascii="宋体" w:hAnsi="宋体" w:eastAsia="宋体" w:cs="宋体"/>
          <w:color w:val="auto"/>
          <w:sz w:val="31"/>
          <w:szCs w:val="31"/>
        </w:rPr>
        <w:t>经费支出决算情况说明</w:t>
      </w:r>
    </w:p>
    <w:p>
      <w:pPr>
        <w:spacing w:after="0" w:line="350"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六、预算绩效情况说明</w:t>
      </w:r>
    </w:p>
    <w:p>
      <w:pPr>
        <w:spacing w:after="0" w:line="377"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七、其他重要事项的说明</w:t>
      </w:r>
    </w:p>
    <w:p>
      <w:pPr>
        <w:spacing w:after="0" w:line="375" w:lineRule="exact"/>
        <w:rPr>
          <w:color w:val="auto"/>
          <w:sz w:val="20"/>
          <w:szCs w:val="20"/>
        </w:rPr>
      </w:pPr>
    </w:p>
    <w:p>
      <w:pPr>
        <w:tabs>
          <w:tab w:val="left" w:pos="2360"/>
        </w:tabs>
        <w:spacing w:after="0" w:line="366" w:lineRule="exact"/>
        <w:ind w:left="800"/>
        <w:rPr>
          <w:color w:val="auto"/>
          <w:sz w:val="20"/>
          <w:szCs w:val="20"/>
        </w:rPr>
      </w:pPr>
      <w:r>
        <w:rPr>
          <w:rFonts w:ascii="宋体" w:hAnsi="宋体" w:eastAsia="宋体" w:cs="宋体"/>
          <w:color w:val="auto"/>
          <w:sz w:val="32"/>
          <w:szCs w:val="32"/>
        </w:rPr>
        <w:t>第四部分</w:t>
      </w:r>
      <w:r>
        <w:rPr>
          <w:rFonts w:ascii="宋体" w:hAnsi="宋体" w:eastAsia="宋体" w:cs="宋体"/>
          <w:color w:val="auto"/>
          <w:sz w:val="32"/>
          <w:szCs w:val="32"/>
        </w:rPr>
        <w:tab/>
      </w:r>
      <w:r>
        <w:rPr>
          <w:rFonts w:ascii="宋体" w:hAnsi="宋体" w:eastAsia="宋体" w:cs="宋体"/>
          <w:color w:val="auto"/>
          <w:sz w:val="32"/>
          <w:szCs w:val="32"/>
        </w:rPr>
        <w:t>名词解释</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 w:name="page4"/>
      <w:bookmarkEnd w:id="3"/>
      <w:r>
        <w:rPr>
          <w:color w:val="auto"/>
          <w:sz w:val="20"/>
          <w:szCs w:val="20"/>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60310" cy="10692130"/>
            <wp:effectExtent l="0" t="0" r="1397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7560310" cy="106921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tabs>
          <w:tab w:val="left" w:pos="4800"/>
        </w:tabs>
        <w:spacing w:after="0" w:line="1096" w:lineRule="exact"/>
        <w:ind w:left="20"/>
        <w:rPr>
          <w:color w:val="auto"/>
          <w:sz w:val="20"/>
          <w:szCs w:val="20"/>
        </w:rPr>
      </w:pPr>
      <w:r>
        <w:rPr>
          <w:rFonts w:ascii="宋体" w:hAnsi="宋体" w:eastAsia="宋体" w:cs="宋体"/>
          <w:color w:val="FDEFBE"/>
          <w:sz w:val="96"/>
          <w:szCs w:val="96"/>
        </w:rPr>
        <w:t>第一部分</w:t>
      </w:r>
      <w:r>
        <w:rPr>
          <w:color w:val="auto"/>
          <w:sz w:val="20"/>
          <w:szCs w:val="20"/>
        </w:rPr>
        <w:tab/>
      </w:r>
      <w:r>
        <w:rPr>
          <w:rFonts w:ascii="宋体" w:hAnsi="宋体" w:eastAsia="宋体" w:cs="宋体"/>
          <w:color w:val="FDEFBE"/>
          <w:sz w:val="95"/>
          <w:szCs w:val="95"/>
        </w:rPr>
        <w:t>部门概况</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 w:name="page5"/>
      <w:bookmarkEnd w:id="4"/>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22" w:lineRule="exact"/>
        <w:ind w:left="140" w:firstLine="641"/>
        <w:rPr>
          <w:color w:val="auto"/>
          <w:sz w:val="20"/>
          <w:szCs w:val="20"/>
        </w:rPr>
      </w:pPr>
      <w:r>
        <w:rPr>
          <w:rFonts w:ascii="宋体" w:hAnsi="宋体" w:eastAsia="宋体" w:cs="宋体"/>
          <w:color w:val="auto"/>
          <w:sz w:val="32"/>
          <w:szCs w:val="32"/>
        </w:rPr>
        <w:t>第一条根据《中共邯郸市委办公厅邯郸市人民政府办公厅关于印发</w:t>
      </w:r>
      <w:r>
        <w:rPr>
          <w:rFonts w:ascii="仿宋" w:hAnsi="仿宋" w:eastAsia="仿宋" w:cs="仿宋"/>
          <w:color w:val="auto"/>
          <w:sz w:val="32"/>
          <w:szCs w:val="32"/>
        </w:rPr>
        <w:t>&lt;</w:t>
      </w:r>
      <w:r>
        <w:rPr>
          <w:rFonts w:ascii="宋体" w:hAnsi="宋体" w:eastAsia="宋体" w:cs="宋体"/>
          <w:color w:val="auto"/>
          <w:sz w:val="32"/>
          <w:szCs w:val="32"/>
        </w:rPr>
        <w:t>馆陶县机构改革方案</w:t>
      </w:r>
      <w:r>
        <w:rPr>
          <w:rFonts w:ascii="仿宋" w:hAnsi="仿宋" w:eastAsia="仿宋" w:cs="仿宋"/>
          <w:color w:val="auto"/>
          <w:sz w:val="32"/>
          <w:szCs w:val="32"/>
        </w:rPr>
        <w:t>&gt;</w:t>
      </w:r>
      <w:r>
        <w:rPr>
          <w:rFonts w:ascii="宋体" w:hAnsi="宋体" w:eastAsia="宋体" w:cs="宋体"/>
          <w:color w:val="auto"/>
          <w:sz w:val="32"/>
          <w:szCs w:val="32"/>
        </w:rPr>
        <w:t>的通知》（邯办文〔</w:t>
      </w:r>
      <w:r>
        <w:rPr>
          <w:rFonts w:ascii="仿宋" w:hAnsi="仿宋" w:eastAsia="仿宋" w:cs="仿宋"/>
          <w:color w:val="auto"/>
          <w:sz w:val="32"/>
          <w:szCs w:val="32"/>
        </w:rPr>
        <w:t>2019</w:t>
      </w:r>
      <w:r>
        <w:rPr>
          <w:rFonts w:ascii="宋体" w:hAnsi="宋体" w:eastAsia="宋体" w:cs="宋体"/>
          <w:color w:val="auto"/>
          <w:sz w:val="32"/>
          <w:szCs w:val="32"/>
        </w:rPr>
        <w:t>〕</w:t>
      </w:r>
      <w:r>
        <w:rPr>
          <w:rFonts w:ascii="仿宋" w:hAnsi="仿宋" w:eastAsia="仿宋" w:cs="仿宋"/>
          <w:color w:val="auto"/>
          <w:sz w:val="32"/>
          <w:szCs w:val="32"/>
        </w:rPr>
        <w:t>5</w:t>
      </w:r>
      <w:r>
        <w:rPr>
          <w:rFonts w:ascii="宋体" w:hAnsi="宋体" w:eastAsia="宋体" w:cs="宋体"/>
          <w:color w:val="auto"/>
          <w:sz w:val="32"/>
          <w:szCs w:val="32"/>
        </w:rPr>
        <w:t xml:space="preserve"> 号），制定本规定。</w:t>
      </w:r>
    </w:p>
    <w:p>
      <w:pPr>
        <w:spacing w:after="0" w:line="200" w:lineRule="exact"/>
        <w:rPr>
          <w:color w:val="auto"/>
          <w:sz w:val="20"/>
          <w:szCs w:val="20"/>
        </w:rPr>
      </w:pPr>
    </w:p>
    <w:p>
      <w:pPr>
        <w:spacing w:after="0" w:line="268" w:lineRule="exact"/>
        <w:rPr>
          <w:color w:val="auto"/>
          <w:sz w:val="20"/>
          <w:szCs w:val="20"/>
        </w:rPr>
      </w:pPr>
    </w:p>
    <w:p>
      <w:pPr>
        <w:spacing w:after="0" w:line="470" w:lineRule="exact"/>
        <w:ind w:left="140" w:right="160" w:firstLine="641"/>
        <w:jc w:val="both"/>
        <w:rPr>
          <w:color w:val="auto"/>
          <w:sz w:val="20"/>
          <w:szCs w:val="20"/>
        </w:rPr>
      </w:pPr>
      <w:r>
        <w:rPr>
          <w:rFonts w:ascii="宋体" w:hAnsi="宋体" w:eastAsia="宋体" w:cs="宋体"/>
          <w:color w:val="auto"/>
          <w:sz w:val="32"/>
          <w:szCs w:val="32"/>
        </w:rPr>
        <w:t>第二条馆陶县农业农村局（简称县农业农村局）为县政府工作部门，机构规格正科级。</w:t>
      </w:r>
    </w:p>
    <w:p>
      <w:pPr>
        <w:spacing w:after="0" w:line="200" w:lineRule="exact"/>
        <w:rPr>
          <w:color w:val="auto"/>
          <w:sz w:val="20"/>
          <w:szCs w:val="20"/>
        </w:rPr>
      </w:pPr>
    </w:p>
    <w:p>
      <w:pPr>
        <w:spacing w:after="0" w:line="267" w:lineRule="exact"/>
        <w:rPr>
          <w:color w:val="auto"/>
          <w:sz w:val="20"/>
          <w:szCs w:val="20"/>
        </w:rPr>
      </w:pPr>
    </w:p>
    <w:p>
      <w:pPr>
        <w:spacing w:after="0" w:line="598" w:lineRule="exact"/>
        <w:ind w:left="140" w:right="160" w:firstLine="641"/>
        <w:jc w:val="both"/>
        <w:rPr>
          <w:color w:val="auto"/>
          <w:sz w:val="20"/>
          <w:szCs w:val="20"/>
        </w:rPr>
      </w:pPr>
      <w:r>
        <w:rPr>
          <w:rFonts w:ascii="宋体" w:hAnsi="宋体" w:eastAsia="宋体" w:cs="宋体"/>
          <w:color w:val="auto"/>
          <w:sz w:val="32"/>
          <w:szCs w:val="32"/>
        </w:rPr>
        <w:t>第三条中共馆陶县委农村工作领导小组办公室（以下简称县委农办）设在县农业农村局，接受中共馆陶县委农村工作领导小组（简称县委农村工作领导小组）的直接领导，承担县委农村工作领导小组具体工作，组织研究推动全县</w:t>
      </w:r>
      <w:r>
        <w:rPr>
          <w:rFonts w:ascii="Arial" w:hAnsi="Arial" w:eastAsia="Arial" w:cs="Arial"/>
          <w:color w:val="auto"/>
          <w:sz w:val="32"/>
          <w:szCs w:val="32"/>
        </w:rPr>
        <w:t>“</w:t>
      </w:r>
      <w:r>
        <w:rPr>
          <w:rFonts w:ascii="宋体" w:hAnsi="宋体" w:eastAsia="宋体" w:cs="宋体"/>
          <w:color w:val="auto"/>
          <w:sz w:val="32"/>
          <w:szCs w:val="32"/>
        </w:rPr>
        <w:t>三农</w:t>
      </w:r>
      <w:r>
        <w:rPr>
          <w:rFonts w:ascii="Arial" w:hAnsi="Arial" w:eastAsia="Arial" w:cs="Arial"/>
          <w:color w:val="auto"/>
          <w:sz w:val="32"/>
          <w:szCs w:val="32"/>
        </w:rPr>
        <w:t>”</w:t>
      </w:r>
      <w:r>
        <w:rPr>
          <w:rFonts w:ascii="宋体" w:hAnsi="宋体" w:eastAsia="宋体" w:cs="宋体"/>
          <w:color w:val="auto"/>
          <w:sz w:val="32"/>
          <w:szCs w:val="32"/>
        </w:rPr>
        <w:t>工作的重大政策措施，统筹协调有关方面推进乡村振兴战略的实施，协调督促有关方面落实县委农村工作领导小组决定事项、工作部署和要求等。设置县委农办秘书科，负责处理县委农办日常事务，负责县委、县政府</w:t>
      </w:r>
      <w:r>
        <w:rPr>
          <w:rFonts w:ascii="Arial" w:hAnsi="Arial" w:eastAsia="Arial" w:cs="Arial"/>
          <w:color w:val="auto"/>
          <w:sz w:val="32"/>
          <w:szCs w:val="32"/>
        </w:rPr>
        <w:t>“</w:t>
      </w:r>
      <w:r>
        <w:rPr>
          <w:rFonts w:ascii="宋体" w:hAnsi="宋体" w:eastAsia="宋体" w:cs="宋体"/>
          <w:color w:val="auto"/>
          <w:sz w:val="32"/>
          <w:szCs w:val="32"/>
        </w:rPr>
        <w:t>三农</w:t>
      </w:r>
      <w:r>
        <w:rPr>
          <w:rFonts w:ascii="Arial" w:hAnsi="Arial" w:eastAsia="Arial" w:cs="Arial"/>
          <w:color w:val="auto"/>
          <w:sz w:val="32"/>
          <w:szCs w:val="32"/>
        </w:rPr>
        <w:t>”</w:t>
      </w:r>
      <w:r>
        <w:rPr>
          <w:rFonts w:ascii="宋体" w:hAnsi="宋体" w:eastAsia="宋体" w:cs="宋体"/>
          <w:color w:val="auto"/>
          <w:sz w:val="32"/>
          <w:szCs w:val="32"/>
        </w:rPr>
        <w:t>工作重要文件、文稿的起草。负责乡村振兴实施方案制定，统筹督导推进乡村振兴各项工作。负责县委、县政府乡村振兴工作领导小组办公室日常工作。县农业农村局的内设机构根据工作需要承担县委农办相关工作，接受县委农办的统筹协调。</w:t>
      </w:r>
    </w:p>
    <w:p>
      <w:pPr>
        <w:spacing w:after="0" w:line="200" w:lineRule="exact"/>
        <w:rPr>
          <w:color w:val="auto"/>
          <w:sz w:val="20"/>
          <w:szCs w:val="20"/>
        </w:rPr>
      </w:pPr>
    </w:p>
    <w:p>
      <w:pPr>
        <w:spacing w:after="0" w:line="277" w:lineRule="exact"/>
        <w:rPr>
          <w:color w:val="auto"/>
          <w:sz w:val="20"/>
          <w:szCs w:val="20"/>
        </w:rPr>
      </w:pPr>
    </w:p>
    <w:p>
      <w:pPr>
        <w:spacing w:after="0" w:line="471" w:lineRule="exact"/>
        <w:ind w:left="140" w:right="160" w:firstLine="641"/>
        <w:jc w:val="both"/>
        <w:rPr>
          <w:color w:val="auto"/>
          <w:sz w:val="20"/>
          <w:szCs w:val="20"/>
        </w:rPr>
      </w:pPr>
      <w:r>
        <w:rPr>
          <w:rFonts w:ascii="宋体" w:hAnsi="宋体" w:eastAsia="宋体" w:cs="宋体"/>
          <w:color w:val="auto"/>
          <w:sz w:val="32"/>
          <w:szCs w:val="32"/>
        </w:rPr>
        <w:t>第四条贯彻落实党中央、省委和市委、县委关于</w:t>
      </w:r>
      <w:r>
        <w:rPr>
          <w:rFonts w:ascii="Arial" w:hAnsi="Arial" w:eastAsia="Arial" w:cs="Arial"/>
          <w:color w:val="auto"/>
          <w:sz w:val="32"/>
          <w:szCs w:val="32"/>
        </w:rPr>
        <w:t>“</w:t>
      </w:r>
      <w:r>
        <w:rPr>
          <w:rFonts w:ascii="宋体" w:hAnsi="宋体" w:eastAsia="宋体" w:cs="宋体"/>
          <w:color w:val="auto"/>
          <w:sz w:val="32"/>
          <w:szCs w:val="32"/>
        </w:rPr>
        <w:t>三农</w:t>
      </w:r>
      <w:r>
        <w:rPr>
          <w:rFonts w:ascii="Arial" w:hAnsi="Arial" w:eastAsia="Arial" w:cs="Arial"/>
          <w:color w:val="auto"/>
          <w:sz w:val="32"/>
          <w:szCs w:val="32"/>
        </w:rPr>
        <w:t>”</w:t>
      </w:r>
      <w:r>
        <w:rPr>
          <w:rFonts w:ascii="宋体" w:hAnsi="宋体" w:eastAsia="宋体" w:cs="宋体"/>
          <w:color w:val="auto"/>
          <w:sz w:val="32"/>
          <w:szCs w:val="32"/>
        </w:rPr>
        <w:t>工作的方针政策和决策部署，坚持和加强党对</w:t>
      </w:r>
      <w:r>
        <w:rPr>
          <w:rFonts w:ascii="Arial" w:hAnsi="Arial" w:eastAsia="Arial" w:cs="Arial"/>
          <w:color w:val="auto"/>
          <w:sz w:val="32"/>
          <w:szCs w:val="32"/>
        </w:rPr>
        <w:t>“</w:t>
      </w:r>
      <w:r>
        <w:rPr>
          <w:rFonts w:ascii="宋体" w:hAnsi="宋体" w:eastAsia="宋体" w:cs="宋体"/>
          <w:color w:val="auto"/>
          <w:sz w:val="32"/>
          <w:szCs w:val="32"/>
        </w:rPr>
        <w:t>三农</w:t>
      </w:r>
      <w:r>
        <w:rPr>
          <w:rFonts w:ascii="Arial" w:hAnsi="Arial" w:eastAsia="Arial" w:cs="Arial"/>
          <w:color w:val="auto"/>
          <w:sz w:val="32"/>
          <w:szCs w:val="32"/>
        </w:rPr>
        <w:t>”</w:t>
      </w:r>
      <w:r>
        <w:rPr>
          <w:rFonts w:ascii="宋体" w:hAnsi="宋体" w:eastAsia="宋体" w:cs="宋体"/>
          <w:color w:val="auto"/>
          <w:sz w:val="32"/>
          <w:szCs w:val="32"/>
        </w:rPr>
        <w:t>工作的集中</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5" w:name="page6"/>
      <w:bookmarkEnd w:id="5"/>
    </w:p>
    <w:p>
      <w:pPr>
        <w:spacing w:after="0" w:line="200" w:lineRule="exact"/>
        <w:rPr>
          <w:color w:val="auto"/>
          <w:sz w:val="20"/>
          <w:szCs w:val="20"/>
        </w:rPr>
      </w:pPr>
    </w:p>
    <w:p>
      <w:pPr>
        <w:spacing w:after="0" w:line="362"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统一领导。主要职责是：</w:t>
      </w:r>
    </w:p>
    <w:p>
      <w:pPr>
        <w:spacing w:after="0" w:line="200" w:lineRule="exact"/>
        <w:rPr>
          <w:color w:val="auto"/>
          <w:sz w:val="20"/>
          <w:szCs w:val="20"/>
        </w:rPr>
      </w:pPr>
    </w:p>
    <w:p>
      <w:pPr>
        <w:spacing w:after="0" w:line="268" w:lineRule="exact"/>
        <w:rPr>
          <w:color w:val="auto"/>
          <w:sz w:val="20"/>
          <w:szCs w:val="20"/>
        </w:rPr>
      </w:pPr>
    </w:p>
    <w:p>
      <w:pPr>
        <w:spacing w:after="0" w:line="522" w:lineRule="exact"/>
        <w:ind w:left="140" w:right="60" w:firstLine="641"/>
        <w:jc w:val="both"/>
        <w:rPr>
          <w:color w:val="auto"/>
          <w:sz w:val="20"/>
          <w:szCs w:val="20"/>
        </w:rPr>
      </w:pPr>
      <w:r>
        <w:rPr>
          <w:rFonts w:ascii="宋体" w:hAnsi="宋体" w:eastAsia="宋体" w:cs="宋体"/>
          <w:color w:val="auto"/>
          <w:sz w:val="32"/>
          <w:szCs w:val="32"/>
        </w:rPr>
        <w:t>（一）统筹研究和组织实施全县</w:t>
      </w:r>
      <w:r>
        <w:rPr>
          <w:rFonts w:ascii="Arial" w:hAnsi="Arial" w:eastAsia="Arial" w:cs="Arial"/>
          <w:color w:val="auto"/>
          <w:sz w:val="32"/>
          <w:szCs w:val="32"/>
        </w:rPr>
        <w:t>“</w:t>
      </w:r>
      <w:r>
        <w:rPr>
          <w:rFonts w:ascii="宋体" w:hAnsi="宋体" w:eastAsia="宋体" w:cs="宋体"/>
          <w:color w:val="auto"/>
          <w:sz w:val="32"/>
          <w:szCs w:val="32"/>
        </w:rPr>
        <w:t>三农</w:t>
      </w:r>
      <w:r>
        <w:rPr>
          <w:rFonts w:ascii="Arial" w:hAnsi="Arial" w:eastAsia="Arial" w:cs="Arial"/>
          <w:color w:val="auto"/>
          <w:sz w:val="32"/>
          <w:szCs w:val="32"/>
        </w:rPr>
        <w:t>”</w:t>
      </w:r>
      <w:r>
        <w:rPr>
          <w:rFonts w:ascii="宋体" w:hAnsi="宋体" w:eastAsia="宋体" w:cs="宋体"/>
          <w:color w:val="auto"/>
          <w:sz w:val="32"/>
          <w:szCs w:val="32"/>
        </w:rPr>
        <w:t>工作的发展战略、中长期规划、重大政策。指导全县农业综合执法。参与涉农的财税、价格、收储、金融保险、进出口等政策制定。</w:t>
      </w:r>
    </w:p>
    <w:p>
      <w:pPr>
        <w:spacing w:after="0" w:line="200" w:lineRule="exact"/>
        <w:rPr>
          <w:color w:val="auto"/>
          <w:sz w:val="20"/>
          <w:szCs w:val="20"/>
        </w:rPr>
      </w:pPr>
    </w:p>
    <w:p>
      <w:pPr>
        <w:spacing w:after="0" w:line="265" w:lineRule="exact"/>
        <w:rPr>
          <w:color w:val="auto"/>
          <w:sz w:val="20"/>
          <w:szCs w:val="20"/>
        </w:rPr>
      </w:pPr>
    </w:p>
    <w:p>
      <w:pPr>
        <w:spacing w:after="0" w:line="546" w:lineRule="exact"/>
        <w:ind w:left="140" w:firstLine="641"/>
        <w:rPr>
          <w:color w:val="auto"/>
          <w:sz w:val="20"/>
          <w:szCs w:val="20"/>
        </w:rPr>
      </w:pPr>
      <w:r>
        <w:rPr>
          <w:rFonts w:ascii="宋体" w:hAnsi="宋体" w:eastAsia="宋体" w:cs="宋体"/>
          <w:color w:val="auto"/>
          <w:sz w:val="32"/>
          <w:szCs w:val="32"/>
        </w:rPr>
        <w:t>（二）协调推动发展全县农村社会事业、农村公共服务、农村文化、农村基础设施和乡村治理。牵头组织改善农村人居环境。协调推进乡村文明和优秀农耕文化建设。指导农业行业安全生产工作。</w:t>
      </w:r>
    </w:p>
    <w:p>
      <w:pPr>
        <w:spacing w:after="0" w:line="200" w:lineRule="exact"/>
        <w:rPr>
          <w:color w:val="auto"/>
          <w:sz w:val="20"/>
          <w:szCs w:val="20"/>
        </w:rPr>
      </w:pPr>
    </w:p>
    <w:p>
      <w:pPr>
        <w:spacing w:after="0" w:line="273" w:lineRule="exact"/>
        <w:rPr>
          <w:color w:val="auto"/>
          <w:sz w:val="20"/>
          <w:szCs w:val="20"/>
        </w:rPr>
      </w:pPr>
    </w:p>
    <w:p>
      <w:pPr>
        <w:spacing w:after="0" w:line="563" w:lineRule="exact"/>
        <w:ind w:left="140" w:right="160" w:firstLine="641"/>
        <w:jc w:val="both"/>
        <w:rPr>
          <w:color w:val="auto"/>
          <w:sz w:val="20"/>
          <w:szCs w:val="20"/>
        </w:rPr>
      </w:pPr>
      <w:r>
        <w:rPr>
          <w:rFonts w:ascii="宋体" w:hAnsi="宋体" w:eastAsia="宋体" w:cs="宋体"/>
          <w:color w:val="auto"/>
          <w:sz w:val="32"/>
          <w:szCs w:val="32"/>
        </w:rP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after="0" w:line="200" w:lineRule="exact"/>
        <w:rPr>
          <w:color w:val="auto"/>
          <w:sz w:val="20"/>
          <w:szCs w:val="20"/>
        </w:rPr>
      </w:pPr>
    </w:p>
    <w:p>
      <w:pPr>
        <w:spacing w:after="0" w:line="268" w:lineRule="exact"/>
        <w:rPr>
          <w:color w:val="auto"/>
          <w:sz w:val="20"/>
          <w:szCs w:val="20"/>
        </w:rPr>
      </w:pPr>
    </w:p>
    <w:p>
      <w:pPr>
        <w:spacing w:after="0" w:line="546" w:lineRule="exact"/>
        <w:ind w:left="140" w:right="160" w:firstLine="641"/>
        <w:jc w:val="both"/>
        <w:rPr>
          <w:color w:val="auto"/>
          <w:sz w:val="20"/>
          <w:szCs w:val="20"/>
        </w:rPr>
      </w:pPr>
      <w:r>
        <w:rPr>
          <w:rFonts w:ascii="宋体" w:hAnsi="宋体" w:eastAsia="宋体" w:cs="宋体"/>
          <w:color w:val="auto"/>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spacing w:after="0" w:line="200" w:lineRule="exact"/>
        <w:rPr>
          <w:color w:val="auto"/>
          <w:sz w:val="20"/>
          <w:szCs w:val="20"/>
        </w:rPr>
      </w:pPr>
    </w:p>
    <w:p>
      <w:pPr>
        <w:spacing w:after="0" w:line="271" w:lineRule="exact"/>
        <w:rPr>
          <w:color w:val="auto"/>
          <w:sz w:val="20"/>
          <w:szCs w:val="20"/>
        </w:rPr>
      </w:pPr>
    </w:p>
    <w:p>
      <w:pPr>
        <w:spacing w:after="0" w:line="470" w:lineRule="exact"/>
        <w:ind w:left="140" w:right="60" w:firstLine="641"/>
        <w:rPr>
          <w:color w:val="auto"/>
          <w:sz w:val="20"/>
          <w:szCs w:val="20"/>
        </w:rPr>
      </w:pPr>
      <w:r>
        <w:rPr>
          <w:rFonts w:ascii="宋体" w:hAnsi="宋体" w:eastAsia="宋体" w:cs="宋体"/>
          <w:color w:val="auto"/>
          <w:sz w:val="31"/>
          <w:szCs w:val="31"/>
        </w:rPr>
        <w:t>（五）负责全县种植业、畜牧业、渔业、农业机械化等农业各产业的监督管理。指导粮、棉、油、菜、水果、肉、蛋、奶、</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6" w:name="page7"/>
      <w:bookmarkEnd w:id="6"/>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22" w:lineRule="exact"/>
        <w:ind w:left="140"/>
        <w:jc w:val="both"/>
        <w:rPr>
          <w:color w:val="auto"/>
          <w:sz w:val="20"/>
          <w:szCs w:val="20"/>
        </w:rPr>
      </w:pPr>
      <w:r>
        <w:rPr>
          <w:rFonts w:ascii="宋体" w:hAnsi="宋体" w:eastAsia="宋体" w:cs="宋体"/>
          <w:color w:val="auto"/>
          <w:sz w:val="32"/>
          <w:szCs w:val="32"/>
        </w:rPr>
        <w:t>蜜、渔等农产品生产。组织构建现代农业产业体系、生产体系、经营体系，指导农业标准化生产。负责渔业管理和渔政渔港监督管理。</w:t>
      </w:r>
    </w:p>
    <w:p>
      <w:pPr>
        <w:spacing w:after="0" w:line="200" w:lineRule="exact"/>
        <w:rPr>
          <w:color w:val="auto"/>
          <w:sz w:val="20"/>
          <w:szCs w:val="20"/>
        </w:rPr>
      </w:pPr>
    </w:p>
    <w:p>
      <w:pPr>
        <w:spacing w:after="0" w:line="268" w:lineRule="exact"/>
        <w:rPr>
          <w:color w:val="auto"/>
          <w:sz w:val="20"/>
          <w:szCs w:val="20"/>
        </w:rPr>
      </w:pPr>
    </w:p>
    <w:p>
      <w:pPr>
        <w:spacing w:after="0" w:line="546" w:lineRule="exact"/>
        <w:ind w:left="140" w:right="100" w:firstLine="641"/>
        <w:jc w:val="both"/>
        <w:rPr>
          <w:color w:val="auto"/>
          <w:sz w:val="20"/>
          <w:szCs w:val="20"/>
        </w:rPr>
      </w:pPr>
      <w:r>
        <w:rPr>
          <w:rFonts w:ascii="宋体" w:hAnsi="宋体" w:eastAsia="宋体" w:cs="宋体"/>
          <w:color w:val="auto"/>
          <w:sz w:val="32"/>
          <w:szCs w:val="32"/>
        </w:rP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spacing w:after="0" w:line="200" w:lineRule="exact"/>
        <w:rPr>
          <w:color w:val="auto"/>
          <w:sz w:val="20"/>
          <w:szCs w:val="20"/>
        </w:rPr>
      </w:pPr>
    </w:p>
    <w:p>
      <w:pPr>
        <w:spacing w:after="0" w:line="271" w:lineRule="exact"/>
        <w:rPr>
          <w:color w:val="auto"/>
          <w:sz w:val="20"/>
          <w:szCs w:val="20"/>
        </w:rPr>
      </w:pPr>
    </w:p>
    <w:p>
      <w:pPr>
        <w:spacing w:after="0" w:line="580" w:lineRule="exact"/>
        <w:ind w:left="140" w:right="100" w:firstLine="641"/>
        <w:jc w:val="both"/>
        <w:rPr>
          <w:color w:val="auto"/>
          <w:sz w:val="20"/>
          <w:szCs w:val="20"/>
        </w:rPr>
      </w:pPr>
      <w:r>
        <w:rPr>
          <w:rFonts w:ascii="宋体" w:hAnsi="宋体" w:eastAsia="宋体" w:cs="宋体"/>
          <w:color w:val="auto"/>
          <w:sz w:val="32"/>
          <w:szCs w:val="32"/>
        </w:rP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after="0" w:line="200" w:lineRule="exact"/>
        <w:rPr>
          <w:color w:val="auto"/>
          <w:sz w:val="20"/>
          <w:szCs w:val="20"/>
        </w:rPr>
      </w:pPr>
    </w:p>
    <w:p>
      <w:pPr>
        <w:spacing w:after="0" w:line="273" w:lineRule="exact"/>
        <w:rPr>
          <w:color w:val="auto"/>
          <w:sz w:val="20"/>
          <w:szCs w:val="20"/>
        </w:rPr>
      </w:pPr>
    </w:p>
    <w:p>
      <w:pPr>
        <w:spacing w:after="0" w:line="547" w:lineRule="exact"/>
        <w:ind w:left="140" w:firstLine="641"/>
        <w:jc w:val="both"/>
        <w:rPr>
          <w:color w:val="auto"/>
          <w:sz w:val="20"/>
          <w:szCs w:val="20"/>
        </w:rPr>
      </w:pPr>
      <w:r>
        <w:rPr>
          <w:rFonts w:ascii="宋体" w:hAnsi="宋体" w:eastAsia="宋体" w:cs="宋体"/>
          <w:color w:val="auto"/>
          <w:sz w:val="31"/>
          <w:szCs w:val="31"/>
        </w:rP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spacing w:after="0" w:line="200" w:lineRule="exact"/>
        <w:rPr>
          <w:color w:val="auto"/>
          <w:sz w:val="20"/>
          <w:szCs w:val="20"/>
        </w:rPr>
      </w:pPr>
    </w:p>
    <w:p>
      <w:pPr>
        <w:spacing w:after="0" w:line="235" w:lineRule="exact"/>
        <w:rPr>
          <w:color w:val="auto"/>
          <w:sz w:val="20"/>
          <w:szCs w:val="20"/>
        </w:rPr>
      </w:pPr>
    </w:p>
    <w:p>
      <w:pPr>
        <w:spacing w:after="0" w:line="354" w:lineRule="exact"/>
        <w:ind w:left="800"/>
        <w:rPr>
          <w:color w:val="auto"/>
          <w:sz w:val="20"/>
          <w:szCs w:val="20"/>
        </w:rPr>
      </w:pPr>
      <w:r>
        <w:rPr>
          <w:rFonts w:ascii="宋体" w:hAnsi="宋体" w:eastAsia="宋体" w:cs="宋体"/>
          <w:color w:val="auto"/>
          <w:sz w:val="31"/>
          <w:szCs w:val="31"/>
        </w:rPr>
        <w:t>（九）承担农业防灾减灾、农作物重大病虫害预测预报及防</w:t>
      </w:r>
    </w:p>
    <w:p>
      <w:pPr>
        <w:sectPr>
          <w:pgSz w:w="11900" w:h="16838"/>
          <w:pgMar w:top="1440" w:right="1366" w:bottom="1440" w:left="1440" w:header="0" w:footer="0" w:gutter="0"/>
          <w:cols w:equalWidth="0" w:num="1">
            <w:col w:w="9100"/>
          </w:cols>
        </w:sectPr>
      </w:pPr>
    </w:p>
    <w:p>
      <w:pPr>
        <w:spacing w:after="0" w:line="200" w:lineRule="exact"/>
        <w:rPr>
          <w:color w:val="auto"/>
          <w:sz w:val="20"/>
          <w:szCs w:val="20"/>
        </w:rPr>
      </w:pPr>
      <w:bookmarkStart w:id="7" w:name="page8"/>
      <w:bookmarkEnd w:id="7"/>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0" w:lineRule="exact"/>
        <w:ind w:left="140" w:right="120"/>
        <w:jc w:val="both"/>
        <w:rPr>
          <w:color w:val="auto"/>
          <w:sz w:val="20"/>
          <w:szCs w:val="20"/>
        </w:rPr>
      </w:pPr>
      <w:r>
        <w:rPr>
          <w:rFonts w:ascii="宋体" w:hAnsi="宋体" w:eastAsia="宋体" w:cs="宋体"/>
          <w:color w:val="auto"/>
          <w:sz w:val="32"/>
          <w:szCs w:val="32"/>
        </w:rPr>
        <w:t>治工作。指导动植物防疫检疫体系建设；组织、监督县内动植物防疫检疫工作，依法发布疫情并组织扑灭。</w:t>
      </w:r>
    </w:p>
    <w:p>
      <w:pPr>
        <w:spacing w:after="0" w:line="200" w:lineRule="exact"/>
        <w:rPr>
          <w:color w:val="auto"/>
          <w:sz w:val="20"/>
          <w:szCs w:val="20"/>
        </w:rPr>
      </w:pPr>
    </w:p>
    <w:p>
      <w:pPr>
        <w:spacing w:after="0" w:line="269" w:lineRule="exact"/>
        <w:rPr>
          <w:color w:val="auto"/>
          <w:sz w:val="20"/>
          <w:szCs w:val="20"/>
        </w:rPr>
      </w:pPr>
    </w:p>
    <w:p>
      <w:pPr>
        <w:spacing w:after="0" w:line="547" w:lineRule="exact"/>
        <w:ind w:left="140" w:right="100" w:firstLine="641"/>
        <w:jc w:val="both"/>
        <w:rPr>
          <w:color w:val="auto"/>
          <w:sz w:val="20"/>
          <w:szCs w:val="20"/>
        </w:rPr>
      </w:pPr>
      <w:r>
        <w:rPr>
          <w:rFonts w:ascii="宋体" w:hAnsi="宋体" w:eastAsia="宋体" w:cs="宋体"/>
          <w:color w:val="auto"/>
          <w:sz w:val="31"/>
          <w:szCs w:val="31"/>
        </w:rP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spacing w:after="0" w:line="200" w:lineRule="exact"/>
        <w:rPr>
          <w:color w:val="auto"/>
          <w:sz w:val="20"/>
          <w:szCs w:val="20"/>
        </w:rPr>
      </w:pPr>
    </w:p>
    <w:p>
      <w:pPr>
        <w:spacing w:after="0" w:line="269" w:lineRule="exact"/>
        <w:rPr>
          <w:color w:val="auto"/>
          <w:sz w:val="20"/>
          <w:szCs w:val="20"/>
        </w:rPr>
      </w:pPr>
    </w:p>
    <w:p>
      <w:pPr>
        <w:spacing w:after="0" w:line="547" w:lineRule="exact"/>
        <w:ind w:left="140" w:firstLine="641"/>
        <w:jc w:val="both"/>
        <w:rPr>
          <w:color w:val="auto"/>
          <w:sz w:val="20"/>
          <w:szCs w:val="20"/>
        </w:rPr>
      </w:pPr>
      <w:r>
        <w:rPr>
          <w:rFonts w:ascii="宋体" w:hAnsi="宋体" w:eastAsia="宋体" w:cs="宋体"/>
          <w:color w:val="auto"/>
          <w:sz w:val="31"/>
          <w:szCs w:val="31"/>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after="0" w:line="200" w:lineRule="exact"/>
        <w:rPr>
          <w:color w:val="auto"/>
          <w:sz w:val="20"/>
          <w:szCs w:val="20"/>
        </w:rPr>
      </w:pPr>
    </w:p>
    <w:p>
      <w:pPr>
        <w:spacing w:after="0" w:line="271" w:lineRule="exact"/>
        <w:rPr>
          <w:color w:val="auto"/>
          <w:sz w:val="20"/>
          <w:szCs w:val="20"/>
        </w:rPr>
      </w:pPr>
    </w:p>
    <w:p>
      <w:pPr>
        <w:spacing w:after="0" w:line="522" w:lineRule="exact"/>
        <w:ind w:left="140" w:firstLine="641"/>
        <w:jc w:val="both"/>
        <w:rPr>
          <w:color w:val="auto"/>
          <w:sz w:val="20"/>
          <w:szCs w:val="20"/>
        </w:rPr>
      </w:pPr>
      <w:r>
        <w:rPr>
          <w:rFonts w:ascii="宋体" w:hAnsi="宋体" w:eastAsia="宋体" w:cs="宋体"/>
          <w:color w:val="auto"/>
          <w:sz w:val="31"/>
          <w:szCs w:val="31"/>
        </w:rPr>
        <w:t>（十二）指导农业农村人才工作。拟订农业农村人才队伍建设规划并组织实施，指导农业教育和农业职业技能开发，指导新型职业农民培育、农业科技人才培养和农村实用人才培训工作。</w:t>
      </w:r>
    </w:p>
    <w:p>
      <w:pPr>
        <w:spacing w:after="0" w:line="200" w:lineRule="exact"/>
        <w:rPr>
          <w:color w:val="auto"/>
          <w:sz w:val="20"/>
          <w:szCs w:val="20"/>
        </w:rPr>
      </w:pPr>
    </w:p>
    <w:p>
      <w:pPr>
        <w:spacing w:after="0" w:line="268" w:lineRule="exact"/>
        <w:rPr>
          <w:color w:val="auto"/>
          <w:sz w:val="20"/>
          <w:szCs w:val="20"/>
        </w:rPr>
      </w:pPr>
    </w:p>
    <w:p>
      <w:pPr>
        <w:spacing w:after="0" w:line="522" w:lineRule="exact"/>
        <w:ind w:left="140" w:right="100" w:firstLine="641"/>
        <w:jc w:val="both"/>
        <w:rPr>
          <w:color w:val="auto"/>
          <w:sz w:val="20"/>
          <w:szCs w:val="20"/>
        </w:rPr>
      </w:pPr>
      <w:r>
        <w:rPr>
          <w:rFonts w:ascii="宋体" w:hAnsi="宋体" w:eastAsia="宋体" w:cs="宋体"/>
          <w:color w:val="auto"/>
          <w:sz w:val="32"/>
          <w:szCs w:val="32"/>
        </w:rPr>
        <w:t>（十三）牵头开展农业对外合作工作。承办政府间农业涉外事务，组织开展对外农业贸易和有关国际交流合作，具体执行有关农业援外项目。</w:t>
      </w:r>
    </w:p>
    <w:p>
      <w:pPr>
        <w:spacing w:after="0" w:line="200" w:lineRule="exact"/>
        <w:rPr>
          <w:color w:val="auto"/>
          <w:sz w:val="20"/>
          <w:szCs w:val="20"/>
        </w:rPr>
      </w:pPr>
    </w:p>
    <w:p>
      <w:pPr>
        <w:spacing w:after="0" w:line="266" w:lineRule="exact"/>
        <w:rPr>
          <w:color w:val="auto"/>
          <w:sz w:val="20"/>
          <w:szCs w:val="20"/>
        </w:rPr>
      </w:pPr>
    </w:p>
    <w:p>
      <w:pPr>
        <w:spacing w:after="0" w:line="470" w:lineRule="exact"/>
        <w:ind w:left="140" w:right="100" w:firstLine="641"/>
        <w:jc w:val="both"/>
        <w:rPr>
          <w:color w:val="auto"/>
          <w:sz w:val="20"/>
          <w:szCs w:val="20"/>
        </w:rPr>
      </w:pPr>
      <w:r>
        <w:rPr>
          <w:rFonts w:ascii="宋体" w:hAnsi="宋体" w:eastAsia="宋体" w:cs="宋体"/>
          <w:color w:val="auto"/>
          <w:sz w:val="32"/>
          <w:szCs w:val="32"/>
        </w:rPr>
        <w:t>（十四）完成县委、县政府和县委农村工作领导小组交办的其他任务。</w:t>
      </w:r>
    </w:p>
    <w:p>
      <w:pPr>
        <w:spacing w:after="0" w:line="200" w:lineRule="exact"/>
        <w:rPr>
          <w:color w:val="auto"/>
          <w:sz w:val="20"/>
          <w:szCs w:val="20"/>
        </w:rPr>
      </w:pPr>
    </w:p>
    <w:p>
      <w:pPr>
        <w:spacing w:after="0" w:line="221"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第五条转变职能</w:t>
      </w:r>
    </w:p>
    <w:p>
      <w:pPr>
        <w:sectPr>
          <w:pgSz w:w="11900" w:h="16838"/>
          <w:pgMar w:top="1440" w:right="1366" w:bottom="1440" w:left="1440" w:header="0" w:footer="0" w:gutter="0"/>
          <w:cols w:equalWidth="0" w:num="1">
            <w:col w:w="9100"/>
          </w:cols>
        </w:sectPr>
      </w:pPr>
    </w:p>
    <w:p>
      <w:pPr>
        <w:spacing w:after="0" w:line="200" w:lineRule="exact"/>
        <w:rPr>
          <w:color w:val="auto"/>
          <w:sz w:val="20"/>
          <w:szCs w:val="20"/>
        </w:rPr>
      </w:pPr>
      <w:bookmarkStart w:id="8" w:name="page9"/>
      <w:bookmarkEnd w:id="8"/>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22" w:lineRule="exact"/>
        <w:ind w:left="140" w:right="160" w:firstLine="641"/>
        <w:jc w:val="both"/>
        <w:rPr>
          <w:color w:val="auto"/>
          <w:sz w:val="20"/>
          <w:szCs w:val="20"/>
        </w:rPr>
      </w:pPr>
      <w:r>
        <w:rPr>
          <w:rFonts w:ascii="宋体" w:hAnsi="宋体" w:eastAsia="宋体" w:cs="宋体"/>
          <w:color w:val="auto"/>
          <w:sz w:val="32"/>
          <w:szCs w:val="32"/>
        </w:rPr>
        <w:t>（一） 统筹实施乡村振兴战略。深化农业供给侧结构性改革</w:t>
      </w:r>
      <w:r>
        <w:rPr>
          <w:rFonts w:ascii="仿宋" w:hAnsi="仿宋" w:eastAsia="仿宋" w:cs="仿宋"/>
          <w:color w:val="auto"/>
          <w:sz w:val="32"/>
          <w:szCs w:val="32"/>
        </w:rPr>
        <w:t>,</w:t>
      </w:r>
      <w:r>
        <w:rPr>
          <w:rFonts w:ascii="宋体" w:hAnsi="宋体" w:eastAsia="宋体" w:cs="宋体"/>
          <w:color w:val="auto"/>
          <w:sz w:val="32"/>
          <w:szCs w:val="32"/>
        </w:rPr>
        <w:t xml:space="preserve"> 扎实推进美丽乡村建设，推动农业全面升级</w:t>
      </w:r>
      <w:r>
        <w:rPr>
          <w:rFonts w:ascii="仿宋" w:hAnsi="仿宋" w:eastAsia="仿宋" w:cs="仿宋"/>
          <w:color w:val="auto"/>
          <w:sz w:val="32"/>
          <w:szCs w:val="32"/>
        </w:rPr>
        <w:t>,</w:t>
      </w:r>
      <w:r>
        <w:rPr>
          <w:rFonts w:ascii="宋体" w:hAnsi="宋体" w:eastAsia="宋体" w:cs="宋体"/>
          <w:color w:val="auto"/>
          <w:sz w:val="32"/>
          <w:szCs w:val="32"/>
        </w:rPr>
        <w:t>农村全面进步</w:t>
      </w:r>
      <w:r>
        <w:rPr>
          <w:rFonts w:ascii="仿宋" w:hAnsi="仿宋" w:eastAsia="仿宋" w:cs="仿宋"/>
          <w:color w:val="auto"/>
          <w:sz w:val="32"/>
          <w:szCs w:val="32"/>
        </w:rPr>
        <w:t>,</w:t>
      </w:r>
      <w:r>
        <w:rPr>
          <w:rFonts w:ascii="宋体" w:hAnsi="宋体" w:eastAsia="宋体" w:cs="宋体"/>
          <w:color w:val="auto"/>
          <w:sz w:val="32"/>
          <w:szCs w:val="32"/>
        </w:rPr>
        <w:t>农民全面发展</w:t>
      </w:r>
      <w:r>
        <w:rPr>
          <w:rFonts w:ascii="仿宋" w:hAnsi="仿宋" w:eastAsia="仿宋" w:cs="仿宋"/>
          <w:color w:val="auto"/>
          <w:sz w:val="32"/>
          <w:szCs w:val="32"/>
        </w:rPr>
        <w:t>,</w:t>
      </w:r>
      <w:r>
        <w:rPr>
          <w:rFonts w:ascii="宋体" w:hAnsi="宋体" w:eastAsia="宋体" w:cs="宋体"/>
          <w:color w:val="auto"/>
          <w:sz w:val="32"/>
          <w:szCs w:val="32"/>
        </w:rPr>
        <w:t xml:space="preserve"> 加快实现农业农村现代化。</w:t>
      </w:r>
    </w:p>
    <w:p>
      <w:pPr>
        <w:spacing w:after="0" w:line="200" w:lineRule="exact"/>
        <w:rPr>
          <w:color w:val="auto"/>
          <w:sz w:val="20"/>
          <w:szCs w:val="20"/>
        </w:rPr>
      </w:pPr>
    </w:p>
    <w:p>
      <w:pPr>
        <w:spacing w:after="0" w:line="268" w:lineRule="exact"/>
        <w:rPr>
          <w:color w:val="auto"/>
          <w:sz w:val="20"/>
          <w:szCs w:val="20"/>
        </w:rPr>
      </w:pPr>
    </w:p>
    <w:p>
      <w:pPr>
        <w:spacing w:after="0" w:line="546" w:lineRule="exact"/>
        <w:ind w:left="140" w:right="160" w:firstLine="641"/>
        <w:jc w:val="both"/>
        <w:rPr>
          <w:color w:val="auto"/>
          <w:sz w:val="20"/>
          <w:szCs w:val="20"/>
        </w:rPr>
      </w:pPr>
      <w:r>
        <w:rPr>
          <w:rFonts w:ascii="宋体" w:hAnsi="宋体" w:eastAsia="宋体" w:cs="宋体"/>
          <w:color w:val="auto"/>
          <w:sz w:val="32"/>
          <w:szCs w:val="32"/>
        </w:rPr>
        <w:t>（二）推动农业高质量发展。建设科技农业、绿色农业、品牌农业、质量农业，大力发展现代都市型农业和高效特色农业产业，提升农业竞争力。加强农产品质量安全监督管理</w:t>
      </w:r>
      <w:r>
        <w:rPr>
          <w:rFonts w:ascii="仿宋" w:hAnsi="仿宋" w:eastAsia="仿宋" w:cs="仿宋"/>
          <w:color w:val="auto"/>
          <w:sz w:val="32"/>
          <w:szCs w:val="32"/>
        </w:rPr>
        <w:t>,</w:t>
      </w:r>
      <w:r>
        <w:rPr>
          <w:rFonts w:ascii="宋体" w:hAnsi="宋体" w:eastAsia="宋体" w:cs="宋体"/>
          <w:color w:val="auto"/>
          <w:sz w:val="32"/>
          <w:szCs w:val="32"/>
        </w:rPr>
        <w:t>严防、严管、严控质量安全风险，让人民群众吃得放心、安心。</w:t>
      </w:r>
    </w:p>
    <w:p>
      <w:pPr>
        <w:spacing w:after="0" w:line="200" w:lineRule="exact"/>
        <w:rPr>
          <w:color w:val="auto"/>
          <w:sz w:val="20"/>
          <w:szCs w:val="20"/>
        </w:rPr>
      </w:pPr>
    </w:p>
    <w:p>
      <w:pPr>
        <w:spacing w:after="0" w:line="271" w:lineRule="exact"/>
        <w:rPr>
          <w:color w:val="auto"/>
          <w:sz w:val="20"/>
          <w:szCs w:val="20"/>
        </w:rPr>
      </w:pPr>
    </w:p>
    <w:p>
      <w:pPr>
        <w:spacing w:after="0" w:line="546" w:lineRule="exact"/>
        <w:ind w:left="140" w:firstLine="641"/>
        <w:rPr>
          <w:color w:val="auto"/>
          <w:sz w:val="20"/>
          <w:szCs w:val="20"/>
        </w:rPr>
      </w:pPr>
      <w:r>
        <w:rPr>
          <w:rFonts w:ascii="宋体" w:hAnsi="宋体" w:eastAsia="宋体" w:cs="宋体"/>
          <w:color w:val="auto"/>
          <w:sz w:val="32"/>
          <w:szCs w:val="32"/>
        </w:rPr>
        <w:t>（三）深入推进简政放权。加强对行业内交叉重复以及性质相同、用途相近的农业投资项目的统筹整合，进一步下放审批权限，最大限度缩小项目审批范围，加强涉农项目资金全链条监督，切实提升国家、省和市支农政策效果和资金使用效益。</w:t>
      </w:r>
    </w:p>
    <w:p>
      <w:pPr>
        <w:spacing w:after="0" w:line="200" w:lineRule="exact"/>
        <w:rPr>
          <w:color w:val="auto"/>
          <w:sz w:val="20"/>
          <w:szCs w:val="20"/>
        </w:rPr>
      </w:pPr>
    </w:p>
    <w:p>
      <w:pPr>
        <w:spacing w:after="0" w:line="225"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第六条有关职责分工</w:t>
      </w:r>
    </w:p>
    <w:p>
      <w:pPr>
        <w:spacing w:after="0" w:line="200" w:lineRule="exact"/>
        <w:rPr>
          <w:color w:val="auto"/>
          <w:sz w:val="20"/>
          <w:szCs w:val="20"/>
        </w:rPr>
      </w:pPr>
    </w:p>
    <w:p>
      <w:pPr>
        <w:spacing w:after="0" w:line="268" w:lineRule="exact"/>
        <w:rPr>
          <w:color w:val="auto"/>
          <w:sz w:val="20"/>
          <w:szCs w:val="20"/>
        </w:rPr>
      </w:pPr>
    </w:p>
    <w:p>
      <w:pPr>
        <w:spacing w:after="0" w:line="580" w:lineRule="exact"/>
        <w:ind w:left="140" w:firstLine="641"/>
        <w:rPr>
          <w:color w:val="auto"/>
          <w:sz w:val="20"/>
          <w:szCs w:val="20"/>
        </w:rPr>
      </w:pPr>
      <w:r>
        <w:rPr>
          <w:rFonts w:ascii="宋体" w:hAnsi="宋体" w:eastAsia="宋体" w:cs="宋体"/>
          <w:color w:val="auto"/>
          <w:sz w:val="32"/>
          <w:szCs w:val="32"/>
        </w:rPr>
        <w:t>（一）与县市场监督管理局有关职责分工。县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县市场监督管理局监督管理。两部门要建立食品安全产地准出、市场准入和追溯机制，加强协调配合和工作衔接，形成监管合力。</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9" w:name="page10"/>
      <w:bookmarkEnd w:id="9"/>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0" w:lineRule="exact"/>
        <w:ind w:left="140" w:right="160" w:firstLine="641"/>
        <w:rPr>
          <w:color w:val="auto"/>
          <w:sz w:val="20"/>
          <w:szCs w:val="20"/>
        </w:rPr>
      </w:pPr>
      <w:r>
        <w:rPr>
          <w:rFonts w:ascii="宋体" w:hAnsi="宋体" w:eastAsia="宋体" w:cs="宋体"/>
          <w:color w:val="auto"/>
          <w:sz w:val="32"/>
          <w:szCs w:val="32"/>
        </w:rPr>
        <w:t>（二）将县自然资源和规划局（县林业局）的果树（水果部分）管理职责划入县农业农村局。</w:t>
      </w:r>
    </w:p>
    <w:p>
      <w:pPr>
        <w:spacing w:after="0" w:line="200" w:lineRule="exact"/>
        <w:rPr>
          <w:color w:val="auto"/>
          <w:sz w:val="20"/>
          <w:szCs w:val="20"/>
        </w:rPr>
      </w:pPr>
    </w:p>
    <w:p>
      <w:pPr>
        <w:spacing w:after="0" w:line="221"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（三）指导协调县农业服务协会有关工作。</w:t>
      </w:r>
    </w:p>
    <w:p>
      <w:pPr>
        <w:spacing w:after="0" w:line="200" w:lineRule="exact"/>
        <w:rPr>
          <w:color w:val="auto"/>
          <w:sz w:val="20"/>
          <w:szCs w:val="20"/>
        </w:rPr>
      </w:pPr>
    </w:p>
    <w:p>
      <w:pPr>
        <w:spacing w:after="0" w:line="217"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第七条县农业农村局设下列内设机构：</w:t>
      </w:r>
    </w:p>
    <w:p>
      <w:pPr>
        <w:spacing w:after="0" w:line="200" w:lineRule="exact"/>
        <w:rPr>
          <w:color w:val="auto"/>
          <w:sz w:val="20"/>
          <w:szCs w:val="20"/>
        </w:rPr>
      </w:pPr>
    </w:p>
    <w:p>
      <w:pPr>
        <w:spacing w:after="0" w:line="268" w:lineRule="exact"/>
        <w:rPr>
          <w:color w:val="auto"/>
          <w:sz w:val="20"/>
          <w:szCs w:val="20"/>
        </w:rPr>
      </w:pPr>
    </w:p>
    <w:p>
      <w:pPr>
        <w:spacing w:after="0" w:line="603" w:lineRule="exact"/>
        <w:ind w:left="140" w:firstLine="641"/>
        <w:rPr>
          <w:color w:val="auto"/>
          <w:sz w:val="20"/>
          <w:szCs w:val="20"/>
        </w:rPr>
      </w:pPr>
      <w:r>
        <w:rPr>
          <w:rFonts w:ascii="宋体" w:hAnsi="宋体" w:eastAsia="宋体" w:cs="宋体"/>
          <w:color w:val="auto"/>
          <w:sz w:val="31"/>
          <w:szCs w:val="31"/>
        </w:rPr>
        <w:t>（一）办公室。协调机关日常工作，负责机关文电、会务、机要、档案、保密等工作。负责政务督查督办工作。起草机关规章制度并组织实施。承担机关安全和信访工作。承担政府信息公开相关工作，协调重大突发事件应急综合管理有关工作。承办人大代表建议、政协委员提案工作。牵头协调局机关和局属单位及农业行业安全生产。负责机关和直属事业单位的计划生育工作；负责局机关和直属单位的武装、统战、保卫、消防、综合治理和后勤保障工作。起草农业农村人才队伍建设规划并组织实施，承担农业职业技能开发工作。依法实施农业农村人才队伍管理。组织农业系统管理干部、专业技术人员和农村实用人才培训。承担机关和直属单位的干部人事、劳动工资、机构编制等工作。负责机关和直属单位的工青妇工作。指导相关人才引进工作。负责局机关及直属单位党的建设、党员教育管理、精神文明建设等工作。负责局机关纪检相关工作。负责综合性涉农工作重大问题的调查研究工作。负责以县局名义印发文件的审核把关。负责农村观察</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10" w:name="page11"/>
      <w:bookmarkEnd w:id="10"/>
    </w:p>
    <w:p>
      <w:pPr>
        <w:spacing w:after="0" w:line="200" w:lineRule="exact"/>
        <w:rPr>
          <w:color w:val="auto"/>
          <w:sz w:val="20"/>
          <w:szCs w:val="20"/>
        </w:rPr>
      </w:pPr>
    </w:p>
    <w:p>
      <w:pPr>
        <w:spacing w:after="0" w:line="362"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点的工作。指导农业农村宣传工作，承担新闻发布工作。</w:t>
      </w:r>
    </w:p>
    <w:p>
      <w:pPr>
        <w:spacing w:after="0" w:line="200" w:lineRule="exact"/>
        <w:rPr>
          <w:color w:val="auto"/>
          <w:sz w:val="20"/>
          <w:szCs w:val="20"/>
        </w:rPr>
      </w:pPr>
    </w:p>
    <w:p>
      <w:pPr>
        <w:spacing w:after="0" w:line="268" w:lineRule="exact"/>
        <w:rPr>
          <w:color w:val="auto"/>
          <w:sz w:val="20"/>
          <w:szCs w:val="20"/>
        </w:rPr>
      </w:pPr>
    </w:p>
    <w:p>
      <w:pPr>
        <w:spacing w:after="0" w:line="590" w:lineRule="exact"/>
        <w:ind w:left="140"/>
        <w:rPr>
          <w:color w:val="auto"/>
          <w:sz w:val="20"/>
          <w:szCs w:val="20"/>
        </w:rPr>
      </w:pPr>
      <w:r>
        <w:rPr>
          <w:rFonts w:ascii="宋体" w:hAnsi="宋体" w:eastAsia="宋体" w:cs="宋体"/>
          <w:color w:val="auto"/>
          <w:sz w:val="32"/>
          <w:szCs w:val="32"/>
        </w:rPr>
        <w:t>提出扶持农业农村发展的财政政策建议。负责项目资金的统筹和资金的运行监督。编报部门预算并组织执行。参与农业投融资体系建设。协调推进金融服务农业农村工作。落实农村金融、农业保险的政策。指导监督系统财务、国有资产和政府采购管理工作。组织开展内部审计。负责企业改制有关工作。承担政府间农业涉外事务、农业贸易促进、产业损害调查、农业援外项目实施等相关工作。负责农产品国际市场信息分析。指导农业利用外资和重大农业技术装备工作。组织实施农业</w:t>
      </w:r>
      <w:r>
        <w:rPr>
          <w:rFonts w:ascii="Arial" w:hAnsi="Arial" w:eastAsia="Arial" w:cs="Arial"/>
          <w:color w:val="auto"/>
          <w:sz w:val="32"/>
          <w:szCs w:val="32"/>
        </w:rPr>
        <w:t>“</w:t>
      </w:r>
      <w:r>
        <w:rPr>
          <w:rFonts w:ascii="宋体" w:hAnsi="宋体" w:eastAsia="宋体" w:cs="宋体"/>
          <w:color w:val="auto"/>
          <w:sz w:val="32"/>
          <w:szCs w:val="32"/>
        </w:rPr>
        <w:t>走出去</w:t>
      </w:r>
      <w:r>
        <w:rPr>
          <w:rFonts w:ascii="Arial" w:hAnsi="Arial" w:eastAsia="Arial" w:cs="Arial"/>
          <w:color w:val="auto"/>
          <w:sz w:val="32"/>
          <w:szCs w:val="32"/>
        </w:rPr>
        <w:t>”</w:t>
      </w:r>
      <w:r>
        <w:rPr>
          <w:rFonts w:ascii="宋体" w:hAnsi="宋体" w:eastAsia="宋体" w:cs="宋体"/>
          <w:color w:val="auto"/>
          <w:sz w:val="32"/>
          <w:szCs w:val="32"/>
        </w:rPr>
        <w:t>战略。指导农产品出口基地建设。承办系统外事管理与接待工作。</w:t>
      </w:r>
    </w:p>
    <w:p>
      <w:pPr>
        <w:spacing w:after="0" w:line="200" w:lineRule="exact"/>
        <w:rPr>
          <w:color w:val="auto"/>
          <w:sz w:val="20"/>
          <w:szCs w:val="20"/>
        </w:rPr>
      </w:pPr>
    </w:p>
    <w:p>
      <w:pPr>
        <w:spacing w:after="0" w:line="274" w:lineRule="exact"/>
        <w:rPr>
          <w:color w:val="auto"/>
          <w:sz w:val="20"/>
          <w:szCs w:val="20"/>
        </w:rPr>
      </w:pPr>
    </w:p>
    <w:p>
      <w:pPr>
        <w:spacing w:after="0" w:line="522" w:lineRule="exact"/>
        <w:ind w:left="140" w:right="180"/>
        <w:jc w:val="both"/>
        <w:rPr>
          <w:color w:val="auto"/>
          <w:sz w:val="20"/>
          <w:szCs w:val="20"/>
        </w:rPr>
      </w:pPr>
      <w:r>
        <w:rPr>
          <w:rFonts w:ascii="宋体" w:hAnsi="宋体" w:eastAsia="宋体" w:cs="宋体"/>
          <w:color w:val="auto"/>
          <w:sz w:val="32"/>
          <w:szCs w:val="32"/>
        </w:rPr>
        <w:t>负责农业项目全程综合监管和绩效评价工作。负责项目考核验收工作。牵头开展对重大农业项目落实情况的监督检查。对项目执行有关问题提出整改建议并监督落实。</w:t>
      </w:r>
    </w:p>
    <w:p>
      <w:pPr>
        <w:spacing w:after="0" w:line="200" w:lineRule="exact"/>
        <w:rPr>
          <w:color w:val="auto"/>
          <w:sz w:val="20"/>
          <w:szCs w:val="20"/>
        </w:rPr>
      </w:pPr>
    </w:p>
    <w:p>
      <w:pPr>
        <w:spacing w:after="0" w:line="268" w:lineRule="exact"/>
        <w:rPr>
          <w:color w:val="auto"/>
          <w:sz w:val="20"/>
          <w:szCs w:val="20"/>
        </w:rPr>
      </w:pPr>
    </w:p>
    <w:p>
      <w:pPr>
        <w:spacing w:after="0" w:line="471" w:lineRule="exact"/>
        <w:ind w:left="140" w:right="160" w:firstLine="641"/>
        <w:jc w:val="both"/>
        <w:rPr>
          <w:color w:val="auto"/>
          <w:sz w:val="20"/>
          <w:szCs w:val="20"/>
        </w:rPr>
      </w:pPr>
      <w:r>
        <w:rPr>
          <w:rFonts w:ascii="宋体" w:hAnsi="宋体" w:eastAsia="宋体" w:cs="宋体"/>
          <w:color w:val="auto"/>
          <w:sz w:val="32"/>
          <w:szCs w:val="32"/>
        </w:rPr>
        <w:t>组织行政应诉、普法宣传工作。承担农业有关文件合法性审核工作；指导农业行政许可工作。负责</w:t>
      </w:r>
      <w:r>
        <w:rPr>
          <w:rFonts w:ascii="Arial" w:hAnsi="Arial" w:eastAsia="Arial" w:cs="Arial"/>
          <w:color w:val="auto"/>
          <w:sz w:val="32"/>
          <w:szCs w:val="32"/>
        </w:rPr>
        <w:t>“</w:t>
      </w:r>
      <w:r>
        <w:rPr>
          <w:rFonts w:ascii="宋体" w:hAnsi="宋体" w:eastAsia="宋体" w:cs="宋体"/>
          <w:color w:val="auto"/>
          <w:sz w:val="32"/>
          <w:szCs w:val="32"/>
        </w:rPr>
        <w:t>放管服</w:t>
      </w:r>
      <w:r>
        <w:rPr>
          <w:rFonts w:ascii="Arial" w:hAnsi="Arial" w:eastAsia="Arial" w:cs="Arial"/>
          <w:color w:val="auto"/>
          <w:sz w:val="32"/>
          <w:szCs w:val="32"/>
        </w:rPr>
        <w:t>”</w:t>
      </w:r>
      <w:r>
        <w:rPr>
          <w:rFonts w:ascii="宋体" w:hAnsi="宋体" w:eastAsia="宋体" w:cs="宋体"/>
          <w:color w:val="auto"/>
          <w:sz w:val="32"/>
          <w:szCs w:val="32"/>
        </w:rPr>
        <w:t>相关工作。</w:t>
      </w:r>
    </w:p>
    <w:p>
      <w:pPr>
        <w:spacing w:after="0" w:line="200" w:lineRule="exact"/>
        <w:rPr>
          <w:color w:val="auto"/>
          <w:sz w:val="20"/>
          <w:szCs w:val="20"/>
        </w:rPr>
      </w:pPr>
    </w:p>
    <w:p>
      <w:pPr>
        <w:spacing w:after="0" w:line="268" w:lineRule="exact"/>
        <w:rPr>
          <w:color w:val="auto"/>
          <w:sz w:val="20"/>
          <w:szCs w:val="20"/>
        </w:rPr>
      </w:pPr>
    </w:p>
    <w:p>
      <w:pPr>
        <w:spacing w:after="0" w:line="547" w:lineRule="exact"/>
        <w:ind w:left="140" w:firstLine="641"/>
        <w:rPr>
          <w:color w:val="auto"/>
          <w:sz w:val="20"/>
          <w:szCs w:val="20"/>
        </w:rPr>
      </w:pPr>
      <w:r>
        <w:rPr>
          <w:rFonts w:ascii="宋体" w:hAnsi="宋体" w:eastAsia="宋体" w:cs="宋体"/>
          <w:color w:val="auto"/>
          <w:sz w:val="31"/>
          <w:szCs w:val="31"/>
        </w:rPr>
        <w:t>（二）农业科。拟订全县畜牧业发展规划、计划并组织实施。指导畜牧业结构调整、标准化生产、规模饲养、畜禽养殖场备案管理、畜牧设施装备现代化。组织畜牧生产运行情况调度，开展畜牧业综合生产形势分析和预警。指导畜禽粪污资源化利用。管</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11" w:name="page12"/>
      <w:bookmarkEnd w:id="11"/>
    </w:p>
    <w:p>
      <w:pPr>
        <w:spacing w:after="0" w:line="200" w:lineRule="exact"/>
        <w:rPr>
          <w:color w:val="auto"/>
          <w:sz w:val="20"/>
          <w:szCs w:val="20"/>
        </w:rPr>
      </w:pPr>
    </w:p>
    <w:p>
      <w:pPr>
        <w:spacing w:after="0" w:line="373"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理生鲜乳生产收购环节质量安全。组织畜禽良种繁育体系建设和</w:t>
      </w:r>
    </w:p>
    <w:p>
      <w:pPr>
        <w:spacing w:after="0" w:line="270"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畜禽遗传资源普查、保护与开发利用工作，负责种畜禽生产经营</w:t>
      </w:r>
    </w:p>
    <w:p>
      <w:pPr>
        <w:spacing w:after="0" w:line="270"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管理工作。组织实施畜禽饲养、品种改良等方面的技术规范和标</w:t>
      </w:r>
    </w:p>
    <w:p>
      <w:pPr>
        <w:spacing w:after="0" w:line="259"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准。</w:t>
      </w:r>
    </w:p>
    <w:p>
      <w:pPr>
        <w:spacing w:after="0" w:line="200" w:lineRule="exact"/>
        <w:rPr>
          <w:color w:val="auto"/>
          <w:sz w:val="20"/>
          <w:szCs w:val="20"/>
        </w:rPr>
      </w:pPr>
    </w:p>
    <w:p>
      <w:pPr>
        <w:spacing w:after="0" w:line="268" w:lineRule="exact"/>
        <w:rPr>
          <w:color w:val="auto"/>
          <w:sz w:val="20"/>
          <w:szCs w:val="20"/>
        </w:rPr>
      </w:pPr>
    </w:p>
    <w:p>
      <w:pPr>
        <w:spacing w:after="0" w:line="580" w:lineRule="exact"/>
        <w:ind w:left="140" w:firstLine="641"/>
        <w:jc w:val="both"/>
        <w:rPr>
          <w:color w:val="auto"/>
          <w:sz w:val="20"/>
          <w:szCs w:val="20"/>
        </w:rPr>
      </w:pPr>
      <w:r>
        <w:rPr>
          <w:rFonts w:ascii="宋体" w:hAnsi="宋体" w:eastAsia="宋体" w:cs="宋体"/>
          <w:color w:val="auto"/>
          <w:sz w:val="32"/>
          <w:szCs w:val="32"/>
        </w:rPr>
        <w:t>协调推进乡村产业发展，组织实施促进农产品加工业、休闲农业发展的政策措施。提出农业产业化经营发展的政策建议。负责组织农业产业化重点龙头企业、农产品加工基地监测和调查统计工作。负责国家和省级农业产业化重点龙头企业的筛选、推荐和市级重点龙头企业的认定工作。指导开展农村创业创新工作。指导农产品产地初加工龙头企业安全生产。承担县农业产业化工作领导小组的日常工作，负责招商引资工作。</w:t>
      </w:r>
    </w:p>
    <w:p>
      <w:pPr>
        <w:spacing w:after="0" w:line="200" w:lineRule="exact"/>
        <w:rPr>
          <w:color w:val="auto"/>
          <w:sz w:val="20"/>
          <w:szCs w:val="20"/>
        </w:rPr>
      </w:pPr>
    </w:p>
    <w:p>
      <w:pPr>
        <w:spacing w:after="0" w:line="271" w:lineRule="exact"/>
        <w:rPr>
          <w:color w:val="auto"/>
          <w:sz w:val="20"/>
          <w:szCs w:val="20"/>
        </w:rPr>
      </w:pPr>
    </w:p>
    <w:p>
      <w:pPr>
        <w:spacing w:after="0" w:line="562" w:lineRule="exact"/>
        <w:ind w:left="140" w:right="100"/>
        <w:jc w:val="both"/>
        <w:rPr>
          <w:color w:val="auto"/>
          <w:sz w:val="20"/>
          <w:szCs w:val="20"/>
        </w:rPr>
      </w:pPr>
      <w:r>
        <w:rPr>
          <w:rFonts w:ascii="宋体" w:hAnsi="宋体" w:eastAsia="宋体" w:cs="宋体"/>
          <w:color w:val="auto"/>
          <w:sz w:val="32"/>
          <w:szCs w:val="32"/>
        </w:rPr>
        <w:t>拟订全县兽医事业、动物卫生发展规划、计划并组织实施。组织指导动物疫病预防控制扑灭、动物和动物产品检疫工作。指导病死畜禽无害化处理。负责全县动物卫生、兽医医政、兽医实验室管理。负责全县兽医、动物卫生技术支撑体系建设。承担县防治重大动物疫病指挥机构日常工作。</w:t>
      </w:r>
    </w:p>
    <w:p>
      <w:pPr>
        <w:spacing w:after="0" w:line="200" w:lineRule="exact"/>
        <w:rPr>
          <w:color w:val="auto"/>
          <w:sz w:val="20"/>
          <w:szCs w:val="20"/>
        </w:rPr>
      </w:pPr>
    </w:p>
    <w:p>
      <w:pPr>
        <w:spacing w:after="0" w:line="275" w:lineRule="exact"/>
        <w:rPr>
          <w:color w:val="auto"/>
          <w:sz w:val="20"/>
          <w:szCs w:val="20"/>
        </w:rPr>
      </w:pPr>
    </w:p>
    <w:p>
      <w:pPr>
        <w:spacing w:after="0" w:line="522" w:lineRule="exact"/>
        <w:ind w:left="140" w:right="100" w:firstLine="641"/>
        <w:jc w:val="both"/>
        <w:rPr>
          <w:color w:val="auto"/>
          <w:sz w:val="20"/>
          <w:szCs w:val="20"/>
        </w:rPr>
      </w:pPr>
      <w:r>
        <w:rPr>
          <w:rFonts w:ascii="宋体" w:hAnsi="宋体" w:eastAsia="宋体" w:cs="宋体"/>
          <w:color w:val="auto"/>
          <w:sz w:val="31"/>
          <w:szCs w:val="31"/>
        </w:rPr>
        <w:t>拟订全县畜禽屠宰业、兽药业、兽医器械和饲料饲草业发展规划、计划并组织实施。负责全县畜禽定点屠宰、兽药、兽医器械、饲料和饲料添加剂管理。指导畜禽屠宰、兽药、饲料和饲料</w:t>
      </w:r>
    </w:p>
    <w:p>
      <w:pPr>
        <w:sectPr>
          <w:pgSz w:w="11900" w:h="16838"/>
          <w:pgMar w:top="1440" w:right="1366" w:bottom="1440" w:left="1440" w:header="0" w:footer="0" w:gutter="0"/>
          <w:cols w:equalWidth="0" w:num="1">
            <w:col w:w="9100"/>
          </w:cols>
        </w:sectPr>
      </w:pPr>
    </w:p>
    <w:p>
      <w:pPr>
        <w:spacing w:after="0" w:line="200" w:lineRule="exact"/>
        <w:rPr>
          <w:color w:val="auto"/>
          <w:sz w:val="20"/>
          <w:szCs w:val="20"/>
        </w:rPr>
      </w:pPr>
      <w:bookmarkStart w:id="12" w:name="page13"/>
      <w:bookmarkEnd w:id="12"/>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0" w:lineRule="exact"/>
        <w:ind w:left="140" w:right="46"/>
        <w:jc w:val="both"/>
        <w:rPr>
          <w:color w:val="auto"/>
          <w:sz w:val="20"/>
          <w:szCs w:val="20"/>
        </w:rPr>
      </w:pPr>
      <w:r>
        <w:rPr>
          <w:rFonts w:ascii="宋体" w:hAnsi="宋体" w:eastAsia="宋体" w:cs="宋体"/>
          <w:color w:val="auto"/>
          <w:sz w:val="32"/>
          <w:szCs w:val="32"/>
        </w:rPr>
        <w:t>添加剂生产企业安全生产工作。负责全县畜禽屠宰、兽药、饲料和饲料添加剂技术支撑体系建设。</w:t>
      </w:r>
    </w:p>
    <w:p>
      <w:pPr>
        <w:spacing w:after="0" w:line="200" w:lineRule="exact"/>
        <w:rPr>
          <w:color w:val="auto"/>
          <w:sz w:val="20"/>
          <w:szCs w:val="20"/>
        </w:rPr>
      </w:pPr>
    </w:p>
    <w:p>
      <w:pPr>
        <w:spacing w:after="0" w:line="269" w:lineRule="exact"/>
        <w:rPr>
          <w:color w:val="auto"/>
          <w:sz w:val="20"/>
          <w:szCs w:val="20"/>
        </w:rPr>
      </w:pPr>
    </w:p>
    <w:p>
      <w:pPr>
        <w:spacing w:after="0" w:line="599" w:lineRule="exact"/>
        <w:ind w:left="140" w:right="26" w:firstLine="641"/>
        <w:jc w:val="both"/>
        <w:rPr>
          <w:color w:val="auto"/>
          <w:sz w:val="20"/>
          <w:szCs w:val="20"/>
        </w:rPr>
      </w:pPr>
      <w:r>
        <w:rPr>
          <w:rFonts w:ascii="宋体" w:hAnsi="宋体" w:eastAsia="宋体" w:cs="宋体"/>
          <w:color w:val="auto"/>
          <w:sz w:val="31"/>
          <w:szCs w:val="31"/>
        </w:rPr>
        <w:t>拟订渔业发展规划并组织实施。指导养殖证制度建设、水产健康养殖、水生动植物病害防控工作，承担水产品加工流通和促进休闲渔业发展相关工作。负责水产原良种繁育体系建设、水产苗种生产和引进的监督管理及生物安全评价。组织渔业生态环境保护，指导渔业资源增殖放流、水产种质资源保护区建设，组织协调涉渔工程建设对渔业资源影响评价及补偿工作。负责渔业统计监测及渔业标准化生产工作。组织实施渔业捕捞许可管理，负责渔业监督管理和渔业协定实施，组织水生野生动植物保护。指导渔港建设和管理、渔业安全生产、渔业互保工作。负责渔业船舶管理和渔业船员管理工作。拟订渔业行政执法行动计划，指导渔业行政执法队伍建设，负责渔业行政执法证件管理和执法督察。组织协调重大渔业事件应急处置。负责涉外渔业管理。</w:t>
      </w:r>
    </w:p>
    <w:p>
      <w:pPr>
        <w:spacing w:after="0" w:line="200" w:lineRule="exact"/>
        <w:rPr>
          <w:color w:val="auto"/>
          <w:sz w:val="20"/>
          <w:szCs w:val="20"/>
        </w:rPr>
      </w:pPr>
    </w:p>
    <w:p>
      <w:pPr>
        <w:spacing w:after="0" w:line="269" w:lineRule="exact"/>
        <w:rPr>
          <w:color w:val="auto"/>
          <w:sz w:val="20"/>
          <w:szCs w:val="20"/>
        </w:rPr>
      </w:pPr>
    </w:p>
    <w:p>
      <w:pPr>
        <w:spacing w:after="0" w:line="572" w:lineRule="exact"/>
        <w:ind w:left="140" w:right="26" w:firstLine="641"/>
        <w:jc w:val="both"/>
        <w:rPr>
          <w:color w:val="auto"/>
          <w:sz w:val="20"/>
          <w:szCs w:val="20"/>
        </w:rPr>
      </w:pPr>
      <w:r>
        <w:rPr>
          <w:rFonts w:ascii="宋体" w:hAnsi="宋体" w:eastAsia="宋体" w:cs="宋体"/>
          <w:color w:val="auto"/>
          <w:sz w:val="32"/>
          <w:szCs w:val="32"/>
        </w:rPr>
        <w:t>拟订农业机械化规划、计划并组织实施。提出农业生产机械装备的技术要求和发展要求，引导农民使用新型农机产品。拟订县支持推广的农机产品目录。组织实施农机作业规范和技术标准。依法组织实施农业机械安全监理和试验鉴定等有关工作。依法组织对在用的特定种类农业机械产品进行调查。指导农机作业和维修管理。指导农机安全生产工作。</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3" w:name="page14"/>
      <w:bookmarkEnd w:id="13"/>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22" w:lineRule="exact"/>
        <w:ind w:left="140" w:right="120"/>
        <w:jc w:val="both"/>
        <w:rPr>
          <w:color w:val="auto"/>
          <w:sz w:val="20"/>
          <w:szCs w:val="20"/>
        </w:rPr>
      </w:pPr>
      <w:r>
        <w:rPr>
          <w:rFonts w:ascii="宋体" w:hAnsi="宋体" w:eastAsia="宋体" w:cs="宋体"/>
          <w:color w:val="auto"/>
          <w:sz w:val="32"/>
          <w:szCs w:val="32"/>
        </w:rPr>
        <w:t>提出农田建设项目需求建议。承担耕地质量管理相关工作。参与开展永久基本农田保护相关工作。承担农业综合开发项目、农田整治项目管理工作。负责高标准农田建设管理。</w:t>
      </w:r>
    </w:p>
    <w:p>
      <w:pPr>
        <w:spacing w:after="0" w:line="200" w:lineRule="exact"/>
        <w:rPr>
          <w:color w:val="auto"/>
          <w:sz w:val="20"/>
          <w:szCs w:val="20"/>
        </w:rPr>
      </w:pPr>
    </w:p>
    <w:p>
      <w:pPr>
        <w:spacing w:after="0" w:line="268" w:lineRule="exact"/>
        <w:rPr>
          <w:color w:val="auto"/>
          <w:sz w:val="20"/>
          <w:szCs w:val="20"/>
        </w:rPr>
      </w:pPr>
    </w:p>
    <w:p>
      <w:pPr>
        <w:spacing w:after="0" w:line="470" w:lineRule="exact"/>
        <w:ind w:left="140" w:right="100" w:firstLine="641"/>
        <w:jc w:val="both"/>
        <w:rPr>
          <w:color w:val="auto"/>
          <w:sz w:val="20"/>
          <w:szCs w:val="20"/>
        </w:rPr>
      </w:pPr>
      <w:r>
        <w:rPr>
          <w:rFonts w:ascii="宋体" w:hAnsi="宋体" w:eastAsia="宋体" w:cs="宋体"/>
          <w:color w:val="auto"/>
          <w:sz w:val="32"/>
          <w:szCs w:val="32"/>
        </w:rPr>
        <w:t>提出农田水利建设项目需求建议。承担农田水利建设项目管理工作。</w:t>
      </w:r>
    </w:p>
    <w:p>
      <w:pPr>
        <w:spacing w:after="0" w:line="200" w:lineRule="exact"/>
        <w:rPr>
          <w:color w:val="auto"/>
          <w:sz w:val="20"/>
          <w:szCs w:val="20"/>
        </w:rPr>
      </w:pPr>
    </w:p>
    <w:p>
      <w:pPr>
        <w:spacing w:after="0" w:line="267" w:lineRule="exact"/>
        <w:rPr>
          <w:color w:val="auto"/>
          <w:sz w:val="20"/>
          <w:szCs w:val="20"/>
        </w:rPr>
      </w:pPr>
    </w:p>
    <w:p>
      <w:pPr>
        <w:spacing w:after="0" w:line="572" w:lineRule="exact"/>
        <w:ind w:left="140" w:firstLine="641"/>
        <w:jc w:val="both"/>
        <w:rPr>
          <w:color w:val="auto"/>
          <w:sz w:val="20"/>
          <w:szCs w:val="20"/>
        </w:rPr>
      </w:pPr>
      <w:r>
        <w:rPr>
          <w:rFonts w:ascii="宋体" w:hAnsi="宋体" w:eastAsia="宋体" w:cs="宋体"/>
          <w:color w:val="auto"/>
          <w:sz w:val="32"/>
          <w:szCs w:val="32"/>
        </w:rPr>
        <w:t>编制农业农村经济信息体系、全县大宗农产品市场体系发展规划。承担农业品牌建设有关工作。组织开展农产品和农业生产资料供求、价格分析和监测预警。牵头筹办相关农产品交易会。发布农业农村经济信息，指导农业信息服务。承担农业统计和农业农村信息化有关工作。负责全县农业系统网络安全监管，组织网络涉农舆情监测。</w:t>
      </w:r>
    </w:p>
    <w:p>
      <w:pPr>
        <w:spacing w:after="0" w:line="200" w:lineRule="exact"/>
        <w:rPr>
          <w:color w:val="auto"/>
          <w:sz w:val="20"/>
          <w:szCs w:val="20"/>
        </w:rPr>
      </w:pPr>
    </w:p>
    <w:p>
      <w:pPr>
        <w:spacing w:after="0" w:line="274" w:lineRule="exact"/>
        <w:rPr>
          <w:color w:val="auto"/>
          <w:sz w:val="20"/>
          <w:szCs w:val="20"/>
        </w:rPr>
      </w:pPr>
    </w:p>
    <w:p>
      <w:pPr>
        <w:spacing w:after="0" w:line="562" w:lineRule="exact"/>
        <w:ind w:left="140" w:firstLine="641"/>
        <w:jc w:val="both"/>
        <w:rPr>
          <w:color w:val="auto"/>
          <w:sz w:val="20"/>
          <w:szCs w:val="20"/>
        </w:rPr>
      </w:pPr>
      <w:r>
        <w:rPr>
          <w:rFonts w:ascii="宋体" w:hAnsi="宋体" w:eastAsia="宋体" w:cs="宋体"/>
          <w:color w:val="auto"/>
          <w:sz w:val="32"/>
          <w:szCs w:val="32"/>
        </w:rPr>
        <w:t>起草农业农村科技教育发展规划。承担农业科技创新体系和产业技术体系建设等工作。承担农业科研、技术引进、成果转化和技术推广工作。指导农业技术推广体系改革与建设工作。管理农业转基因生物安全。承担农业教育和新型职业农民培育工作。负责农村科技培训工作。</w:t>
      </w:r>
    </w:p>
    <w:p>
      <w:pPr>
        <w:spacing w:after="0" w:line="200" w:lineRule="exact"/>
        <w:rPr>
          <w:color w:val="auto"/>
          <w:sz w:val="20"/>
          <w:szCs w:val="20"/>
        </w:rPr>
      </w:pPr>
    </w:p>
    <w:p>
      <w:pPr>
        <w:spacing w:after="0" w:line="275" w:lineRule="exact"/>
        <w:rPr>
          <w:color w:val="auto"/>
          <w:sz w:val="20"/>
          <w:szCs w:val="20"/>
        </w:rPr>
      </w:pPr>
    </w:p>
    <w:p>
      <w:pPr>
        <w:spacing w:after="0" w:line="522" w:lineRule="exact"/>
        <w:ind w:left="140" w:firstLine="641"/>
        <w:jc w:val="both"/>
        <w:rPr>
          <w:color w:val="auto"/>
          <w:sz w:val="20"/>
          <w:szCs w:val="20"/>
        </w:rPr>
      </w:pPr>
      <w:r>
        <w:rPr>
          <w:rFonts w:ascii="宋体" w:hAnsi="宋体" w:eastAsia="宋体" w:cs="宋体"/>
          <w:color w:val="auto"/>
          <w:sz w:val="31"/>
          <w:szCs w:val="31"/>
        </w:rPr>
        <w:t>起草农村新能源开发利用发展规划。指导农用地、农业生物物种资源及农产品产地环境保护。指导农业行业节能减排、农业清洁生产和生态循环农业建设。指导农村可再生能源开发利用。</w:t>
      </w:r>
    </w:p>
    <w:p>
      <w:pPr>
        <w:sectPr>
          <w:pgSz w:w="11900" w:h="16838"/>
          <w:pgMar w:top="1440" w:right="1366" w:bottom="1440" w:left="1440" w:header="0" w:footer="0" w:gutter="0"/>
          <w:cols w:equalWidth="0" w:num="1">
            <w:col w:w="9100"/>
          </w:cols>
        </w:sectPr>
      </w:pPr>
    </w:p>
    <w:p>
      <w:pPr>
        <w:spacing w:after="0" w:line="200" w:lineRule="exact"/>
        <w:rPr>
          <w:color w:val="auto"/>
          <w:sz w:val="20"/>
          <w:szCs w:val="20"/>
        </w:rPr>
      </w:pPr>
      <w:bookmarkStart w:id="14" w:name="page15"/>
      <w:bookmarkEnd w:id="14"/>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46" w:lineRule="exact"/>
        <w:ind w:left="140" w:right="120"/>
        <w:jc w:val="both"/>
        <w:rPr>
          <w:color w:val="auto"/>
          <w:sz w:val="20"/>
          <w:szCs w:val="20"/>
        </w:rPr>
      </w:pPr>
      <w:r>
        <w:rPr>
          <w:rFonts w:ascii="宋体" w:hAnsi="宋体" w:eastAsia="宋体" w:cs="宋体"/>
          <w:color w:val="auto"/>
          <w:sz w:val="32"/>
          <w:szCs w:val="32"/>
        </w:rPr>
        <w:t>组织实施全县沼气、生物质能转化的开发利用。指导农村沼气工程项目安全生产。承担统筹协调外来物种管理相关工作。牵头组织开展种植业、畜牧业、渔业、农膜、农作物秸秆等资源化利用工作。</w:t>
      </w:r>
    </w:p>
    <w:p>
      <w:pPr>
        <w:spacing w:after="0" w:line="200" w:lineRule="exact"/>
        <w:rPr>
          <w:color w:val="auto"/>
          <w:sz w:val="20"/>
          <w:szCs w:val="20"/>
        </w:rPr>
      </w:pPr>
    </w:p>
    <w:p>
      <w:pPr>
        <w:spacing w:after="0" w:line="273" w:lineRule="exact"/>
        <w:rPr>
          <w:color w:val="auto"/>
          <w:sz w:val="20"/>
          <w:szCs w:val="20"/>
        </w:rPr>
      </w:pPr>
    </w:p>
    <w:p>
      <w:pPr>
        <w:spacing w:after="0" w:line="572" w:lineRule="exact"/>
        <w:ind w:left="140" w:right="120" w:firstLine="641"/>
        <w:jc w:val="both"/>
        <w:rPr>
          <w:color w:val="auto"/>
          <w:sz w:val="20"/>
          <w:szCs w:val="20"/>
        </w:rPr>
      </w:pPr>
      <w:r>
        <w:rPr>
          <w:rFonts w:ascii="宋体" w:hAnsi="宋体" w:eastAsia="宋体" w:cs="宋体"/>
          <w:color w:val="auto"/>
          <w:sz w:val="32"/>
          <w:szCs w:val="32"/>
        </w:rPr>
        <w:t>组织实施农产品质量安全监督管理有关工作。指导农产品质量安全技术支撑体系建设。承担农产品质量安全标准、监测、追溯、风险评估等相关工作。组织实施农产品相关环节的质量安全监测、风险评估和信息发布工作。组织指导农业检验检测体系建设工作。组织农产品质量认证工作。组织绿色食品质量监督和认证管理，负责绿色食品企业年检相关工作。</w:t>
      </w:r>
    </w:p>
    <w:p>
      <w:pPr>
        <w:spacing w:after="0" w:line="200" w:lineRule="exact"/>
        <w:rPr>
          <w:color w:val="auto"/>
          <w:sz w:val="20"/>
          <w:szCs w:val="20"/>
        </w:rPr>
      </w:pPr>
    </w:p>
    <w:p>
      <w:pPr>
        <w:spacing w:after="0" w:line="272" w:lineRule="exact"/>
        <w:rPr>
          <w:color w:val="auto"/>
          <w:sz w:val="20"/>
          <w:szCs w:val="20"/>
        </w:rPr>
      </w:pPr>
    </w:p>
    <w:p>
      <w:pPr>
        <w:spacing w:after="0" w:line="580" w:lineRule="exact"/>
        <w:ind w:left="140" w:firstLine="641"/>
        <w:jc w:val="both"/>
        <w:rPr>
          <w:color w:val="auto"/>
          <w:sz w:val="20"/>
          <w:szCs w:val="20"/>
        </w:rPr>
      </w:pPr>
      <w:r>
        <w:rPr>
          <w:rFonts w:ascii="宋体" w:hAnsi="宋体" w:eastAsia="宋体" w:cs="宋体"/>
          <w:color w:val="auto"/>
          <w:sz w:val="31"/>
          <w:szCs w:val="31"/>
        </w:rPr>
        <w:t>起草种植业发展的规划、计划并组织实施。指导种植业结构和布局调整及标准化生产工作，发布农情信息。指导全县粮食、油料作物生产和产业发展。承担节水农业和防灾抗灾救灾相关工作，组织救灾备荒种子的储备、调拨。承担肥料、农作物种子、种苗等有关管理工作。承担县内和出入境植物检疫、农作物重大病虫害防治有关工作。组织实施农作物种质资源的保护和管理。承担农业植物新品种保护工作。加强粮食重金属污染治理工作。</w:t>
      </w:r>
    </w:p>
    <w:p>
      <w:pPr>
        <w:spacing w:after="0" w:line="200" w:lineRule="exact"/>
        <w:rPr>
          <w:color w:val="auto"/>
          <w:sz w:val="20"/>
          <w:szCs w:val="20"/>
        </w:rPr>
      </w:pPr>
    </w:p>
    <w:p>
      <w:pPr>
        <w:spacing w:after="0" w:line="276" w:lineRule="exact"/>
        <w:rPr>
          <w:color w:val="auto"/>
          <w:sz w:val="20"/>
          <w:szCs w:val="20"/>
        </w:rPr>
      </w:pPr>
    </w:p>
    <w:p>
      <w:pPr>
        <w:spacing w:after="0" w:line="470" w:lineRule="exact"/>
        <w:ind w:left="140" w:right="100" w:firstLine="641"/>
        <w:rPr>
          <w:color w:val="auto"/>
          <w:sz w:val="20"/>
          <w:szCs w:val="20"/>
        </w:rPr>
      </w:pPr>
      <w:r>
        <w:rPr>
          <w:rFonts w:ascii="宋体" w:hAnsi="宋体" w:eastAsia="宋体" w:cs="宋体"/>
          <w:color w:val="auto"/>
          <w:sz w:val="31"/>
          <w:szCs w:val="31"/>
        </w:rPr>
        <w:t>起草特色产业发展规划、计划并组织实施。负责指导全县蔬菜、水果、食用菌、中药材、棉花等特色产业发展及标准化生产</w:t>
      </w:r>
    </w:p>
    <w:p>
      <w:pPr>
        <w:sectPr>
          <w:pgSz w:w="11900" w:h="16838"/>
          <w:pgMar w:top="1440" w:right="1366" w:bottom="1440" w:left="1440" w:header="0" w:footer="0" w:gutter="0"/>
          <w:cols w:equalWidth="0" w:num="1">
            <w:col w:w="9100"/>
          </w:cols>
        </w:sectPr>
      </w:pPr>
    </w:p>
    <w:p>
      <w:pPr>
        <w:spacing w:after="0" w:line="200" w:lineRule="exact"/>
        <w:rPr>
          <w:color w:val="auto"/>
          <w:sz w:val="20"/>
          <w:szCs w:val="20"/>
        </w:rPr>
      </w:pPr>
      <w:bookmarkStart w:id="15" w:name="page16"/>
      <w:bookmarkEnd w:id="15"/>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73" w:lineRule="exact"/>
        <w:ind w:left="140"/>
        <w:jc w:val="both"/>
        <w:rPr>
          <w:color w:val="auto"/>
          <w:sz w:val="20"/>
          <w:szCs w:val="20"/>
        </w:rPr>
      </w:pPr>
      <w:r>
        <w:rPr>
          <w:rFonts w:ascii="宋体" w:hAnsi="宋体" w:eastAsia="宋体" w:cs="宋体"/>
          <w:color w:val="auto"/>
          <w:sz w:val="32"/>
          <w:szCs w:val="32"/>
        </w:rPr>
        <w:t>工作，研究提出特色产业发展政策建议和重大技术措施。组织实施特色产业布局、效益提高以及产品贮藏、加工、流通方面的政策和措施。协调解决蔬菜、水果等特色产业发展中的重大问题。指导蔬菜和水果等特色农产品产销衔接。承担农药生产、经营和质量管理，指导农药科学合理使用。承担县政府</w:t>
      </w:r>
      <w:r>
        <w:rPr>
          <w:rFonts w:ascii="Arial" w:hAnsi="Arial" w:eastAsia="Arial" w:cs="Arial"/>
          <w:color w:val="auto"/>
          <w:sz w:val="32"/>
          <w:szCs w:val="32"/>
        </w:rPr>
        <w:t>“</w:t>
      </w:r>
      <w:r>
        <w:rPr>
          <w:rFonts w:ascii="宋体" w:hAnsi="宋体" w:eastAsia="宋体" w:cs="宋体"/>
          <w:color w:val="auto"/>
          <w:sz w:val="32"/>
          <w:szCs w:val="32"/>
        </w:rPr>
        <w:t>菜篮子</w:t>
      </w:r>
      <w:r>
        <w:rPr>
          <w:rFonts w:ascii="Arial" w:hAnsi="Arial" w:eastAsia="Arial" w:cs="Arial"/>
          <w:color w:val="auto"/>
          <w:sz w:val="32"/>
          <w:szCs w:val="32"/>
        </w:rPr>
        <w:t>”</w:t>
      </w:r>
      <w:r>
        <w:rPr>
          <w:rFonts w:ascii="宋体" w:hAnsi="宋体" w:eastAsia="宋体" w:cs="宋体"/>
          <w:color w:val="auto"/>
          <w:sz w:val="32"/>
          <w:szCs w:val="32"/>
        </w:rPr>
        <w:t>工作的组织、协调、监督、指导、服务工作。</w:t>
      </w:r>
    </w:p>
    <w:p>
      <w:pPr>
        <w:spacing w:after="0" w:line="200" w:lineRule="exact"/>
        <w:rPr>
          <w:color w:val="auto"/>
          <w:sz w:val="20"/>
          <w:szCs w:val="20"/>
        </w:rPr>
      </w:pPr>
    </w:p>
    <w:p>
      <w:pPr>
        <w:spacing w:after="0" w:line="268" w:lineRule="exact"/>
        <w:rPr>
          <w:color w:val="auto"/>
          <w:sz w:val="20"/>
          <w:szCs w:val="20"/>
        </w:rPr>
      </w:pPr>
    </w:p>
    <w:p>
      <w:pPr>
        <w:spacing w:after="0" w:line="580" w:lineRule="exact"/>
        <w:ind w:left="140" w:right="100" w:firstLine="641"/>
        <w:jc w:val="both"/>
        <w:rPr>
          <w:color w:val="auto"/>
          <w:sz w:val="20"/>
          <w:szCs w:val="20"/>
        </w:rPr>
      </w:pPr>
      <w:r>
        <w:rPr>
          <w:rFonts w:ascii="宋体" w:hAnsi="宋体" w:eastAsia="宋体" w:cs="宋体"/>
          <w:color w:val="auto"/>
          <w:sz w:val="32"/>
          <w:szCs w:val="32"/>
        </w:rPr>
        <w:t>负责组织编制全县综合农业资源区划和农业区域规划。组织开展农业资源保护、开发和利用战略研究。指导农业资源优化配置。综合管理农业资源，指导水、土地、气候、生物等资源的综合利用工作。组织农业资源调查、监测、评价，协助有关部门抓好农村生态环境保护工作。组织和参与跨县、跨部门重大综合性农业项目的前期论证和综合评价。负责农业资源保护、开发和利用有关实验区工作。</w:t>
      </w:r>
    </w:p>
    <w:p>
      <w:pPr>
        <w:spacing w:after="0" w:line="200" w:lineRule="exact"/>
        <w:rPr>
          <w:color w:val="auto"/>
          <w:sz w:val="20"/>
          <w:szCs w:val="20"/>
        </w:rPr>
      </w:pPr>
    </w:p>
    <w:p>
      <w:pPr>
        <w:spacing w:after="0" w:line="271" w:lineRule="exact"/>
        <w:rPr>
          <w:color w:val="auto"/>
          <w:sz w:val="20"/>
          <w:szCs w:val="20"/>
        </w:rPr>
      </w:pPr>
    </w:p>
    <w:p>
      <w:pPr>
        <w:spacing w:after="0" w:line="580" w:lineRule="exact"/>
        <w:ind w:left="140" w:firstLine="641"/>
        <w:jc w:val="both"/>
        <w:rPr>
          <w:color w:val="auto"/>
          <w:sz w:val="20"/>
          <w:szCs w:val="20"/>
        </w:rPr>
      </w:pPr>
      <w:r>
        <w:rPr>
          <w:rFonts w:ascii="宋体" w:hAnsi="宋体" w:eastAsia="宋体" w:cs="宋体"/>
          <w:color w:val="auto"/>
          <w:sz w:val="31"/>
          <w:szCs w:val="31"/>
        </w:rPr>
        <w:t>（三）农村科。统筹乡村振兴工作的实施推进，牵头组织改善农村人居环境。协调推动农村基础设施建设。负责美丽乡村建设方面的政策研究，拟订全县美丽乡村建设计划和工作方案。负责美丽乡村建设工作的督导落实。协调推动农村社会事业发展、乡村治理、公共服务体系建设。指导乡村文明和优秀农耕文化建设。指导农民体育事业发展。起草农业农村经济发展规划。承担推动农业高质量发展有关工作。组织提出农业投资规模、方向及</w:t>
      </w:r>
    </w:p>
    <w:p>
      <w:pPr>
        <w:sectPr>
          <w:pgSz w:w="11900" w:h="16838"/>
          <w:pgMar w:top="1440" w:right="1366" w:bottom="1440" w:left="1440" w:header="0" w:footer="0" w:gutter="0"/>
          <w:cols w:equalWidth="0" w:num="1">
            <w:col w:w="9100"/>
          </w:cols>
        </w:sectPr>
      </w:pPr>
    </w:p>
    <w:p>
      <w:pPr>
        <w:spacing w:after="0" w:line="200" w:lineRule="exact"/>
        <w:rPr>
          <w:color w:val="auto"/>
          <w:sz w:val="20"/>
          <w:szCs w:val="20"/>
        </w:rPr>
      </w:pPr>
      <w:bookmarkStart w:id="16" w:name="page17"/>
      <w:bookmarkEnd w:id="16"/>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522" w:lineRule="exact"/>
        <w:ind w:left="140" w:right="46"/>
        <w:jc w:val="both"/>
        <w:rPr>
          <w:color w:val="auto"/>
          <w:sz w:val="20"/>
          <w:szCs w:val="20"/>
        </w:rPr>
      </w:pPr>
      <w:r>
        <w:rPr>
          <w:rFonts w:ascii="宋体" w:hAnsi="宋体" w:eastAsia="宋体" w:cs="宋体"/>
          <w:color w:val="auto"/>
          <w:sz w:val="32"/>
          <w:szCs w:val="32"/>
        </w:rPr>
        <w:t>项目建议。负责现代农业园区建设，承担现代农业园区综合开发重大项目管理相关工作，组织县级现代农业园区建设，指导乡镇开展现代农业园区建设。承担农业产业扶贫工作。</w:t>
      </w:r>
    </w:p>
    <w:p>
      <w:pPr>
        <w:spacing w:after="0" w:line="200" w:lineRule="exact"/>
        <w:rPr>
          <w:color w:val="auto"/>
          <w:sz w:val="20"/>
          <w:szCs w:val="20"/>
        </w:rPr>
      </w:pPr>
    </w:p>
    <w:p>
      <w:pPr>
        <w:spacing w:after="0" w:line="268" w:lineRule="exact"/>
        <w:rPr>
          <w:color w:val="auto"/>
          <w:sz w:val="20"/>
          <w:szCs w:val="20"/>
        </w:rPr>
      </w:pPr>
    </w:p>
    <w:p>
      <w:pPr>
        <w:spacing w:after="0" w:line="546" w:lineRule="exact"/>
        <w:ind w:left="140" w:right="26" w:firstLine="641"/>
        <w:jc w:val="both"/>
        <w:rPr>
          <w:color w:val="auto"/>
          <w:sz w:val="20"/>
          <w:szCs w:val="20"/>
        </w:rPr>
      </w:pPr>
      <w:r>
        <w:rPr>
          <w:rFonts w:ascii="宋体" w:hAnsi="宋体" w:eastAsia="宋体" w:cs="宋体"/>
          <w:color w:val="auto"/>
          <w:sz w:val="32"/>
          <w:szCs w:val="32"/>
        </w:rPr>
        <w:t>提出农业农村改革发展相关重大政策建议。提出巩固完善农村基本经营制度的政策建议，指导发展农村新型农业经营主体和多种形式适度规模经营。承担农民承包地改革和管理、农村集体产权制度改革工作。指导组织农村改革试验区工作。</w:t>
      </w:r>
    </w:p>
    <w:p>
      <w:pPr>
        <w:spacing w:after="0" w:line="200" w:lineRule="exact"/>
        <w:rPr>
          <w:color w:val="auto"/>
          <w:sz w:val="20"/>
          <w:szCs w:val="20"/>
        </w:rPr>
      </w:pPr>
    </w:p>
    <w:p>
      <w:pPr>
        <w:spacing w:after="0" w:line="271" w:lineRule="exact"/>
        <w:rPr>
          <w:color w:val="auto"/>
          <w:sz w:val="20"/>
          <w:szCs w:val="20"/>
        </w:rPr>
      </w:pPr>
    </w:p>
    <w:p>
      <w:pPr>
        <w:spacing w:after="0" w:line="563" w:lineRule="exact"/>
        <w:ind w:left="140" w:right="26" w:firstLine="641"/>
        <w:jc w:val="both"/>
        <w:rPr>
          <w:color w:val="auto"/>
          <w:sz w:val="20"/>
          <w:szCs w:val="20"/>
        </w:rPr>
      </w:pPr>
      <w:r>
        <w:rPr>
          <w:rFonts w:ascii="宋体" w:hAnsi="宋体" w:eastAsia="宋体" w:cs="宋体"/>
          <w:color w:val="auto"/>
          <w:sz w:val="32"/>
          <w:szCs w:val="32"/>
        </w:rPr>
        <w:t>监督减轻农民负担和村民</w:t>
      </w:r>
      <w:r>
        <w:rPr>
          <w:rFonts w:ascii="Arial" w:hAnsi="Arial" w:eastAsia="Arial" w:cs="Arial"/>
          <w:color w:val="auto"/>
          <w:sz w:val="32"/>
          <w:szCs w:val="32"/>
        </w:rPr>
        <w:t>“</w:t>
      </w:r>
      <w:r>
        <w:rPr>
          <w:rFonts w:ascii="宋体" w:hAnsi="宋体" w:eastAsia="宋体" w:cs="宋体"/>
          <w:color w:val="auto"/>
          <w:sz w:val="32"/>
          <w:szCs w:val="32"/>
        </w:rPr>
        <w:t>一事一议</w:t>
      </w:r>
      <w:r>
        <w:rPr>
          <w:rFonts w:ascii="Arial" w:hAnsi="Arial" w:eastAsia="Arial" w:cs="Arial"/>
          <w:color w:val="auto"/>
          <w:sz w:val="32"/>
          <w:szCs w:val="32"/>
        </w:rPr>
        <w:t>”</w:t>
      </w:r>
      <w:r>
        <w:rPr>
          <w:rFonts w:ascii="宋体" w:hAnsi="宋体" w:eastAsia="宋体" w:cs="宋体"/>
          <w:color w:val="auto"/>
          <w:sz w:val="32"/>
          <w:szCs w:val="32"/>
        </w:rPr>
        <w:t>筹资筹劳管理。指导农村集体资产和财务管理、农民合作经济组织和农业社会化服务体系建设。组织实施农村宅基地管理和使用相关政策，指导宅基地分配、使用、流转、纠纷仲裁管理和宅基地合理布局、用地标准，指导闲置宅基地和闲置农房利用。</w:t>
      </w:r>
    </w:p>
    <w:p>
      <w:pPr>
        <w:spacing w:after="0" w:line="200" w:lineRule="exact"/>
        <w:rPr>
          <w:color w:val="auto"/>
          <w:sz w:val="20"/>
          <w:szCs w:val="20"/>
        </w:rPr>
      </w:pPr>
    </w:p>
    <w:p>
      <w:pPr>
        <w:spacing w:after="0" w:line="235" w:lineRule="exact"/>
        <w:rPr>
          <w:color w:val="auto"/>
          <w:sz w:val="20"/>
          <w:szCs w:val="20"/>
        </w:rPr>
      </w:pPr>
    </w:p>
    <w:p>
      <w:pPr>
        <w:spacing w:after="0" w:line="354" w:lineRule="exact"/>
        <w:ind w:left="800"/>
        <w:rPr>
          <w:color w:val="auto"/>
          <w:sz w:val="20"/>
          <w:szCs w:val="20"/>
        </w:rPr>
      </w:pPr>
      <w:r>
        <w:rPr>
          <w:rFonts w:ascii="宋体" w:hAnsi="宋体" w:eastAsia="宋体" w:cs="宋体"/>
          <w:color w:val="auto"/>
          <w:sz w:val="31"/>
          <w:szCs w:val="31"/>
        </w:rPr>
        <w:t xml:space="preserve">第八条县农业农村局机关行政编制 </w:t>
      </w:r>
      <w:r>
        <w:rPr>
          <w:rFonts w:ascii="仿宋" w:hAnsi="仿宋" w:eastAsia="仿宋" w:cs="仿宋"/>
          <w:color w:val="auto"/>
          <w:sz w:val="31"/>
          <w:szCs w:val="31"/>
        </w:rPr>
        <w:t>10</w:t>
      </w:r>
      <w:r>
        <w:rPr>
          <w:rFonts w:ascii="宋体" w:hAnsi="宋体" w:eastAsia="宋体" w:cs="宋体"/>
          <w:color w:val="auto"/>
          <w:sz w:val="31"/>
          <w:szCs w:val="31"/>
        </w:rPr>
        <w:t xml:space="preserve"> 名。股级领导职数 </w:t>
      </w:r>
      <w:r>
        <w:rPr>
          <w:rFonts w:ascii="仿宋" w:hAnsi="仿宋" w:eastAsia="仿宋" w:cs="仿宋"/>
          <w:color w:val="auto"/>
          <w:sz w:val="31"/>
          <w:szCs w:val="31"/>
        </w:rPr>
        <w:t>3</w:t>
      </w:r>
    </w:p>
    <w:p>
      <w:pPr>
        <w:spacing w:after="0" w:line="259"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名。</w:t>
      </w:r>
    </w:p>
    <w:p>
      <w:pPr>
        <w:spacing w:after="0" w:line="200" w:lineRule="exact"/>
        <w:rPr>
          <w:color w:val="auto"/>
          <w:sz w:val="20"/>
          <w:szCs w:val="20"/>
        </w:rPr>
      </w:pPr>
    </w:p>
    <w:p>
      <w:pPr>
        <w:spacing w:after="0" w:line="220"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科级领导职数设置另行明确。</w:t>
      </w:r>
    </w:p>
    <w:p>
      <w:pPr>
        <w:spacing w:after="0" w:line="200" w:lineRule="exact"/>
        <w:rPr>
          <w:color w:val="auto"/>
          <w:sz w:val="20"/>
          <w:szCs w:val="20"/>
        </w:rPr>
      </w:pPr>
    </w:p>
    <w:p>
      <w:pPr>
        <w:spacing w:after="0" w:line="266" w:lineRule="exact"/>
        <w:rPr>
          <w:color w:val="auto"/>
          <w:sz w:val="20"/>
          <w:szCs w:val="20"/>
        </w:rPr>
      </w:pPr>
    </w:p>
    <w:p>
      <w:pPr>
        <w:spacing w:after="0" w:line="470" w:lineRule="exact"/>
        <w:ind w:left="140" w:right="26" w:firstLine="641"/>
        <w:jc w:val="both"/>
        <w:rPr>
          <w:color w:val="auto"/>
          <w:sz w:val="20"/>
          <w:szCs w:val="20"/>
        </w:rPr>
      </w:pPr>
      <w:r>
        <w:rPr>
          <w:rFonts w:ascii="宋体" w:hAnsi="宋体" w:eastAsia="宋体" w:cs="宋体"/>
          <w:color w:val="auto"/>
          <w:sz w:val="32"/>
          <w:szCs w:val="32"/>
        </w:rPr>
        <w:t>第九条县农业农村局所属事业单位的设置、职责和编制事项另行规定。</w:t>
      </w:r>
    </w:p>
    <w:p>
      <w:pPr>
        <w:spacing w:after="0" w:line="200" w:lineRule="exact"/>
        <w:rPr>
          <w:color w:val="auto"/>
          <w:sz w:val="20"/>
          <w:szCs w:val="20"/>
        </w:rPr>
      </w:pPr>
    </w:p>
    <w:p>
      <w:pPr>
        <w:spacing w:after="0" w:line="269" w:lineRule="exact"/>
        <w:rPr>
          <w:color w:val="auto"/>
          <w:sz w:val="20"/>
          <w:szCs w:val="20"/>
        </w:rPr>
      </w:pPr>
    </w:p>
    <w:p>
      <w:pPr>
        <w:spacing w:after="0" w:line="470" w:lineRule="exact"/>
        <w:ind w:left="140" w:right="46" w:firstLine="641"/>
        <w:jc w:val="both"/>
        <w:rPr>
          <w:color w:val="auto"/>
          <w:sz w:val="20"/>
          <w:szCs w:val="20"/>
        </w:rPr>
      </w:pPr>
      <w:r>
        <w:rPr>
          <w:rFonts w:ascii="宋体" w:hAnsi="宋体" w:eastAsia="宋体" w:cs="宋体"/>
          <w:color w:val="auto"/>
          <w:sz w:val="31"/>
          <w:szCs w:val="31"/>
        </w:rPr>
        <w:t>第十条本规定具体解释工作由中共馆陶县委机构编制委员会办公室承担，其调整由中共馆陶县委机构编制委员会办公室按</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7" w:name="page18"/>
      <w:bookmarkEnd w:id="17"/>
    </w:p>
    <w:p>
      <w:pPr>
        <w:spacing w:after="0" w:line="200" w:lineRule="exact"/>
        <w:rPr>
          <w:color w:val="auto"/>
          <w:sz w:val="20"/>
          <w:szCs w:val="20"/>
        </w:rPr>
      </w:pPr>
    </w:p>
    <w:p>
      <w:pPr>
        <w:spacing w:after="0" w:line="362" w:lineRule="exact"/>
        <w:rPr>
          <w:color w:val="auto"/>
          <w:sz w:val="20"/>
          <w:szCs w:val="20"/>
        </w:rPr>
      </w:pPr>
    </w:p>
    <w:p>
      <w:pPr>
        <w:spacing w:after="0" w:line="366" w:lineRule="exact"/>
        <w:ind w:left="420"/>
        <w:rPr>
          <w:color w:val="auto"/>
          <w:sz w:val="20"/>
          <w:szCs w:val="20"/>
        </w:rPr>
      </w:pPr>
      <w:r>
        <w:rPr>
          <w:rFonts w:ascii="宋体" w:hAnsi="宋体" w:eastAsia="宋体" w:cs="宋体"/>
          <w:color w:val="auto"/>
          <w:sz w:val="32"/>
          <w:szCs w:val="32"/>
        </w:rPr>
        <w:t>规定程序办理。</w:t>
      </w:r>
    </w:p>
    <w:p>
      <w:pPr>
        <w:spacing w:after="0" w:line="200" w:lineRule="exact"/>
        <w:rPr>
          <w:color w:val="auto"/>
          <w:sz w:val="20"/>
          <w:szCs w:val="20"/>
        </w:rPr>
      </w:pPr>
    </w:p>
    <w:p>
      <w:pPr>
        <w:spacing w:after="0" w:line="275" w:lineRule="exact"/>
        <w:rPr>
          <w:color w:val="auto"/>
          <w:sz w:val="20"/>
          <w:szCs w:val="20"/>
        </w:rPr>
      </w:pPr>
    </w:p>
    <w:p>
      <w:pPr>
        <w:spacing w:after="0" w:line="366" w:lineRule="exact"/>
        <w:ind w:left="420"/>
        <w:rPr>
          <w:color w:val="auto"/>
          <w:sz w:val="20"/>
          <w:szCs w:val="20"/>
        </w:rPr>
      </w:pPr>
      <w:r>
        <w:rPr>
          <w:rFonts w:ascii="宋体" w:hAnsi="宋体" w:eastAsia="宋体" w:cs="宋体"/>
          <w:color w:val="auto"/>
          <w:sz w:val="32"/>
          <w:szCs w:val="32"/>
        </w:rPr>
        <w:t>二、机构设置</w:t>
      </w:r>
    </w:p>
    <w:p>
      <w:pPr>
        <w:spacing w:after="0" w:line="252" w:lineRule="exact"/>
        <w:rPr>
          <w:color w:val="auto"/>
          <w:sz w:val="20"/>
          <w:szCs w:val="20"/>
        </w:rPr>
      </w:pPr>
    </w:p>
    <w:p>
      <w:pPr>
        <w:spacing w:after="0" w:line="438" w:lineRule="exact"/>
        <w:ind w:left="420" w:right="320"/>
        <w:rPr>
          <w:color w:val="auto"/>
          <w:sz w:val="20"/>
          <w:szCs w:val="20"/>
        </w:rPr>
      </w:pPr>
      <w:r>
        <w:rPr>
          <w:rFonts w:ascii="宋体" w:hAnsi="宋体" w:eastAsia="宋体" w:cs="宋体"/>
          <w:color w:val="auto"/>
          <w:sz w:val="32"/>
          <w:szCs w:val="32"/>
        </w:rPr>
        <w:t>从决算编报单位构成看，纳入</w:t>
      </w:r>
      <w:r>
        <w:rPr>
          <w:rFonts w:ascii="Arial" w:hAnsi="Arial" w:eastAsia="Arial" w:cs="Arial"/>
          <w:color w:val="auto"/>
          <w:sz w:val="32"/>
          <w:szCs w:val="32"/>
        </w:rPr>
        <w:t xml:space="preserve"> 2018 </w:t>
      </w:r>
      <w:r>
        <w:rPr>
          <w:rFonts w:ascii="宋体" w:hAnsi="宋体" w:eastAsia="宋体" w:cs="宋体"/>
          <w:color w:val="auto"/>
          <w:sz w:val="32"/>
          <w:szCs w:val="32"/>
        </w:rPr>
        <w:t>年度本部门决算汇编范围的独立核算单位（以下简称</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）共</w:t>
      </w:r>
      <w:r>
        <w:rPr>
          <w:rFonts w:ascii="Arial" w:hAnsi="Arial" w:eastAsia="Arial" w:cs="Arial"/>
          <w:color w:val="auto"/>
          <w:sz w:val="32"/>
          <w:szCs w:val="32"/>
        </w:rPr>
        <w:t xml:space="preserve"> 1 </w:t>
      </w:r>
      <w:r>
        <w:rPr>
          <w:rFonts w:ascii="宋体" w:hAnsi="宋体" w:eastAsia="宋体" w:cs="宋体"/>
          <w:color w:val="auto"/>
          <w:sz w:val="32"/>
          <w:szCs w:val="32"/>
        </w:rPr>
        <w:t>个，具体情况如下：</w:t>
      </w:r>
    </w:p>
    <w:p>
      <w:pPr>
        <w:spacing w:after="0" w:line="59" w:lineRule="exact"/>
        <w:rPr>
          <w:color w:val="auto"/>
          <w:sz w:val="20"/>
          <w:szCs w:val="20"/>
        </w:rPr>
      </w:pPr>
    </w:p>
    <w:tbl>
      <w:tblPr>
        <w:tblStyle w:val="4"/>
        <w:tblW w:w="9600" w:type="dxa"/>
        <w:tblInd w:w="10" w:type="dxa"/>
        <w:tblLayout w:type="fixed"/>
        <w:tblCellMar>
          <w:top w:w="0" w:type="dxa"/>
          <w:left w:w="0" w:type="dxa"/>
          <w:bottom w:w="0" w:type="dxa"/>
          <w:right w:w="0" w:type="dxa"/>
        </w:tblCellMar>
      </w:tblPr>
      <w:tblGrid>
        <w:gridCol w:w="1000"/>
        <w:gridCol w:w="3500"/>
        <w:gridCol w:w="2440"/>
        <w:gridCol w:w="2660"/>
      </w:tblGrid>
      <w:tr>
        <w:tblPrEx>
          <w:tblLayout w:type="fixed"/>
          <w:tblCellMar>
            <w:top w:w="0" w:type="dxa"/>
            <w:left w:w="0" w:type="dxa"/>
            <w:bottom w:w="0" w:type="dxa"/>
            <w:right w:w="0" w:type="dxa"/>
          </w:tblCellMar>
        </w:tblPrEx>
        <w:trPr>
          <w:trHeight w:val="621" w:hRule="atLeast"/>
        </w:trPr>
        <w:tc>
          <w:tcPr>
            <w:tcW w:w="1000" w:type="dxa"/>
            <w:tcBorders>
              <w:top w:val="single" w:color="auto" w:sz="8" w:space="0"/>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b/>
                <w:bCs/>
                <w:color w:val="auto"/>
                <w:w w:val="99"/>
                <w:sz w:val="28"/>
                <w:szCs w:val="28"/>
              </w:rPr>
              <w:t>序号</w:t>
            </w:r>
          </w:p>
        </w:tc>
        <w:tc>
          <w:tcPr>
            <w:tcW w:w="3500" w:type="dxa"/>
            <w:tcBorders>
              <w:top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b/>
                <w:bCs/>
                <w:color w:val="auto"/>
                <w:sz w:val="28"/>
                <w:szCs w:val="28"/>
              </w:rPr>
              <w:t>单位名称</w:t>
            </w:r>
          </w:p>
        </w:tc>
        <w:tc>
          <w:tcPr>
            <w:tcW w:w="2440" w:type="dxa"/>
            <w:tcBorders>
              <w:top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b/>
                <w:bCs/>
                <w:color w:val="auto"/>
                <w:w w:val="99"/>
                <w:sz w:val="28"/>
                <w:szCs w:val="28"/>
              </w:rPr>
              <w:t>单位基本性质</w:t>
            </w:r>
          </w:p>
        </w:tc>
        <w:tc>
          <w:tcPr>
            <w:tcW w:w="2660" w:type="dxa"/>
            <w:tcBorders>
              <w:top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b/>
                <w:bCs/>
                <w:color w:val="auto"/>
                <w:w w:val="99"/>
                <w:sz w:val="28"/>
                <w:szCs w:val="28"/>
              </w:rPr>
              <w:t>经费形式</w:t>
            </w:r>
          </w:p>
        </w:tc>
      </w:tr>
      <w:tr>
        <w:tblPrEx>
          <w:tblLayout w:type="fixed"/>
          <w:tblCellMar>
            <w:top w:w="0" w:type="dxa"/>
            <w:left w:w="0" w:type="dxa"/>
            <w:bottom w:w="0" w:type="dxa"/>
            <w:right w:w="0" w:type="dxa"/>
          </w:tblCellMar>
        </w:tblPrEx>
        <w:trPr>
          <w:trHeight w:val="200" w:hRule="atLeast"/>
        </w:trPr>
        <w:tc>
          <w:tcPr>
            <w:tcW w:w="100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3500" w:type="dxa"/>
            <w:tcBorders>
              <w:bottom w:val="single" w:color="auto" w:sz="8" w:space="0"/>
              <w:right w:val="single" w:color="auto" w:sz="8" w:space="0"/>
            </w:tcBorders>
            <w:vAlign w:val="bottom"/>
          </w:tcPr>
          <w:p>
            <w:pPr>
              <w:spacing w:after="0"/>
              <w:rPr>
                <w:color w:val="auto"/>
                <w:sz w:val="17"/>
                <w:szCs w:val="17"/>
              </w:rPr>
            </w:pPr>
          </w:p>
        </w:tc>
        <w:tc>
          <w:tcPr>
            <w:tcW w:w="2440" w:type="dxa"/>
            <w:tcBorders>
              <w:bottom w:val="single" w:color="auto" w:sz="8" w:space="0"/>
              <w:right w:val="single" w:color="auto" w:sz="8" w:space="0"/>
            </w:tcBorders>
            <w:vAlign w:val="bottom"/>
          </w:tcPr>
          <w:p>
            <w:pPr>
              <w:spacing w:after="0"/>
              <w:rPr>
                <w:color w:val="auto"/>
                <w:sz w:val="17"/>
                <w:szCs w:val="17"/>
              </w:rPr>
            </w:pPr>
          </w:p>
        </w:tc>
        <w:tc>
          <w:tcPr>
            <w:tcW w:w="2660" w:type="dxa"/>
            <w:tcBorders>
              <w:bottom w:val="single" w:color="auto" w:sz="8" w:space="0"/>
              <w:right w:val="single" w:color="auto" w:sz="8" w:space="0"/>
            </w:tcBorders>
            <w:vAlign w:val="bottom"/>
          </w:tcPr>
          <w:p>
            <w:pPr>
              <w:spacing w:after="0"/>
              <w:rPr>
                <w:color w:val="auto"/>
                <w:sz w:val="17"/>
                <w:szCs w:val="17"/>
              </w:rPr>
            </w:pPr>
          </w:p>
        </w:tc>
      </w:tr>
      <w:tr>
        <w:tblPrEx>
          <w:tblLayout w:type="fixed"/>
          <w:tblCellMar>
            <w:top w:w="0" w:type="dxa"/>
            <w:left w:w="0" w:type="dxa"/>
            <w:bottom w:w="0" w:type="dxa"/>
            <w:right w:w="0" w:type="dxa"/>
          </w:tblCellMar>
        </w:tblPrEx>
        <w:trPr>
          <w:trHeight w:val="476" w:hRule="atLeast"/>
        </w:trPr>
        <w:tc>
          <w:tcPr>
            <w:tcW w:w="1000" w:type="dxa"/>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89"/>
                <w:sz w:val="28"/>
                <w:szCs w:val="28"/>
              </w:rPr>
              <w:t>1</w:t>
            </w:r>
          </w:p>
        </w:tc>
        <w:tc>
          <w:tcPr>
            <w:tcW w:w="3500" w:type="dxa"/>
            <w:tcBorders>
              <w:right w:val="single" w:color="auto" w:sz="8" w:space="0"/>
            </w:tcBorders>
            <w:vAlign w:val="bottom"/>
          </w:tcPr>
          <w:p>
            <w:pPr>
              <w:spacing w:after="0" w:line="366" w:lineRule="exact"/>
              <w:jc w:val="center"/>
              <w:rPr>
                <w:color w:val="auto"/>
                <w:sz w:val="20"/>
                <w:szCs w:val="20"/>
              </w:rPr>
            </w:pPr>
            <w:r>
              <w:rPr>
                <w:rFonts w:ascii="宋体" w:hAnsi="宋体" w:eastAsia="宋体" w:cs="宋体"/>
                <w:color w:val="auto"/>
                <w:w w:val="99"/>
                <w:sz w:val="32"/>
                <w:szCs w:val="32"/>
              </w:rPr>
              <w:t>馆陶县农业农村局</w:t>
            </w:r>
          </w:p>
        </w:tc>
        <w:tc>
          <w:tcPr>
            <w:tcW w:w="2440" w:type="dxa"/>
            <w:tcBorders>
              <w:right w:val="single" w:color="auto" w:sz="8" w:space="0"/>
            </w:tcBorders>
            <w:vAlign w:val="bottom"/>
          </w:tcPr>
          <w:p>
            <w:pPr>
              <w:spacing w:after="0" w:line="366" w:lineRule="exact"/>
              <w:jc w:val="center"/>
              <w:rPr>
                <w:color w:val="auto"/>
                <w:sz w:val="20"/>
                <w:szCs w:val="20"/>
              </w:rPr>
            </w:pPr>
            <w:r>
              <w:rPr>
                <w:rFonts w:ascii="宋体" w:hAnsi="宋体" w:eastAsia="宋体" w:cs="宋体"/>
                <w:color w:val="auto"/>
                <w:w w:val="99"/>
                <w:sz w:val="32"/>
                <w:szCs w:val="32"/>
              </w:rPr>
              <w:t>行政</w:t>
            </w:r>
          </w:p>
        </w:tc>
        <w:tc>
          <w:tcPr>
            <w:tcW w:w="2660" w:type="dxa"/>
            <w:tcBorders>
              <w:right w:val="single" w:color="auto" w:sz="8" w:space="0"/>
            </w:tcBorders>
            <w:vAlign w:val="bottom"/>
          </w:tcPr>
          <w:p>
            <w:pPr>
              <w:spacing w:after="0" w:line="366" w:lineRule="exact"/>
              <w:jc w:val="center"/>
              <w:rPr>
                <w:color w:val="auto"/>
                <w:sz w:val="20"/>
                <w:szCs w:val="20"/>
              </w:rPr>
            </w:pPr>
            <w:r>
              <w:rPr>
                <w:rFonts w:ascii="宋体" w:hAnsi="宋体" w:eastAsia="宋体" w:cs="宋体"/>
                <w:color w:val="auto"/>
                <w:w w:val="99"/>
                <w:sz w:val="32"/>
                <w:szCs w:val="32"/>
              </w:rPr>
              <w:t>正科级</w:t>
            </w:r>
          </w:p>
        </w:tc>
      </w:tr>
      <w:tr>
        <w:tblPrEx>
          <w:tblLayout w:type="fixed"/>
          <w:tblCellMar>
            <w:top w:w="0" w:type="dxa"/>
            <w:left w:w="0" w:type="dxa"/>
            <w:bottom w:w="0" w:type="dxa"/>
            <w:right w:w="0" w:type="dxa"/>
          </w:tblCellMar>
        </w:tblPrEx>
        <w:trPr>
          <w:trHeight w:val="298" w:hRule="atLeast"/>
        </w:trPr>
        <w:tc>
          <w:tcPr>
            <w:tcW w:w="10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500" w:type="dxa"/>
            <w:tcBorders>
              <w:bottom w:val="single" w:color="auto" w:sz="8" w:space="0"/>
              <w:right w:val="single" w:color="auto" w:sz="8" w:space="0"/>
            </w:tcBorders>
            <w:vAlign w:val="bottom"/>
          </w:tcPr>
          <w:p>
            <w:pPr>
              <w:spacing w:after="0"/>
              <w:rPr>
                <w:color w:val="auto"/>
                <w:sz w:val="24"/>
                <w:szCs w:val="24"/>
              </w:rPr>
            </w:pPr>
          </w:p>
        </w:tc>
        <w:tc>
          <w:tcPr>
            <w:tcW w:w="2440" w:type="dxa"/>
            <w:tcBorders>
              <w:bottom w:val="single" w:color="auto" w:sz="8" w:space="0"/>
              <w:right w:val="single" w:color="auto" w:sz="8" w:space="0"/>
            </w:tcBorders>
            <w:vAlign w:val="bottom"/>
          </w:tcPr>
          <w:p>
            <w:pPr>
              <w:spacing w:after="0"/>
              <w:rPr>
                <w:color w:val="auto"/>
                <w:sz w:val="24"/>
                <w:szCs w:val="24"/>
              </w:rPr>
            </w:pPr>
          </w:p>
        </w:tc>
        <w:tc>
          <w:tcPr>
            <w:tcW w:w="266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76" w:hRule="atLeast"/>
        </w:trPr>
        <w:tc>
          <w:tcPr>
            <w:tcW w:w="1000" w:type="dxa"/>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89"/>
                <w:sz w:val="28"/>
                <w:szCs w:val="28"/>
              </w:rPr>
              <w:t>2</w:t>
            </w:r>
          </w:p>
        </w:tc>
        <w:tc>
          <w:tcPr>
            <w:tcW w:w="3500" w:type="dxa"/>
            <w:tcBorders>
              <w:right w:val="single" w:color="auto" w:sz="8" w:space="0"/>
            </w:tcBorders>
            <w:vAlign w:val="bottom"/>
          </w:tcPr>
          <w:p>
            <w:pPr>
              <w:spacing w:after="0"/>
              <w:rPr>
                <w:color w:val="auto"/>
                <w:sz w:val="24"/>
                <w:szCs w:val="24"/>
              </w:rPr>
            </w:pPr>
          </w:p>
        </w:tc>
        <w:tc>
          <w:tcPr>
            <w:tcW w:w="2440" w:type="dxa"/>
            <w:tcBorders>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rPr>
                <w:color w:val="auto"/>
                <w:sz w:val="24"/>
                <w:szCs w:val="24"/>
              </w:rPr>
            </w:pPr>
          </w:p>
        </w:tc>
      </w:tr>
      <w:tr>
        <w:tblPrEx>
          <w:tblLayout w:type="fixed"/>
        </w:tblPrEx>
        <w:trPr>
          <w:trHeight w:val="108" w:hRule="atLeast"/>
        </w:trPr>
        <w:tc>
          <w:tcPr>
            <w:tcW w:w="100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500" w:type="dxa"/>
            <w:tcBorders>
              <w:bottom w:val="single" w:color="auto" w:sz="8" w:space="0"/>
              <w:right w:val="single" w:color="auto" w:sz="8" w:space="0"/>
            </w:tcBorders>
            <w:vAlign w:val="bottom"/>
          </w:tcPr>
          <w:p>
            <w:pPr>
              <w:spacing w:after="0"/>
              <w:rPr>
                <w:color w:val="auto"/>
                <w:sz w:val="9"/>
                <w:szCs w:val="9"/>
              </w:rPr>
            </w:pPr>
          </w:p>
        </w:tc>
        <w:tc>
          <w:tcPr>
            <w:tcW w:w="2440" w:type="dxa"/>
            <w:tcBorders>
              <w:bottom w:val="single" w:color="auto" w:sz="8" w:space="0"/>
              <w:right w:val="single" w:color="auto" w:sz="8" w:space="0"/>
            </w:tcBorders>
            <w:vAlign w:val="bottom"/>
          </w:tcPr>
          <w:p>
            <w:pPr>
              <w:spacing w:after="0"/>
              <w:rPr>
                <w:color w:val="auto"/>
                <w:sz w:val="9"/>
                <w:szCs w:val="9"/>
              </w:rPr>
            </w:pPr>
          </w:p>
        </w:tc>
        <w:tc>
          <w:tcPr>
            <w:tcW w:w="2660" w:type="dxa"/>
            <w:tcBorders>
              <w:bottom w:val="single" w:color="auto" w:sz="8" w:space="0"/>
              <w:right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476" w:hRule="atLeast"/>
        </w:trPr>
        <w:tc>
          <w:tcPr>
            <w:tcW w:w="1000" w:type="dxa"/>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89"/>
                <w:sz w:val="28"/>
                <w:szCs w:val="28"/>
              </w:rPr>
              <w:t>3</w:t>
            </w:r>
          </w:p>
        </w:tc>
        <w:tc>
          <w:tcPr>
            <w:tcW w:w="3500" w:type="dxa"/>
            <w:tcBorders>
              <w:right w:val="single" w:color="auto" w:sz="8" w:space="0"/>
            </w:tcBorders>
            <w:vAlign w:val="bottom"/>
          </w:tcPr>
          <w:p>
            <w:pPr>
              <w:spacing w:after="0"/>
              <w:rPr>
                <w:color w:val="auto"/>
                <w:sz w:val="24"/>
                <w:szCs w:val="24"/>
              </w:rPr>
            </w:pPr>
          </w:p>
        </w:tc>
        <w:tc>
          <w:tcPr>
            <w:tcW w:w="2440" w:type="dxa"/>
            <w:tcBorders>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11" w:hRule="atLeast"/>
        </w:trPr>
        <w:tc>
          <w:tcPr>
            <w:tcW w:w="100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500" w:type="dxa"/>
            <w:tcBorders>
              <w:bottom w:val="single" w:color="auto" w:sz="8" w:space="0"/>
              <w:right w:val="single" w:color="auto" w:sz="8" w:space="0"/>
            </w:tcBorders>
            <w:vAlign w:val="bottom"/>
          </w:tcPr>
          <w:p>
            <w:pPr>
              <w:spacing w:after="0"/>
              <w:rPr>
                <w:color w:val="auto"/>
                <w:sz w:val="9"/>
                <w:szCs w:val="9"/>
              </w:rPr>
            </w:pPr>
          </w:p>
        </w:tc>
        <w:tc>
          <w:tcPr>
            <w:tcW w:w="2440" w:type="dxa"/>
            <w:tcBorders>
              <w:bottom w:val="single" w:color="auto" w:sz="8" w:space="0"/>
              <w:right w:val="single" w:color="auto" w:sz="8" w:space="0"/>
            </w:tcBorders>
            <w:vAlign w:val="bottom"/>
          </w:tcPr>
          <w:p>
            <w:pPr>
              <w:spacing w:after="0"/>
              <w:rPr>
                <w:color w:val="auto"/>
                <w:sz w:val="9"/>
                <w:szCs w:val="9"/>
              </w:rPr>
            </w:pPr>
          </w:p>
        </w:tc>
        <w:tc>
          <w:tcPr>
            <w:tcW w:w="2660" w:type="dxa"/>
            <w:tcBorders>
              <w:bottom w:val="single" w:color="auto" w:sz="8" w:space="0"/>
              <w:right w:val="single" w:color="auto" w:sz="8" w:space="0"/>
            </w:tcBorders>
            <w:vAlign w:val="bottom"/>
          </w:tcPr>
          <w:p>
            <w:pPr>
              <w:spacing w:after="0"/>
              <w:rPr>
                <w:color w:val="auto"/>
                <w:sz w:val="9"/>
                <w:szCs w:val="9"/>
              </w:rPr>
            </w:pPr>
          </w:p>
        </w:tc>
      </w:tr>
    </w:tbl>
    <w:p>
      <w:pPr>
        <w:sectPr>
          <w:pgSz w:w="11900" w:h="16838"/>
          <w:pgMar w:top="1440" w:right="1146" w:bottom="1440" w:left="1160" w:header="0" w:footer="0" w:gutter="0"/>
          <w:cols w:equalWidth="0" w:num="1">
            <w:col w:w="9600"/>
          </w:cols>
        </w:sectPr>
      </w:pPr>
    </w:p>
    <w:p>
      <w:pPr>
        <w:spacing w:after="0" w:line="200" w:lineRule="exact"/>
        <w:rPr>
          <w:color w:val="auto"/>
          <w:sz w:val="20"/>
          <w:szCs w:val="20"/>
        </w:rPr>
      </w:pPr>
      <w:bookmarkStart w:id="18" w:name="page19"/>
      <w:bookmarkEnd w:id="18"/>
      <w:r>
        <w:rPr>
          <w:color w:val="auto"/>
          <w:sz w:val="20"/>
          <w:szCs w:val="20"/>
        </w:rPr>
        <w:drawing>
          <wp:anchor distT="0" distB="0" distL="114300" distR="114300" simplePos="0" relativeHeight="251658240" behindDoc="1" locked="0" layoutInCell="0" allowOverlap="1">
            <wp:simplePos x="0" y="0"/>
            <wp:positionH relativeFrom="page">
              <wp:posOffset>0</wp:posOffset>
            </wp:positionH>
            <wp:positionV relativeFrom="page">
              <wp:posOffset>5080</wp:posOffset>
            </wp:positionV>
            <wp:extent cx="7555865" cy="10680065"/>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7555865" cy="106800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1096" w:lineRule="exact"/>
        <w:jc w:val="center"/>
        <w:rPr>
          <w:color w:val="auto"/>
          <w:sz w:val="20"/>
          <w:szCs w:val="20"/>
        </w:rPr>
      </w:pPr>
      <w:r>
        <w:rPr>
          <w:rFonts w:ascii="宋体" w:hAnsi="宋体" w:eastAsia="宋体" w:cs="宋体"/>
          <w:color w:val="FDEFBE"/>
          <w:sz w:val="96"/>
          <w:szCs w:val="96"/>
        </w:rPr>
        <w:t>第二部分</w:t>
      </w:r>
    </w:p>
    <w:p>
      <w:pPr>
        <w:spacing w:after="0" w:line="300" w:lineRule="exact"/>
        <w:rPr>
          <w:color w:val="auto"/>
          <w:sz w:val="20"/>
          <w:szCs w:val="20"/>
        </w:rPr>
      </w:pPr>
    </w:p>
    <w:p>
      <w:pPr>
        <w:spacing w:after="0" w:line="1061" w:lineRule="exact"/>
        <w:jc w:val="center"/>
        <w:rPr>
          <w:color w:val="auto"/>
          <w:sz w:val="20"/>
          <w:szCs w:val="20"/>
        </w:rPr>
      </w:pPr>
      <w:r>
        <w:rPr>
          <w:rFonts w:ascii="黑体" w:hAnsi="黑体" w:eastAsia="黑体" w:cs="黑体"/>
          <w:color w:val="FDEFBE"/>
          <w:sz w:val="93"/>
          <w:szCs w:val="93"/>
        </w:rPr>
        <w:t xml:space="preserve">2018 </w:t>
      </w:r>
      <w:r>
        <w:rPr>
          <w:rFonts w:ascii="宋体" w:hAnsi="宋体" w:eastAsia="宋体" w:cs="宋体"/>
          <w:color w:val="FDEFBE"/>
          <w:sz w:val="93"/>
          <w:szCs w:val="93"/>
        </w:rPr>
        <w:t>年度部门决算报表</w:t>
      </w:r>
    </w:p>
    <w:p>
      <w:pPr>
        <w:sectPr>
          <w:pgSz w:w="11900" w:h="16838"/>
          <w:pgMar w:top="1440" w:right="926" w:bottom="1440" w:left="1140" w:header="0" w:footer="0" w:gutter="0"/>
          <w:cols w:equalWidth="0" w:num="1">
            <w:col w:w="9840"/>
          </w:cols>
        </w:sectPr>
      </w:pPr>
    </w:p>
    <w:p>
      <w:pPr>
        <w:spacing w:after="0" w:line="200" w:lineRule="exact"/>
        <w:rPr>
          <w:color w:val="auto"/>
          <w:sz w:val="20"/>
          <w:szCs w:val="20"/>
        </w:rPr>
      </w:pPr>
      <w:bookmarkStart w:id="19" w:name="page20"/>
      <w:bookmarkEnd w:id="19"/>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342265</wp:posOffset>
                </wp:positionV>
                <wp:extent cx="3069590" cy="0"/>
                <wp:effectExtent l="0" t="0" r="0" b="0"/>
                <wp:wrapNone/>
                <wp:docPr id="14" name="Shape 14"/>
                <wp:cNvGraphicFramePr/>
                <a:graphic xmlns:a="http://schemas.openxmlformats.org/drawingml/2006/main">
                  <a:graphicData uri="http://schemas.microsoft.com/office/word/2010/wordprocessingShape">
                    <wps:wsp>
                      <wps:cNvCnPr/>
                      <wps:spPr>
                        <a:xfrm>
                          <a:off x="0" y="0"/>
                          <a:ext cx="3069590" cy="4763"/>
                        </a:xfrm>
                        <a:prstGeom prst="line">
                          <a:avLst/>
                        </a:prstGeom>
                        <a:solidFill>
                          <a:srgbClr val="FFFFFF"/>
                        </a:solidFill>
                        <a:ln w="634">
                          <a:solidFill>
                            <a:srgbClr val="D9D9D9"/>
                          </a:solidFill>
                          <a:miter lim="800000"/>
                        </a:ln>
                      </wps:spPr>
                      <wps:bodyPr/>
                    </wps:wsp>
                  </a:graphicData>
                </a:graphic>
              </wp:anchor>
            </w:drawing>
          </mc:Choice>
          <mc:Fallback>
            <w:pict>
              <v:line id="Shape 14" o:spid="_x0000_s1026" o:spt="20" style="position:absolute;left:0pt;margin-left:0pt;margin-top:26.95pt;height:0pt;width:241.7pt;mso-position-horizontal-relative:page;mso-position-vertical-relative:page;z-index:-251658240;mso-width-relative:page;mso-height-relative:page;" fillcolor="#FFFFFF" filled="t" stroked="t" coordsize="21600,21600" o:allowincell="f" o:gfxdata="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bfwT1gAAAAYBAAAPAAAAAAAAAAEAIAAAACIA&#10;AABkcnMvZG93bnJldi54bWxQSwECFAAUAAAACACHTuJA+oANxJkBAABMAwAADgAAAAAAAAABACAA&#10;AAAlAQAAZHJzL2Uyb0RvYy54bWxQSwUGAAAAAAYABgBZAQAAMAU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342265</wp:posOffset>
                </wp:positionV>
                <wp:extent cx="2998470" cy="0"/>
                <wp:effectExtent l="0" t="0" r="0" b="0"/>
                <wp:wrapNone/>
                <wp:docPr id="15" name="Shape 15"/>
                <wp:cNvGraphicFramePr/>
                <a:graphic xmlns:a="http://schemas.openxmlformats.org/drawingml/2006/main">
                  <a:graphicData uri="http://schemas.microsoft.com/office/word/2010/wordprocessingShape">
                    <wps:wsp>
                      <wps:cNvCnPr/>
                      <wps:spPr>
                        <a:xfrm>
                          <a:off x="0" y="0"/>
                          <a:ext cx="2998470" cy="4763"/>
                        </a:xfrm>
                        <a:prstGeom prst="line">
                          <a:avLst/>
                        </a:prstGeom>
                        <a:solidFill>
                          <a:srgbClr val="FFFFFF"/>
                        </a:solidFill>
                        <a:ln w="634">
                          <a:solidFill>
                            <a:srgbClr val="AD002D"/>
                          </a:solidFill>
                          <a:miter lim="800000"/>
                        </a:ln>
                      </wps:spPr>
                      <wps:bodyPr/>
                    </wps:wsp>
                  </a:graphicData>
                </a:graphic>
              </wp:anchor>
            </w:drawing>
          </mc:Choice>
          <mc:Fallback>
            <w:pict>
              <v:line id="Shape 15" o:spid="_x0000_s1026" o:spt="20" style="position:absolute;left:0pt;margin-left:0pt;margin-top:26.95pt;height:0pt;width:236.1pt;mso-position-horizontal-relative:page;mso-position-vertical-relative:page;z-index:-251658240;mso-width-relative:page;mso-height-relative:page;" fillcolor="#FFFFFF" filled="t" stroked="t" coordsize="21600,21600" o:allowincell="f" o:gfxdata="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yYlgDVAAAABgEAAA8AAAAAAAAAAQAgAAAA&#10;IgAAAGRycy9kb3ducmV2LnhtbFBLAQIUABQAAAAIAIdO4kB9Kvo9nAEAAEwDAAAOAAAAAAAAAAEA&#10;IAAAACQBAABkcnMvZTJvRG9jLnhtbFBLBQYAAAAABgAGAFkBAAAyBQ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342265</wp:posOffset>
                </wp:positionV>
                <wp:extent cx="2998470" cy="0"/>
                <wp:effectExtent l="0" t="12700" r="3810" b="17780"/>
                <wp:wrapNone/>
                <wp:docPr id="16" name="Shape 16"/>
                <wp:cNvGraphicFramePr/>
                <a:graphic xmlns:a="http://schemas.openxmlformats.org/drawingml/2006/main">
                  <a:graphicData uri="http://schemas.microsoft.com/office/word/2010/wordprocessingShape">
                    <wps:wsp>
                      <wps:cNvCnPr/>
                      <wps:spPr>
                        <a:xfrm>
                          <a:off x="0" y="0"/>
                          <a:ext cx="2998470" cy="4763"/>
                        </a:xfrm>
                        <a:prstGeom prst="line">
                          <a:avLst/>
                        </a:prstGeom>
                        <a:solidFill>
                          <a:srgbClr val="FFFFFF"/>
                        </a:solidFill>
                        <a:ln w="26034">
                          <a:solidFill>
                            <a:srgbClr val="B0761F"/>
                          </a:solidFill>
                          <a:miter lim="800000"/>
                        </a:ln>
                      </wps:spPr>
                      <wps:bodyPr/>
                    </wps:wsp>
                  </a:graphicData>
                </a:graphic>
              </wp:anchor>
            </w:drawing>
          </mc:Choice>
          <mc:Fallback>
            <w:pict>
              <v:line id="Shape 16" o:spid="_x0000_s1026" o:spt="20" style="position:absolute;left:0pt;margin-left:0pt;margin-top:26.95pt;height:0pt;width:236.1pt;mso-position-horizontal-relative:page;mso-position-vertical-relative:page;z-index:-251658240;mso-width-relative:page;mso-height-relative:page;" fillcolor="#FFFFFF" filled="t" stroked="t" coordsize="21600,21600" o:allowincell="f" o:gfxdata="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bCI3HVAAAABgEAAA8AAAAAAAAAAQAgAAAA&#10;IgAAAGRycy9kb3ducmV2LnhtbFBLAQIUABQAAAAIAIdO4kDGtGG/nAEAAE4DAAAOAAAAAAAAAAEA&#10;IAAAACQBAABkcnMvZTJvRG9jLnhtbFBLBQYAAAAABgAGAFkBAAAyBQAAAAA=&#10;">
                <v:fill on="t" focussize="0,0"/>
                <v:stroke weight="2.04992125984252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2985770</wp:posOffset>
                </wp:positionH>
                <wp:positionV relativeFrom="page">
                  <wp:posOffset>342265</wp:posOffset>
                </wp:positionV>
                <wp:extent cx="25400" cy="0"/>
                <wp:effectExtent l="0" t="0" r="0" b="0"/>
                <wp:wrapNone/>
                <wp:docPr id="17" name="Shape 17"/>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17" o:spid="_x0000_s1026" o:spt="20" style="position:absolute;left:0pt;margin-left:235.1pt;margin-top:26.9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QcGXdcAAAAJAQAADwAAAAAAAAABACAAAAAi&#10;AAAAZHJzL2Rvd25yZXYueG1sUEsBAhQAFAAAAAgAh07iQPwca8qZAQAASgMAAA4AAAAAAAAAAQAg&#10;AAAAJgEAAGRycy9lMm9Eb2MueG1sUEsFBgAAAAAGAAYAWQEAADEFAAAAAA==&#10;">
                <v:fill on="t" focussize="0,0"/>
                <v:stroke weight="0.0499212598425197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-22225</wp:posOffset>
                </wp:positionH>
                <wp:positionV relativeFrom="page">
                  <wp:posOffset>342265</wp:posOffset>
                </wp:positionV>
                <wp:extent cx="25400" cy="0"/>
                <wp:effectExtent l="0" t="0" r="0" b="0"/>
                <wp:wrapNone/>
                <wp:docPr id="18" name="Shape 18"/>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18" o:spid="_x0000_s1026" o:spt="20" style="position:absolute;left:0pt;margin-left:-1.75pt;margin-top:26.9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Bq0X3SAAAABQEAAA8AAAAAAAAAAQAgAAAAIgAAAGRy&#10;cy9kb3ducmV2LnhtbFBLAQIUABQAAAAIAIdO4kBOfCohmQEAAEoDAAAOAAAAAAAAAAEAIAAAACEB&#10;AABkcnMvZTJvRG9jLnhtbFBLBQYAAAAABgAGAFkBAAAsBQAAAAA=&#10;">
                <v:fill on="t" focussize="0,0"/>
                <v:stroke weight="0.0499212598425197pt" color="#B0761F" miterlimit="8" joinstyle="miter"/>
                <v:imagedata o:title=""/>
                <o:lock v:ext="edit" aspectratio="f"/>
              </v:line>
            </w:pict>
          </mc:Fallback>
        </mc:AlternateContent>
      </w:r>
    </w:p>
    <w:p>
      <w:pPr>
        <w:spacing w:after="0" w:line="200" w:lineRule="exact"/>
        <w:rPr>
          <w:color w:val="auto"/>
          <w:sz w:val="20"/>
          <w:szCs w:val="20"/>
        </w:rPr>
      </w:pPr>
    </w:p>
    <w:p>
      <w:pPr>
        <w:spacing w:after="0" w:line="328" w:lineRule="exact"/>
        <w:rPr>
          <w:rFonts w:hint="eastAsia"/>
          <w:color w:val="auto"/>
          <w:sz w:val="36"/>
          <w:szCs w:val="36"/>
          <w:lang w:eastAsia="zh-CN"/>
        </w:rPr>
      </w:pPr>
      <w:bookmarkStart w:id="20" w:name="page21"/>
      <w:bookmarkEnd w:id="20"/>
    </w:p>
    <w:p>
      <w:pPr>
        <w:spacing w:after="0" w:line="328" w:lineRule="exact"/>
        <w:rPr>
          <w:rFonts w:hint="eastAsia"/>
          <w:color w:val="auto"/>
          <w:sz w:val="36"/>
          <w:szCs w:val="36"/>
          <w:lang w:eastAsia="zh-CN"/>
        </w:rPr>
      </w:pPr>
    </w:p>
    <w:p>
      <w:pPr>
        <w:spacing w:after="0" w:line="328" w:lineRule="exact"/>
        <w:rPr>
          <w:rFonts w:hint="eastAsia"/>
          <w:color w:val="auto"/>
          <w:sz w:val="36"/>
          <w:szCs w:val="36"/>
          <w:lang w:eastAsia="zh-CN"/>
        </w:rPr>
      </w:pPr>
    </w:p>
    <w:p>
      <w:pPr>
        <w:spacing w:after="0" w:line="328" w:lineRule="exact"/>
        <w:rPr>
          <w:rFonts w:hint="eastAsia"/>
          <w:color w:val="auto"/>
          <w:sz w:val="36"/>
          <w:szCs w:val="36"/>
          <w:lang w:eastAsia="zh-CN"/>
        </w:rPr>
      </w:pPr>
    </w:p>
    <w:p>
      <w:pPr>
        <w:spacing w:after="0" w:line="328" w:lineRule="exact"/>
        <w:rPr>
          <w:rFonts w:hint="eastAsia"/>
          <w:color w:val="auto"/>
          <w:sz w:val="36"/>
          <w:szCs w:val="36"/>
          <w:lang w:eastAsia="zh-CN"/>
        </w:rPr>
      </w:pPr>
    </w:p>
    <w:p>
      <w:pPr>
        <w:spacing w:after="0" w:line="328" w:lineRule="exact"/>
        <w:rPr>
          <w:rFonts w:hint="eastAsia" w:eastAsiaTheme="minorEastAsia"/>
          <w:color w:val="auto"/>
          <w:sz w:val="36"/>
          <w:szCs w:val="36"/>
          <w:lang w:eastAsia="zh-CN"/>
        </w:rPr>
      </w:pPr>
      <w:r>
        <w:rPr>
          <w:rFonts w:hint="eastAsia"/>
          <w:color w:val="auto"/>
          <w:sz w:val="36"/>
          <w:szCs w:val="36"/>
          <w:lang w:eastAsia="zh-CN"/>
        </w:rPr>
        <w:t>决算报表见附件</w:t>
      </w:r>
    </w:p>
    <w:p>
      <w:pPr>
        <w:spacing w:after="0" w:line="200" w:lineRule="exact"/>
        <w:rPr>
          <w:color w:val="auto"/>
          <w:sz w:val="20"/>
          <w:szCs w:val="20"/>
        </w:rPr>
      </w:pPr>
      <w:bookmarkStart w:id="21" w:name="page32"/>
      <w:bookmarkEnd w:id="21"/>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348615</wp:posOffset>
                </wp:positionV>
                <wp:extent cx="3069590" cy="0"/>
                <wp:effectExtent l="0" t="0" r="0" b="0"/>
                <wp:wrapNone/>
                <wp:docPr id="95" name="Shape 95"/>
                <wp:cNvGraphicFramePr/>
                <a:graphic xmlns:a="http://schemas.openxmlformats.org/drawingml/2006/main">
                  <a:graphicData uri="http://schemas.microsoft.com/office/word/2010/wordprocessingShape">
                    <wps:wsp>
                      <wps:cNvCnPr/>
                      <wps:spPr>
                        <a:xfrm>
                          <a:off x="0" y="0"/>
                          <a:ext cx="3069590" cy="4763"/>
                        </a:xfrm>
                        <a:prstGeom prst="line">
                          <a:avLst/>
                        </a:prstGeom>
                        <a:solidFill>
                          <a:srgbClr val="FFFFFF"/>
                        </a:solidFill>
                        <a:ln w="634">
                          <a:solidFill>
                            <a:srgbClr val="D9D9D9"/>
                          </a:solidFill>
                          <a:miter lim="800000"/>
                        </a:ln>
                      </wps:spPr>
                      <wps:bodyPr/>
                    </wps:wsp>
                  </a:graphicData>
                </a:graphic>
              </wp:anchor>
            </w:drawing>
          </mc:Choice>
          <mc:Fallback>
            <w:pict>
              <v:line id="Shape 95" o:spid="_x0000_s1026" o:spt="20" style="position:absolute;left:0pt;margin-left:0pt;margin-top:27.45pt;height:0pt;width:241.7pt;mso-position-horizontal-relative:page;mso-position-vertical-relative:page;z-index:-251658240;mso-width-relative:page;mso-height-relative:page;" fillcolor="#FFFFFF" filled="t" stroked="t" coordsize="21600,21600" o:allowincell="f" o:gfxdata="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qiisbVAAAABgEAAA8AAAAAAAAAAQAgAAAAIgAA&#10;AGRycy9kb3ducmV2LnhtbFBLAQIUABQAAAAIAIdO4kDJPgFqmQEAAEwDAAAOAAAAAAAAAAEAIAAA&#10;ACQBAABkcnMvZTJvRG9jLnhtbFBLBQYAAAAABgAGAFkBAAAvBQ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348615</wp:posOffset>
                </wp:positionV>
                <wp:extent cx="2998470" cy="0"/>
                <wp:effectExtent l="0" t="0" r="0" b="0"/>
                <wp:wrapNone/>
                <wp:docPr id="96" name="Shape 96"/>
                <wp:cNvGraphicFramePr/>
                <a:graphic xmlns:a="http://schemas.openxmlformats.org/drawingml/2006/main">
                  <a:graphicData uri="http://schemas.microsoft.com/office/word/2010/wordprocessingShape">
                    <wps:wsp>
                      <wps:cNvCnPr/>
                      <wps:spPr>
                        <a:xfrm>
                          <a:off x="0" y="0"/>
                          <a:ext cx="2998470" cy="4763"/>
                        </a:xfrm>
                        <a:prstGeom prst="line">
                          <a:avLst/>
                        </a:prstGeom>
                        <a:solidFill>
                          <a:srgbClr val="FFFFFF"/>
                        </a:solidFill>
                        <a:ln w="634">
                          <a:solidFill>
                            <a:srgbClr val="AD002D"/>
                          </a:solidFill>
                          <a:miter lim="800000"/>
                        </a:ln>
                      </wps:spPr>
                      <wps:bodyPr/>
                    </wps:wsp>
                  </a:graphicData>
                </a:graphic>
              </wp:anchor>
            </w:drawing>
          </mc:Choice>
          <mc:Fallback>
            <w:pict>
              <v:line id="Shape 96" o:spid="_x0000_s1026" o:spt="20" style="position:absolute;left:0pt;margin-left:0pt;margin-top:27.45pt;height:0pt;width:236.1pt;mso-position-horizontal-relative:page;mso-position-vertical-relative:page;z-index:-251658240;mso-width-relative:page;mso-height-relative:page;" fillcolor="#FFFFFF" filled="t" stroked="t" coordsize="21600,21600" o:allowincell="f" o:gfxdata="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gFfg1dUAAAAGAQAADwAAAAAAAAABACAAAAAi&#10;AAAAZHJzL2Rvd25yZXYueG1sUEsBAhQAFAAAAAgAh07iQOhxYzebAQAATAMAAA4AAAAAAAAAAQAg&#10;AAAAJAEAAGRycy9lMm9Eb2MueG1sUEsFBgAAAAAGAAYAWQEAADEFA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348615</wp:posOffset>
                </wp:positionV>
                <wp:extent cx="2998470" cy="0"/>
                <wp:effectExtent l="0" t="12700" r="3810" b="17780"/>
                <wp:wrapNone/>
                <wp:docPr id="97" name="Shape 97"/>
                <wp:cNvGraphicFramePr/>
                <a:graphic xmlns:a="http://schemas.openxmlformats.org/drawingml/2006/main">
                  <a:graphicData uri="http://schemas.microsoft.com/office/word/2010/wordprocessingShape">
                    <wps:wsp>
                      <wps:cNvCnPr/>
                      <wps:spPr>
                        <a:xfrm>
                          <a:off x="0" y="0"/>
                          <a:ext cx="2998470" cy="4763"/>
                        </a:xfrm>
                        <a:prstGeom prst="line">
                          <a:avLst/>
                        </a:prstGeom>
                        <a:solidFill>
                          <a:srgbClr val="FFFFFF"/>
                        </a:solidFill>
                        <a:ln w="26034">
                          <a:solidFill>
                            <a:srgbClr val="B0761F"/>
                          </a:solidFill>
                          <a:miter lim="800000"/>
                        </a:ln>
                      </wps:spPr>
                      <wps:bodyPr/>
                    </wps:wsp>
                  </a:graphicData>
                </a:graphic>
              </wp:anchor>
            </w:drawing>
          </mc:Choice>
          <mc:Fallback>
            <w:pict>
              <v:line id="Shape 97" o:spid="_x0000_s1026" o:spt="20" style="position:absolute;left:0pt;margin-left:0pt;margin-top:27.45pt;height:0pt;width:236.1pt;mso-position-horizontal-relative:page;mso-position-vertical-relative:page;z-index:-251658240;mso-width-relative:page;mso-height-relative:page;" fillcolor="#FFFFFF" filled="t" stroked="t" coordsize="21600,21600" o:allowincell="f" o:gfxdata="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qDVWk1QAAAAYBAAAPAAAAAAAAAAEAIAAA&#10;ACIAAABkcnMvZG93bnJldi54bWxQSwECFAAUAAAACACHTuJAceHTZ50BAABOAwAADgAAAAAAAAAB&#10;ACAAAAAkAQAAZHJzL2Uyb0RvYy54bWxQSwUGAAAAAAYABgBZAQAAMwUAAAAA&#10;">
                <v:fill on="t" focussize="0,0"/>
                <v:stroke weight="2.04992125984252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2985770</wp:posOffset>
                </wp:positionH>
                <wp:positionV relativeFrom="page">
                  <wp:posOffset>348615</wp:posOffset>
                </wp:positionV>
                <wp:extent cx="25400" cy="0"/>
                <wp:effectExtent l="0" t="0" r="0" b="0"/>
                <wp:wrapNone/>
                <wp:docPr id="98" name="Shape 98"/>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98" o:spid="_x0000_s1026" o:spt="20" style="position:absolute;left:0pt;margin-left:235.1pt;margin-top:27.4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chwiNcAAAAJAQAADwAAAAAAAAABACAAAAAi&#10;AAAAZHJzL2Rvd25yZXYueG1sUEsBAhQAFAAAAAgAh07iQJdX3OqZAQAASgMAAA4AAAAAAAAAAQAg&#10;AAAAJgEAAGRycy9lMm9Eb2MueG1sUEsFBgAAAAAGAAYAWQEAADEFAAAAAA==&#10;">
                <v:fill on="t" focussize="0,0"/>
                <v:stroke weight="0.0499212598425197pt" color="#B0761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-22225</wp:posOffset>
                </wp:positionH>
                <wp:positionV relativeFrom="page">
                  <wp:posOffset>348615</wp:posOffset>
                </wp:positionV>
                <wp:extent cx="25400" cy="0"/>
                <wp:effectExtent l="0" t="0" r="0" b="0"/>
                <wp:wrapNone/>
                <wp:docPr id="99" name="Shape 99"/>
                <wp:cNvGraphicFramePr/>
                <a:graphic xmlns:a="http://schemas.openxmlformats.org/drawingml/2006/main">
                  <a:graphicData uri="http://schemas.microsoft.com/office/word/2010/wordprocessingShape">
                    <wps:wsp>
                      <wps:cNvCnPr/>
                      <wps:spPr>
                        <a:xfrm>
                          <a:off x="0" y="0"/>
                          <a:ext cx="25400" cy="4763"/>
                        </a:xfrm>
                        <a:prstGeom prst="line">
                          <a:avLst/>
                        </a:prstGeom>
                        <a:solidFill>
                          <a:srgbClr val="FFFFFF"/>
                        </a:solidFill>
                        <a:ln w="634">
                          <a:solidFill>
                            <a:srgbClr val="B0761F"/>
                          </a:solidFill>
                          <a:miter lim="800000"/>
                        </a:ln>
                      </wps:spPr>
                      <wps:bodyPr/>
                    </wps:wsp>
                  </a:graphicData>
                </a:graphic>
              </wp:anchor>
            </w:drawing>
          </mc:Choice>
          <mc:Fallback>
            <w:pict>
              <v:line id="Shape 99" o:spid="_x0000_s1026" o:spt="20" style="position:absolute;left:0pt;margin-left:-1.75pt;margin-top:27.45pt;height:0pt;width:2pt;mso-position-horizontal-relative:page;mso-position-vertical-relative:page;z-index:-251658240;mso-width-relative:page;mso-height-relative:page;" fillcolor="#FFFFFF" filled="t" stroked="t" coordsize="21600,21600" o:allowincell="f" o:gfxdata="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xexpj0gAAAAUBAAAPAAAAAAAAAAEAIAAAACIAAABk&#10;cnMvZG93bnJldi54bWxQSwECFAAUAAAACACHTuJAIV0v+JoBAABKAwAADgAAAAAAAAABACAAAAAh&#10;AQAAZHJzL2Uyb0RvYy54bWxQSwUGAAAAAAYABgBZAQAALQUAAAAA&#10;">
                <v:fill on="t" focussize="0,0"/>
                <v:stroke weight="0.0499212598425197pt" color="#B0761F" miterlimit="8" joinstyle="miter"/>
                <v:imagedata o:title=""/>
                <o:lock v:ext="edit" aspectratio="f"/>
              </v:line>
            </w:pict>
          </mc:Fallback>
        </mc:AlternateContent>
      </w:r>
    </w:p>
    <w:p>
      <w:pPr>
        <w:spacing w:after="0" w:line="200" w:lineRule="exact"/>
        <w:rPr>
          <w:color w:val="auto"/>
          <w:sz w:val="20"/>
          <w:szCs w:val="20"/>
        </w:rPr>
      </w:pPr>
    </w:p>
    <w:p>
      <w:pPr>
        <w:spacing w:after="0" w:line="335" w:lineRule="exact"/>
        <w:rPr>
          <w:color w:val="auto"/>
          <w:sz w:val="20"/>
          <w:szCs w:val="20"/>
        </w:rPr>
      </w:pPr>
    </w:p>
    <w:p>
      <w:pPr>
        <w:spacing w:after="0" w:line="67" w:lineRule="exact"/>
        <w:rPr>
          <w:color w:val="auto"/>
          <w:sz w:val="20"/>
          <w:szCs w:val="20"/>
        </w:rPr>
      </w:pPr>
    </w:p>
    <w:p>
      <w:pPr>
        <w:sectPr>
          <w:pgSz w:w="11900" w:h="16838"/>
          <w:pgMar w:top="1440" w:right="1386" w:bottom="1440" w:left="1440" w:header="0" w:footer="0" w:gutter="0"/>
          <w:cols w:equalWidth="0" w:num="1">
            <w:col w:w="9080"/>
          </w:cols>
        </w:sectPr>
      </w:pPr>
    </w:p>
    <w:p>
      <w:pPr>
        <w:spacing w:after="0" w:line="200" w:lineRule="exact"/>
        <w:rPr>
          <w:color w:val="auto"/>
          <w:sz w:val="20"/>
          <w:szCs w:val="20"/>
        </w:rPr>
      </w:pPr>
      <w:bookmarkStart w:id="22" w:name="page33"/>
      <w:bookmarkEnd w:id="22"/>
      <w:r>
        <w:rPr>
          <w:color w:val="auto"/>
          <w:sz w:val="20"/>
          <w:szCs w:val="20"/>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49515" cy="10674350"/>
            <wp:effectExtent l="0" t="0" r="9525"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7549515" cy="10674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line="1096" w:lineRule="exact"/>
        <w:ind w:right="-53"/>
        <w:jc w:val="center"/>
        <w:rPr>
          <w:color w:val="auto"/>
          <w:sz w:val="20"/>
          <w:szCs w:val="20"/>
        </w:rPr>
      </w:pPr>
      <w:r>
        <w:rPr>
          <w:rFonts w:ascii="宋体" w:hAnsi="宋体" w:eastAsia="宋体" w:cs="宋体"/>
          <w:color w:val="FDEFBE"/>
          <w:sz w:val="96"/>
          <w:szCs w:val="96"/>
        </w:rPr>
        <w:t>第三部分</w:t>
      </w:r>
    </w:p>
    <w:p>
      <w:pPr>
        <w:spacing w:after="0" w:line="278" w:lineRule="exact"/>
        <w:rPr>
          <w:color w:val="auto"/>
          <w:sz w:val="20"/>
          <w:szCs w:val="20"/>
        </w:rPr>
      </w:pPr>
    </w:p>
    <w:p>
      <w:pPr>
        <w:spacing w:after="0" w:line="1084" w:lineRule="exact"/>
        <w:ind w:right="-53"/>
        <w:jc w:val="center"/>
        <w:rPr>
          <w:color w:val="auto"/>
          <w:sz w:val="20"/>
          <w:szCs w:val="20"/>
        </w:rPr>
      </w:pPr>
      <w:r>
        <w:rPr>
          <w:rFonts w:ascii="宋体" w:hAnsi="宋体" w:eastAsia="宋体" w:cs="宋体"/>
          <w:color w:val="FDEFBE"/>
          <w:sz w:val="95"/>
          <w:szCs w:val="95"/>
        </w:rPr>
        <w:t>部门决算情况说明</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3" w:name="page34"/>
      <w:bookmarkEnd w:id="23"/>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372110</wp:posOffset>
                </wp:positionV>
                <wp:extent cx="3826510" cy="0"/>
                <wp:effectExtent l="0" t="0" r="0" b="0"/>
                <wp:wrapNone/>
                <wp:docPr id="101" name="Shape 101"/>
                <wp:cNvGraphicFramePr/>
                <a:graphic xmlns:a="http://schemas.openxmlformats.org/drawingml/2006/main">
                  <a:graphicData uri="http://schemas.microsoft.com/office/word/2010/wordprocessingShape">
                    <wps:wsp>
                      <wps:cNvCnPr/>
                      <wps:spPr>
                        <a:xfrm>
                          <a:off x="0" y="0"/>
                          <a:ext cx="3826510" cy="4763"/>
                        </a:xfrm>
                        <a:prstGeom prst="line">
                          <a:avLst/>
                        </a:prstGeom>
                        <a:solidFill>
                          <a:srgbClr val="FFFFFF"/>
                        </a:solidFill>
                        <a:ln w="634">
                          <a:solidFill>
                            <a:srgbClr val="D9D9D9"/>
                          </a:solidFill>
                          <a:miter lim="800000"/>
                        </a:ln>
                      </wps:spPr>
                      <wps:bodyPr/>
                    </wps:wsp>
                  </a:graphicData>
                </a:graphic>
              </wp:anchor>
            </w:drawing>
          </mc:Choice>
          <mc:Fallback>
            <w:pict>
              <v:line id="Shape 101" o:spid="_x0000_s1026" o:spt="20" style="position:absolute;left:0pt;margin-left:0pt;margin-top:29.3pt;height:0pt;width:301.3pt;mso-position-horizontal-relative:page;mso-position-vertical-relative:page;z-index:-251658240;mso-width-relative:page;mso-height-relative:page;" fillcolor="#FFFFFF" filled="t" stroked="t" coordsize="21600,21600" o:allowincell="f" o:gfxdata="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0qHbC1QAAAAYBAAAPAAAAAAAAAAEAIAAAACIA&#10;AABkcnMvZG93bnJldi54bWxQSwECFAAUAAAACACHTuJAtweY4poBAABOAwAADgAAAAAAAAABACAA&#10;AAAkAQAAZHJzL2Uyb0RvYy54bWxQSwUGAAAAAAYABgBZAQAAMAU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4445</wp:posOffset>
                </wp:positionH>
                <wp:positionV relativeFrom="page">
                  <wp:posOffset>372110</wp:posOffset>
                </wp:positionV>
                <wp:extent cx="3734435" cy="0"/>
                <wp:effectExtent l="0" t="0" r="0" b="0"/>
                <wp:wrapNone/>
                <wp:docPr id="102" name="Shape 102"/>
                <wp:cNvGraphicFramePr/>
                <a:graphic xmlns:a="http://schemas.openxmlformats.org/drawingml/2006/main">
                  <a:graphicData uri="http://schemas.microsoft.com/office/word/2010/wordprocessingShape">
                    <wps:wsp>
                      <wps:cNvCnPr/>
                      <wps:spPr>
                        <a:xfrm>
                          <a:off x="0" y="0"/>
                          <a:ext cx="3734435" cy="4763"/>
                        </a:xfrm>
                        <a:prstGeom prst="line">
                          <a:avLst/>
                        </a:prstGeom>
                        <a:solidFill>
                          <a:srgbClr val="FFFFFF"/>
                        </a:solidFill>
                        <a:ln w="634">
                          <a:solidFill>
                            <a:srgbClr val="AD002D"/>
                          </a:solidFill>
                          <a:miter lim="800000"/>
                        </a:ln>
                      </wps:spPr>
                      <wps:bodyPr/>
                    </wps:wsp>
                  </a:graphicData>
                </a:graphic>
              </wp:anchor>
            </w:drawing>
          </mc:Choice>
          <mc:Fallback>
            <w:pict>
              <v:line id="Shape 102" o:spid="_x0000_s1026" o:spt="20" style="position:absolute;left:0pt;margin-left:0.35pt;margin-top:29.3pt;height:0pt;width:294.05pt;mso-position-horizontal-relative:page;mso-position-vertical-relative:page;z-index:-251658240;mso-width-relative:page;mso-height-relative:page;" fillcolor="#FFFFFF" filled="t" stroked="t" coordsize="21600,21600" o:allowincell="f" o:gfxdata="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OHwfNQAAAAGAQAADwAAAAAAAAABACAAAAAi&#10;AAAAZHJzL2Rvd25yZXYueG1sUEsBAhQAFAAAAAgAh07iQEWs0bWcAQAATgMAAA4AAAAAAAAAAQAg&#10;AAAAIwEAAGRycy9lMm9Eb2MueG1sUEsFBgAAAAAGAAYAWQEAADEFA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-8255</wp:posOffset>
                </wp:positionH>
                <wp:positionV relativeFrom="page">
                  <wp:posOffset>372110</wp:posOffset>
                </wp:positionV>
                <wp:extent cx="3759835" cy="0"/>
                <wp:effectExtent l="0" t="12700" r="4445" b="17780"/>
                <wp:wrapNone/>
                <wp:docPr id="103" name="Shape 103"/>
                <wp:cNvGraphicFramePr/>
                <a:graphic xmlns:a="http://schemas.openxmlformats.org/drawingml/2006/main">
                  <a:graphicData uri="http://schemas.microsoft.com/office/word/2010/wordprocessingShape">
                    <wps:wsp>
                      <wps:cNvCnPr/>
                      <wps:spPr>
                        <a:xfrm>
                          <a:off x="0" y="0"/>
                          <a:ext cx="3759835" cy="4763"/>
                        </a:xfrm>
                        <a:prstGeom prst="line">
                          <a:avLst/>
                        </a:prstGeom>
                        <a:solidFill>
                          <a:srgbClr val="FFFFFF"/>
                        </a:solidFill>
                        <a:ln w="26034">
                          <a:solidFill>
                            <a:srgbClr val="B0761F"/>
                          </a:solidFill>
                          <a:miter lim="800000"/>
                        </a:ln>
                      </wps:spPr>
                      <wps:bodyPr/>
                    </wps:wsp>
                  </a:graphicData>
                </a:graphic>
              </wp:anchor>
            </w:drawing>
          </mc:Choice>
          <mc:Fallback>
            <w:pict>
              <v:line id="Shape 103" o:spid="_x0000_s1026" o:spt="20" style="position:absolute;left:0pt;margin-left:-0.65pt;margin-top:29.3pt;height:0pt;width:296.05pt;mso-position-horizontal-relative:page;mso-position-vertical-relative:page;z-index:-251658240;mso-width-relative:page;mso-height-relative:page;" fillcolor="#FFFFFF" filled="t" stroked="t" coordsize="21600,21600" o:allowincell="f" o:gfxdata="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r25gK1wAAAAgBAAAPAAAAAAAA&#10;AAEAIAAAACIAAABkcnMvZG93bnJldi54bWxQSwECFAAUAAAACACHTuJA02fP+6EBAABQAwAADgAA&#10;AAAAAAABACAAAAAmAQAAZHJzL2Uyb0RvYy54bWxQSwUGAAAAAAYABgBZAQAAOQUAAAAA&#10;">
                <v:fill on="t" focussize="0,0"/>
                <v:stroke weight="2.04992125984252pt" color="#B0761F" miterlimit="8" joinstyle="miter"/>
                <v:imagedata o:title=""/>
                <o:lock v:ext="edit" aspectratio="f"/>
              </v:line>
            </w:pict>
          </mc:Fallback>
        </mc:AlternateContent>
      </w:r>
    </w:p>
    <w:p>
      <w:pPr>
        <w:spacing w:after="0" w:line="200" w:lineRule="exact"/>
        <w:rPr>
          <w:color w:val="auto"/>
          <w:sz w:val="20"/>
          <w:szCs w:val="20"/>
        </w:rPr>
      </w:pPr>
    </w:p>
    <w:p>
      <w:pPr>
        <w:spacing w:after="0" w:line="400"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一、收入支出决算总体情况说明</w:t>
      </w:r>
    </w:p>
    <w:p>
      <w:pPr>
        <w:spacing w:after="0" w:line="264" w:lineRule="exact"/>
        <w:rPr>
          <w:color w:val="auto"/>
          <w:sz w:val="20"/>
          <w:szCs w:val="20"/>
        </w:rPr>
      </w:pPr>
    </w:p>
    <w:p>
      <w:pPr>
        <w:spacing w:after="0" w:line="492" w:lineRule="exact"/>
        <w:ind w:left="140" w:right="160" w:firstLine="641"/>
        <w:jc w:val="both"/>
        <w:rPr>
          <w:color w:val="auto"/>
          <w:sz w:val="20"/>
          <w:szCs w:val="20"/>
        </w:rPr>
      </w:pPr>
      <w:r>
        <w:rPr>
          <w:rFonts w:ascii="宋体" w:hAnsi="宋体" w:eastAsia="宋体" w:cs="宋体"/>
          <w:color w:val="auto"/>
          <w:sz w:val="32"/>
          <w:szCs w:val="32"/>
        </w:rPr>
        <w:t>本部门</w:t>
      </w:r>
      <w:r>
        <w:rPr>
          <w:rFonts w:ascii="Arial" w:hAnsi="Arial" w:eastAsia="Arial" w:cs="Arial"/>
          <w:color w:val="auto"/>
          <w:sz w:val="32"/>
          <w:szCs w:val="32"/>
        </w:rPr>
        <w:t xml:space="preserve"> 2018 </w:t>
      </w:r>
      <w:r>
        <w:rPr>
          <w:rFonts w:ascii="宋体" w:hAnsi="宋体" w:eastAsia="宋体" w:cs="宋体"/>
          <w:color w:val="auto"/>
          <w:sz w:val="32"/>
          <w:szCs w:val="32"/>
        </w:rPr>
        <w:t>年度收支总计</w:t>
      </w:r>
      <w:r>
        <w:rPr>
          <w:rFonts w:ascii="Arial" w:hAnsi="Arial" w:eastAsia="Arial" w:cs="Arial"/>
          <w:color w:val="auto"/>
          <w:sz w:val="32"/>
          <w:szCs w:val="32"/>
        </w:rPr>
        <w:t xml:space="preserve"> </w:t>
      </w:r>
      <w:r>
        <w:rPr>
          <w:rFonts w:ascii="宋体" w:hAnsi="宋体" w:eastAsia="宋体" w:cs="宋体"/>
          <w:color w:val="auto"/>
          <w:sz w:val="32"/>
          <w:szCs w:val="32"/>
        </w:rPr>
        <w:t>9392.24</w:t>
      </w:r>
      <w:r>
        <w:rPr>
          <w:rFonts w:ascii="Arial" w:hAnsi="Arial" w:eastAsia="Arial" w:cs="Arial"/>
          <w:color w:val="auto"/>
          <w:sz w:val="32"/>
          <w:szCs w:val="32"/>
        </w:rPr>
        <w:t xml:space="preserve"> </w:t>
      </w:r>
      <w:r>
        <w:rPr>
          <w:rFonts w:ascii="宋体" w:hAnsi="宋体" w:eastAsia="宋体" w:cs="宋体"/>
          <w:color w:val="auto"/>
          <w:sz w:val="32"/>
          <w:szCs w:val="32"/>
        </w:rPr>
        <w:t>万元。与</w:t>
      </w:r>
      <w:r>
        <w:rPr>
          <w:rFonts w:ascii="Arial" w:hAnsi="Arial" w:eastAsia="Arial" w:cs="Arial"/>
          <w:color w:val="auto"/>
          <w:sz w:val="32"/>
          <w:szCs w:val="32"/>
        </w:rPr>
        <w:t xml:space="preserve"> 2017 </w:t>
      </w:r>
      <w:r>
        <w:rPr>
          <w:rFonts w:ascii="宋体" w:hAnsi="宋体" w:eastAsia="宋体" w:cs="宋体"/>
          <w:color w:val="auto"/>
          <w:sz w:val="32"/>
          <w:szCs w:val="32"/>
        </w:rPr>
        <w:t>年度决算相比，收支各增加</w:t>
      </w:r>
      <w:r>
        <w:rPr>
          <w:rFonts w:ascii="Arial" w:hAnsi="Arial" w:eastAsia="Arial" w:cs="Arial"/>
          <w:color w:val="auto"/>
          <w:sz w:val="32"/>
          <w:szCs w:val="32"/>
        </w:rPr>
        <w:t xml:space="preserve"> 5181</w:t>
      </w:r>
      <w:r>
        <w:rPr>
          <w:rFonts w:ascii="宋体" w:hAnsi="宋体" w:eastAsia="宋体" w:cs="宋体"/>
          <w:color w:val="auto"/>
          <w:sz w:val="32"/>
          <w:szCs w:val="32"/>
        </w:rPr>
        <w:t>.04</w:t>
      </w:r>
      <w:r>
        <w:rPr>
          <w:rFonts w:ascii="Arial" w:hAnsi="Arial" w:eastAsia="Arial" w:cs="Arial"/>
          <w:color w:val="auto"/>
          <w:sz w:val="32"/>
          <w:szCs w:val="32"/>
        </w:rPr>
        <w:t xml:space="preserve"> </w:t>
      </w:r>
      <w:r>
        <w:rPr>
          <w:rFonts w:ascii="宋体" w:hAnsi="宋体" w:eastAsia="宋体" w:cs="宋体"/>
          <w:color w:val="auto"/>
          <w:sz w:val="32"/>
          <w:szCs w:val="32"/>
        </w:rPr>
        <w:t>万元，增长</w:t>
      </w:r>
      <w:r>
        <w:rPr>
          <w:rFonts w:ascii="Arial" w:hAnsi="Arial" w:eastAsia="Arial" w:cs="Arial"/>
          <w:color w:val="auto"/>
          <w:sz w:val="32"/>
          <w:szCs w:val="32"/>
        </w:rPr>
        <w:t xml:space="preserve"> 123</w:t>
      </w:r>
      <w:r>
        <w:rPr>
          <w:rFonts w:ascii="宋体" w:hAnsi="宋体" w:eastAsia="宋体" w:cs="宋体"/>
          <w:color w:val="auto"/>
          <w:sz w:val="32"/>
          <w:szCs w:val="32"/>
        </w:rPr>
        <w:t>.0</w:t>
      </w:r>
      <w:r>
        <w:rPr>
          <w:rFonts w:ascii="Arial" w:hAnsi="Arial" w:eastAsia="Arial" w:cs="Arial"/>
          <w:color w:val="auto"/>
          <w:sz w:val="32"/>
          <w:szCs w:val="32"/>
        </w:rPr>
        <w:t>%</w:t>
      </w:r>
      <w:r>
        <w:rPr>
          <w:rFonts w:ascii="宋体" w:hAnsi="宋体" w:eastAsia="宋体" w:cs="宋体"/>
          <w:color w:val="auto"/>
          <w:sz w:val="32"/>
          <w:szCs w:val="32"/>
        </w:rPr>
        <w:t>，主要原因是专项资金的增加。</w:t>
      </w:r>
    </w:p>
    <w:p>
      <w:pPr>
        <w:spacing w:after="0" w:line="218"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二、收入决算情况说明</w:t>
      </w:r>
    </w:p>
    <w:p>
      <w:pPr>
        <w:spacing w:after="0" w:line="262" w:lineRule="exact"/>
        <w:rPr>
          <w:color w:val="auto"/>
          <w:sz w:val="20"/>
          <w:szCs w:val="20"/>
        </w:rPr>
      </w:pPr>
    </w:p>
    <w:p>
      <w:pPr>
        <w:spacing w:after="0" w:line="493" w:lineRule="exact"/>
        <w:ind w:left="140" w:right="160" w:firstLine="641"/>
        <w:jc w:val="both"/>
        <w:rPr>
          <w:color w:val="auto"/>
          <w:sz w:val="20"/>
          <w:szCs w:val="20"/>
        </w:rPr>
      </w:pPr>
      <w:r>
        <w:rPr>
          <w:rFonts w:ascii="宋体" w:hAnsi="宋体" w:eastAsia="宋体" w:cs="宋体"/>
          <w:color w:val="auto"/>
          <w:sz w:val="32"/>
          <w:szCs w:val="32"/>
        </w:rPr>
        <w:t>本部门</w:t>
      </w:r>
      <w:r>
        <w:rPr>
          <w:rFonts w:ascii="Arial" w:hAnsi="Arial" w:eastAsia="Arial" w:cs="Arial"/>
          <w:color w:val="auto"/>
          <w:sz w:val="32"/>
          <w:szCs w:val="32"/>
        </w:rPr>
        <w:t xml:space="preserve"> 2018 </w:t>
      </w:r>
      <w:r>
        <w:rPr>
          <w:rFonts w:ascii="宋体" w:hAnsi="宋体" w:eastAsia="宋体" w:cs="宋体"/>
          <w:color w:val="auto"/>
          <w:sz w:val="32"/>
          <w:szCs w:val="32"/>
        </w:rPr>
        <w:t>年度本年收入合计</w:t>
      </w:r>
      <w:r>
        <w:rPr>
          <w:rFonts w:ascii="Arial" w:hAnsi="Arial" w:eastAsia="Arial" w:cs="Arial"/>
          <w:color w:val="auto"/>
          <w:sz w:val="32"/>
          <w:szCs w:val="32"/>
        </w:rPr>
        <w:t xml:space="preserve"> 6627</w:t>
      </w:r>
      <w:r>
        <w:rPr>
          <w:rFonts w:ascii="宋体" w:hAnsi="宋体" w:eastAsia="宋体" w:cs="宋体"/>
          <w:color w:val="auto"/>
          <w:sz w:val="32"/>
          <w:szCs w:val="32"/>
        </w:rPr>
        <w:t>.05</w:t>
      </w:r>
      <w:r>
        <w:rPr>
          <w:rFonts w:ascii="Arial" w:hAnsi="Arial" w:eastAsia="Arial" w:cs="Arial"/>
          <w:color w:val="auto"/>
          <w:sz w:val="32"/>
          <w:szCs w:val="32"/>
        </w:rPr>
        <w:t xml:space="preserve"> </w:t>
      </w:r>
      <w:r>
        <w:rPr>
          <w:rFonts w:ascii="宋体" w:hAnsi="宋体" w:eastAsia="宋体" w:cs="宋体"/>
          <w:color w:val="auto"/>
          <w:sz w:val="32"/>
          <w:szCs w:val="32"/>
        </w:rPr>
        <w:t>万元，其中：财政拨款收入</w:t>
      </w:r>
      <w:r>
        <w:rPr>
          <w:rFonts w:ascii="Arial" w:hAnsi="Arial" w:eastAsia="Arial" w:cs="Arial"/>
          <w:color w:val="auto"/>
          <w:sz w:val="32"/>
          <w:szCs w:val="32"/>
        </w:rPr>
        <w:t xml:space="preserve"> 6627</w:t>
      </w:r>
      <w:r>
        <w:rPr>
          <w:rFonts w:ascii="宋体" w:hAnsi="宋体" w:eastAsia="宋体" w:cs="宋体"/>
          <w:color w:val="auto"/>
          <w:sz w:val="32"/>
          <w:szCs w:val="32"/>
        </w:rPr>
        <w:t>.05</w:t>
      </w:r>
      <w:r>
        <w:rPr>
          <w:rFonts w:ascii="Arial" w:hAnsi="Arial" w:eastAsia="Arial" w:cs="Arial"/>
          <w:color w:val="auto"/>
          <w:sz w:val="32"/>
          <w:szCs w:val="32"/>
        </w:rPr>
        <w:t xml:space="preserve"> </w:t>
      </w:r>
      <w:r>
        <w:rPr>
          <w:rFonts w:ascii="宋体" w:hAnsi="宋体" w:eastAsia="宋体" w:cs="宋体"/>
          <w:color w:val="auto"/>
          <w:sz w:val="32"/>
          <w:szCs w:val="32"/>
        </w:rPr>
        <w:t>万元，占</w:t>
      </w:r>
      <w:r>
        <w:rPr>
          <w:rFonts w:ascii="Arial" w:hAnsi="Arial" w:eastAsia="Arial" w:cs="Arial"/>
          <w:color w:val="auto"/>
          <w:sz w:val="32"/>
          <w:szCs w:val="32"/>
        </w:rPr>
        <w:t xml:space="preserve"> 100%</w:t>
      </w:r>
      <w:r>
        <w:rPr>
          <w:rFonts w:ascii="宋体" w:hAnsi="宋体" w:eastAsia="宋体" w:cs="宋体"/>
          <w:color w:val="auto"/>
          <w:sz w:val="32"/>
          <w:szCs w:val="32"/>
        </w:rPr>
        <w:t>；事业收入</w:t>
      </w:r>
      <w:r>
        <w:rPr>
          <w:rFonts w:ascii="Arial" w:hAnsi="Arial" w:eastAsia="Arial" w:cs="Arial"/>
          <w:color w:val="auto"/>
          <w:sz w:val="32"/>
          <w:szCs w:val="32"/>
        </w:rPr>
        <w:t xml:space="preserve"> 0 </w:t>
      </w:r>
      <w:r>
        <w:rPr>
          <w:rFonts w:ascii="宋体" w:hAnsi="宋体" w:eastAsia="宋体" w:cs="宋体"/>
          <w:color w:val="auto"/>
          <w:sz w:val="32"/>
          <w:szCs w:val="32"/>
        </w:rPr>
        <w:t>万元；经营收入</w:t>
      </w:r>
      <w:r>
        <w:rPr>
          <w:rFonts w:ascii="Arial" w:hAnsi="Arial" w:eastAsia="Arial" w:cs="Arial"/>
          <w:color w:val="auto"/>
          <w:sz w:val="32"/>
          <w:szCs w:val="32"/>
        </w:rPr>
        <w:t xml:space="preserve"> 0 </w:t>
      </w:r>
      <w:r>
        <w:rPr>
          <w:rFonts w:ascii="宋体" w:hAnsi="宋体" w:eastAsia="宋体" w:cs="宋体"/>
          <w:color w:val="auto"/>
          <w:sz w:val="32"/>
          <w:szCs w:val="32"/>
        </w:rPr>
        <w:t>万元；其他收入</w:t>
      </w:r>
      <w:r>
        <w:rPr>
          <w:rFonts w:ascii="Arial" w:hAnsi="Arial" w:eastAsia="Arial" w:cs="Arial"/>
          <w:color w:val="auto"/>
          <w:sz w:val="32"/>
          <w:szCs w:val="32"/>
        </w:rPr>
        <w:t xml:space="preserve"> 0 </w:t>
      </w:r>
      <w:r>
        <w:rPr>
          <w:rFonts w:ascii="宋体" w:hAnsi="宋体" w:eastAsia="宋体" w:cs="宋体"/>
          <w:color w:val="auto"/>
          <w:sz w:val="32"/>
          <w:szCs w:val="32"/>
        </w:rPr>
        <w:t>万元。</w:t>
      </w:r>
    </w:p>
    <w:p>
      <w:pPr>
        <w:spacing w:after="0" w:line="214"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三、支出决算情况说明</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850265</wp:posOffset>
            </wp:positionH>
            <wp:positionV relativeFrom="paragraph">
              <wp:posOffset>132080</wp:posOffset>
            </wp:positionV>
            <wp:extent cx="3485515" cy="508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8"/>
                    <a:srcRect/>
                    <a:stretch>
                      <a:fillRect/>
                    </a:stretch>
                  </pic:blipFill>
                  <pic:spPr>
                    <a:xfrm>
                      <a:off x="0" y="0"/>
                      <a:ext cx="3485515" cy="4763"/>
                    </a:xfrm>
                    <a:prstGeom prst="rect">
                      <a:avLst/>
                    </a:prstGeom>
                    <a:noFill/>
                  </pic:spPr>
                </pic:pic>
              </a:graphicData>
            </a:graphic>
          </wp:anchor>
        </w:drawing>
      </w:r>
    </w:p>
    <w:p>
      <w:pPr>
        <w:spacing w:after="0" w:line="244" w:lineRule="exact"/>
        <w:rPr>
          <w:color w:val="auto"/>
          <w:sz w:val="20"/>
          <w:szCs w:val="20"/>
        </w:rPr>
      </w:pPr>
    </w:p>
    <w:p>
      <w:pPr>
        <w:spacing w:after="0" w:line="492" w:lineRule="exact"/>
        <w:ind w:left="140" w:firstLine="641"/>
        <w:rPr>
          <w:color w:val="auto"/>
          <w:sz w:val="20"/>
          <w:szCs w:val="20"/>
        </w:rPr>
      </w:pPr>
      <w:r>
        <w:rPr>
          <w:rFonts w:ascii="宋体" w:hAnsi="宋体" w:eastAsia="宋体" w:cs="宋体"/>
          <w:color w:val="auto"/>
          <w:sz w:val="32"/>
          <w:szCs w:val="32"/>
        </w:rPr>
        <w:t>本部门</w:t>
      </w:r>
      <w:r>
        <w:rPr>
          <w:rFonts w:ascii="Arial" w:hAnsi="Arial" w:eastAsia="Arial" w:cs="Arial"/>
          <w:color w:val="auto"/>
          <w:sz w:val="32"/>
          <w:szCs w:val="32"/>
        </w:rPr>
        <w:t xml:space="preserve"> 2018 </w:t>
      </w:r>
      <w:r>
        <w:rPr>
          <w:rFonts w:ascii="宋体" w:hAnsi="宋体" w:eastAsia="宋体" w:cs="宋体"/>
          <w:color w:val="auto"/>
          <w:sz w:val="32"/>
          <w:szCs w:val="32"/>
        </w:rPr>
        <w:t>年度本年支出合计</w:t>
      </w:r>
      <w:r>
        <w:rPr>
          <w:rFonts w:ascii="Arial" w:hAnsi="Arial" w:eastAsia="Arial" w:cs="Arial"/>
          <w:color w:val="auto"/>
          <w:sz w:val="32"/>
          <w:szCs w:val="32"/>
        </w:rPr>
        <w:t xml:space="preserve"> 6281</w:t>
      </w:r>
      <w:r>
        <w:rPr>
          <w:rFonts w:ascii="宋体" w:hAnsi="宋体" w:eastAsia="宋体" w:cs="宋体"/>
          <w:color w:val="auto"/>
          <w:sz w:val="32"/>
          <w:szCs w:val="32"/>
        </w:rPr>
        <w:t>.20</w:t>
      </w:r>
      <w:r>
        <w:rPr>
          <w:rFonts w:ascii="Arial" w:hAnsi="Arial" w:eastAsia="Arial" w:cs="Arial"/>
          <w:color w:val="auto"/>
          <w:sz w:val="32"/>
          <w:szCs w:val="32"/>
        </w:rPr>
        <w:t xml:space="preserve"> </w:t>
      </w:r>
      <w:r>
        <w:rPr>
          <w:rFonts w:ascii="宋体" w:hAnsi="宋体" w:eastAsia="宋体" w:cs="宋体"/>
          <w:color w:val="auto"/>
          <w:sz w:val="32"/>
          <w:szCs w:val="32"/>
        </w:rPr>
        <w:t>万元，其中：基本支出</w:t>
      </w:r>
      <w:r>
        <w:rPr>
          <w:rFonts w:ascii="Arial" w:hAnsi="Arial" w:eastAsia="Arial" w:cs="Arial"/>
          <w:color w:val="auto"/>
          <w:sz w:val="32"/>
          <w:szCs w:val="32"/>
        </w:rPr>
        <w:t xml:space="preserve"> 784</w:t>
      </w:r>
      <w:r>
        <w:rPr>
          <w:rFonts w:ascii="宋体" w:hAnsi="宋体" w:eastAsia="宋体" w:cs="宋体"/>
          <w:color w:val="auto"/>
          <w:sz w:val="32"/>
          <w:szCs w:val="32"/>
        </w:rPr>
        <w:t>.10</w:t>
      </w:r>
      <w:r>
        <w:rPr>
          <w:rFonts w:ascii="Arial" w:hAnsi="Arial" w:eastAsia="Arial" w:cs="Arial"/>
          <w:color w:val="auto"/>
          <w:sz w:val="32"/>
          <w:szCs w:val="32"/>
        </w:rPr>
        <w:t xml:space="preserve"> </w:t>
      </w:r>
      <w:r>
        <w:rPr>
          <w:rFonts w:ascii="宋体" w:hAnsi="宋体" w:eastAsia="宋体" w:cs="宋体"/>
          <w:color w:val="auto"/>
          <w:sz w:val="32"/>
          <w:szCs w:val="32"/>
        </w:rPr>
        <w:t>万元，占</w:t>
      </w:r>
      <w:r>
        <w:rPr>
          <w:rFonts w:ascii="Arial" w:hAnsi="Arial" w:eastAsia="Arial" w:cs="Arial"/>
          <w:color w:val="auto"/>
          <w:sz w:val="32"/>
          <w:szCs w:val="32"/>
        </w:rPr>
        <w:t xml:space="preserve"> 12</w:t>
      </w:r>
      <w:r>
        <w:rPr>
          <w:rFonts w:ascii="宋体" w:hAnsi="宋体" w:eastAsia="宋体" w:cs="宋体"/>
          <w:color w:val="auto"/>
          <w:sz w:val="32"/>
          <w:szCs w:val="32"/>
        </w:rPr>
        <w:t>.5</w:t>
      </w:r>
      <w:r>
        <w:rPr>
          <w:rFonts w:ascii="Arial" w:hAnsi="Arial" w:eastAsia="Arial" w:cs="Arial"/>
          <w:color w:val="auto"/>
          <w:sz w:val="32"/>
          <w:szCs w:val="32"/>
        </w:rPr>
        <w:t>%</w:t>
      </w:r>
      <w:r>
        <w:rPr>
          <w:rFonts w:ascii="宋体" w:hAnsi="宋体" w:eastAsia="宋体" w:cs="宋体"/>
          <w:color w:val="auto"/>
          <w:sz w:val="32"/>
          <w:szCs w:val="32"/>
        </w:rPr>
        <w:t>；项目支出</w:t>
      </w:r>
      <w:r>
        <w:rPr>
          <w:rFonts w:ascii="Arial" w:hAnsi="Arial" w:eastAsia="Arial" w:cs="Arial"/>
          <w:color w:val="auto"/>
          <w:sz w:val="32"/>
          <w:szCs w:val="32"/>
        </w:rPr>
        <w:t xml:space="preserve"> 54</w:t>
      </w:r>
      <w:r>
        <w:rPr>
          <w:rFonts w:ascii="宋体" w:hAnsi="宋体" w:eastAsia="宋体" w:cs="宋体"/>
          <w:color w:val="auto"/>
          <w:sz w:val="32"/>
          <w:szCs w:val="32"/>
        </w:rPr>
        <w:t>97.10</w:t>
      </w:r>
      <w:r>
        <w:rPr>
          <w:rFonts w:ascii="Arial" w:hAnsi="Arial" w:eastAsia="Arial" w:cs="Arial"/>
          <w:color w:val="auto"/>
          <w:sz w:val="32"/>
          <w:szCs w:val="32"/>
        </w:rPr>
        <w:t xml:space="preserve"> </w:t>
      </w:r>
      <w:r>
        <w:rPr>
          <w:rFonts w:ascii="宋体" w:hAnsi="宋体" w:eastAsia="宋体" w:cs="宋体"/>
          <w:color w:val="auto"/>
          <w:sz w:val="32"/>
          <w:szCs w:val="32"/>
        </w:rPr>
        <w:t>万元，占</w:t>
      </w:r>
      <w:r>
        <w:rPr>
          <w:rFonts w:ascii="Arial" w:hAnsi="Arial" w:eastAsia="Arial" w:cs="Arial"/>
          <w:color w:val="auto"/>
          <w:sz w:val="32"/>
          <w:szCs w:val="32"/>
        </w:rPr>
        <w:t xml:space="preserve"> 87</w:t>
      </w:r>
      <w:r>
        <w:rPr>
          <w:rFonts w:ascii="宋体" w:hAnsi="宋体" w:eastAsia="宋体" w:cs="宋体"/>
          <w:color w:val="auto"/>
          <w:sz w:val="32"/>
          <w:szCs w:val="32"/>
        </w:rPr>
        <w:t>.5</w:t>
      </w:r>
      <w:r>
        <w:rPr>
          <w:rFonts w:ascii="Arial" w:hAnsi="Arial" w:eastAsia="Arial" w:cs="Arial"/>
          <w:color w:val="auto"/>
          <w:sz w:val="32"/>
          <w:szCs w:val="32"/>
        </w:rPr>
        <w:t xml:space="preserve">%, </w:t>
      </w:r>
      <w:r>
        <w:rPr>
          <w:rFonts w:ascii="宋体" w:hAnsi="宋体" w:eastAsia="宋体" w:cs="宋体"/>
          <w:color w:val="auto"/>
          <w:sz w:val="32"/>
          <w:szCs w:val="32"/>
        </w:rPr>
        <w:t>经营支</w:t>
      </w:r>
      <w:r>
        <w:rPr>
          <w:rFonts w:ascii="Arial" w:hAnsi="Arial" w:eastAsia="Arial" w:cs="Arial"/>
          <w:color w:val="auto"/>
          <w:sz w:val="32"/>
          <w:szCs w:val="32"/>
        </w:rPr>
        <w:t xml:space="preserve"> 0 </w:t>
      </w:r>
      <w:r>
        <w:rPr>
          <w:rFonts w:ascii="宋体" w:hAnsi="宋体" w:eastAsia="宋体" w:cs="宋体"/>
          <w:color w:val="auto"/>
          <w:sz w:val="32"/>
          <w:szCs w:val="32"/>
        </w:rPr>
        <w:t>万元。</w:t>
      </w:r>
    </w:p>
    <w:p>
      <w:pPr>
        <w:spacing w:after="0" w:line="219"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四、财政拨款收入支出决算情况说明</w:t>
      </w:r>
    </w:p>
    <w:p>
      <w:pPr>
        <w:spacing w:after="0" w:line="193" w:lineRule="exact"/>
        <w:rPr>
          <w:color w:val="auto"/>
          <w:sz w:val="20"/>
          <w:szCs w:val="20"/>
        </w:rPr>
      </w:pPr>
    </w:p>
    <w:p>
      <w:pPr>
        <w:spacing w:after="0" w:line="388" w:lineRule="exact"/>
        <w:ind w:left="800"/>
        <w:rPr>
          <w:color w:val="auto"/>
          <w:sz w:val="20"/>
          <w:szCs w:val="20"/>
        </w:rPr>
      </w:pPr>
      <w:r>
        <w:rPr>
          <w:rFonts w:ascii="宋体" w:hAnsi="宋体" w:eastAsia="宋体" w:cs="宋体"/>
          <w:b/>
          <w:bCs/>
          <w:color w:val="auto"/>
          <w:sz w:val="32"/>
          <w:szCs w:val="32"/>
        </w:rPr>
        <w:t>（一）财政拨款收支与</w:t>
      </w:r>
      <w:r>
        <w:rPr>
          <w:rFonts w:ascii="Arial" w:hAnsi="Arial" w:eastAsia="Arial" w:cs="Arial"/>
          <w:b/>
          <w:bCs/>
          <w:color w:val="auto"/>
          <w:sz w:val="32"/>
          <w:szCs w:val="32"/>
        </w:rPr>
        <w:t xml:space="preserve"> 2017 </w:t>
      </w:r>
      <w:r>
        <w:rPr>
          <w:rFonts w:ascii="宋体" w:hAnsi="宋体" w:eastAsia="宋体" w:cs="宋体"/>
          <w:b/>
          <w:bCs/>
          <w:color w:val="auto"/>
          <w:sz w:val="32"/>
          <w:szCs w:val="32"/>
        </w:rPr>
        <w:t>年度决算对比情况</w:t>
      </w:r>
    </w:p>
    <w:p>
      <w:pPr>
        <w:spacing w:after="0" w:line="213"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 xml:space="preserve">本部门 </w:t>
      </w:r>
      <w:r>
        <w:rPr>
          <w:rFonts w:ascii="仿宋" w:hAnsi="仿宋" w:eastAsia="仿宋" w:cs="仿宋"/>
          <w:color w:val="auto"/>
          <w:sz w:val="32"/>
          <w:szCs w:val="32"/>
        </w:rPr>
        <w:t>2018</w:t>
      </w:r>
      <w:r>
        <w:rPr>
          <w:rFonts w:ascii="宋体" w:hAnsi="宋体" w:eastAsia="宋体" w:cs="宋体"/>
          <w:color w:val="auto"/>
          <w:sz w:val="32"/>
          <w:szCs w:val="32"/>
        </w:rPr>
        <w:t xml:space="preserve"> 年度形成的财政拨款收支均为一般公共预算财</w:t>
      </w:r>
    </w:p>
    <w:p>
      <w:pPr>
        <w:spacing w:after="0" w:line="227" w:lineRule="exact"/>
        <w:rPr>
          <w:color w:val="auto"/>
          <w:sz w:val="20"/>
          <w:szCs w:val="20"/>
        </w:rPr>
      </w:pPr>
    </w:p>
    <w:p>
      <w:pPr>
        <w:spacing w:after="0" w:line="354" w:lineRule="exact"/>
        <w:ind w:right="20"/>
        <w:jc w:val="center"/>
        <w:rPr>
          <w:color w:val="auto"/>
          <w:sz w:val="20"/>
          <w:szCs w:val="20"/>
        </w:rPr>
      </w:pPr>
      <w:r>
        <w:rPr>
          <w:rFonts w:ascii="宋体" w:hAnsi="宋体" w:eastAsia="宋体" w:cs="宋体"/>
          <w:color w:val="auto"/>
          <w:sz w:val="31"/>
          <w:szCs w:val="31"/>
        </w:rPr>
        <w:t xml:space="preserve">政拨款，其中一般公共预算财政拨款本年收入 </w:t>
      </w:r>
      <w:r>
        <w:rPr>
          <w:rFonts w:ascii="仿宋" w:hAnsi="仿宋" w:eastAsia="仿宋" w:cs="仿宋"/>
          <w:color w:val="auto"/>
          <w:sz w:val="31"/>
          <w:szCs w:val="31"/>
        </w:rPr>
        <w:t>5983.55</w:t>
      </w:r>
      <w:r>
        <w:rPr>
          <w:rFonts w:ascii="宋体" w:hAnsi="宋体" w:eastAsia="宋体" w:cs="宋体"/>
          <w:color w:val="auto"/>
          <w:sz w:val="31"/>
          <w:szCs w:val="31"/>
        </w:rPr>
        <w:t xml:space="preserve"> 万元</w:t>
      </w:r>
      <w:r>
        <w:rPr>
          <w:rFonts w:ascii="仿宋" w:hAnsi="仿宋" w:eastAsia="仿宋" w:cs="仿宋"/>
          <w:color w:val="auto"/>
          <w:sz w:val="31"/>
          <w:szCs w:val="31"/>
        </w:rPr>
        <w:t>,</w:t>
      </w:r>
      <w:r>
        <w:rPr>
          <w:rFonts w:ascii="宋体" w:hAnsi="宋体" w:eastAsia="宋体" w:cs="宋体"/>
          <w:color w:val="auto"/>
          <w:sz w:val="31"/>
          <w:szCs w:val="31"/>
        </w:rPr>
        <w:t>比</w:t>
      </w:r>
    </w:p>
    <w:p>
      <w:pPr>
        <w:spacing w:after="0" w:line="239" w:lineRule="exact"/>
        <w:rPr>
          <w:color w:val="auto"/>
          <w:sz w:val="20"/>
          <w:szCs w:val="20"/>
        </w:rPr>
      </w:pPr>
    </w:p>
    <w:p>
      <w:pPr>
        <w:spacing w:after="0" w:line="343" w:lineRule="exact"/>
        <w:ind w:right="20"/>
        <w:jc w:val="center"/>
        <w:rPr>
          <w:color w:val="auto"/>
          <w:sz w:val="20"/>
          <w:szCs w:val="20"/>
        </w:rPr>
      </w:pPr>
      <w:r>
        <w:rPr>
          <w:rFonts w:ascii="仿宋" w:hAnsi="仿宋" w:eastAsia="仿宋" w:cs="仿宋"/>
          <w:color w:val="auto"/>
          <w:sz w:val="30"/>
          <w:szCs w:val="30"/>
        </w:rPr>
        <w:t xml:space="preserve">2017 </w:t>
      </w:r>
      <w:r>
        <w:rPr>
          <w:rFonts w:ascii="宋体" w:hAnsi="宋体" w:eastAsia="宋体" w:cs="宋体"/>
          <w:color w:val="auto"/>
          <w:sz w:val="30"/>
          <w:szCs w:val="30"/>
        </w:rPr>
        <w:t>年度增加</w:t>
      </w:r>
      <w:r>
        <w:rPr>
          <w:rFonts w:ascii="仿宋" w:hAnsi="仿宋" w:eastAsia="仿宋" w:cs="仿宋"/>
          <w:color w:val="auto"/>
          <w:sz w:val="30"/>
          <w:szCs w:val="30"/>
        </w:rPr>
        <w:t xml:space="preserve"> 2133.20 </w:t>
      </w:r>
      <w:r>
        <w:rPr>
          <w:rFonts w:ascii="宋体" w:hAnsi="宋体" w:eastAsia="宋体" w:cs="宋体"/>
          <w:color w:val="auto"/>
          <w:sz w:val="30"/>
          <w:szCs w:val="30"/>
        </w:rPr>
        <w:t>万元，增长</w:t>
      </w:r>
      <w:r>
        <w:rPr>
          <w:rFonts w:ascii="仿宋" w:hAnsi="仿宋" w:eastAsia="仿宋" w:cs="仿宋"/>
          <w:color w:val="auto"/>
          <w:sz w:val="30"/>
          <w:szCs w:val="30"/>
        </w:rPr>
        <w:t xml:space="preserve"> 55.4%</w:t>
      </w:r>
      <w:r>
        <w:rPr>
          <w:rFonts w:ascii="宋体" w:hAnsi="宋体" w:eastAsia="宋体" w:cs="宋体"/>
          <w:color w:val="auto"/>
          <w:sz w:val="30"/>
          <w:szCs w:val="30"/>
        </w:rPr>
        <w:t>，主要是</w:t>
      </w:r>
      <w:r>
        <w:rPr>
          <w:rFonts w:ascii="仿宋" w:hAnsi="仿宋" w:eastAsia="仿宋" w:cs="仿宋"/>
          <w:color w:val="auto"/>
          <w:sz w:val="30"/>
          <w:szCs w:val="30"/>
        </w:rPr>
        <w:t xml:space="preserve"> 2018 </w:t>
      </w:r>
      <w:r>
        <w:rPr>
          <w:rFonts w:ascii="宋体" w:hAnsi="宋体" w:eastAsia="宋体" w:cs="宋体"/>
          <w:color w:val="auto"/>
          <w:sz w:val="30"/>
          <w:szCs w:val="30"/>
        </w:rPr>
        <w:t>年度上</w:t>
      </w:r>
    </w:p>
    <w:p>
      <w:pPr>
        <w:spacing w:after="0" w:line="236" w:lineRule="exact"/>
        <w:rPr>
          <w:color w:val="auto"/>
          <w:sz w:val="20"/>
          <w:szCs w:val="20"/>
        </w:rPr>
      </w:pPr>
    </w:p>
    <w:p>
      <w:pPr>
        <w:spacing w:after="0" w:line="343" w:lineRule="exact"/>
        <w:ind w:right="20"/>
        <w:jc w:val="center"/>
        <w:rPr>
          <w:color w:val="auto"/>
          <w:sz w:val="20"/>
          <w:szCs w:val="20"/>
        </w:rPr>
      </w:pPr>
      <w:r>
        <w:rPr>
          <w:rFonts w:ascii="宋体" w:hAnsi="宋体" w:eastAsia="宋体" w:cs="宋体"/>
          <w:color w:val="auto"/>
          <w:sz w:val="30"/>
          <w:szCs w:val="30"/>
        </w:rPr>
        <w:t xml:space="preserve">级下达的专项资金额增加；本年支出 </w:t>
      </w:r>
      <w:r>
        <w:rPr>
          <w:rFonts w:ascii="仿宋" w:hAnsi="仿宋" w:eastAsia="仿宋" w:cs="仿宋"/>
          <w:color w:val="auto"/>
          <w:sz w:val="30"/>
          <w:szCs w:val="30"/>
        </w:rPr>
        <w:t>5702.34</w:t>
      </w:r>
      <w:r>
        <w:rPr>
          <w:rFonts w:ascii="宋体" w:hAnsi="宋体" w:eastAsia="宋体" w:cs="宋体"/>
          <w:color w:val="auto"/>
          <w:sz w:val="30"/>
          <w:szCs w:val="30"/>
        </w:rPr>
        <w:t xml:space="preserve"> 万元，增加 </w:t>
      </w:r>
      <w:r>
        <w:rPr>
          <w:rFonts w:ascii="仿宋" w:hAnsi="仿宋" w:eastAsia="仿宋" w:cs="仿宋"/>
          <w:color w:val="auto"/>
          <w:sz w:val="30"/>
          <w:szCs w:val="30"/>
        </w:rPr>
        <w:t>4256.33</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 xml:space="preserve">万元，增长 </w:t>
      </w:r>
      <w:r>
        <w:rPr>
          <w:rFonts w:ascii="仿宋" w:hAnsi="仿宋" w:eastAsia="仿宋" w:cs="仿宋"/>
          <w:color w:val="auto"/>
          <w:sz w:val="32"/>
          <w:szCs w:val="32"/>
        </w:rPr>
        <w:t>74.6%</w:t>
      </w:r>
      <w:r>
        <w:rPr>
          <w:rFonts w:ascii="宋体" w:hAnsi="宋体" w:eastAsia="宋体" w:cs="宋体"/>
          <w:color w:val="auto"/>
          <w:sz w:val="32"/>
          <w:szCs w:val="32"/>
        </w:rPr>
        <w:t xml:space="preserve">，主要是 </w:t>
      </w:r>
      <w:r>
        <w:rPr>
          <w:rFonts w:ascii="仿宋" w:hAnsi="仿宋" w:eastAsia="仿宋" w:cs="仿宋"/>
          <w:color w:val="auto"/>
          <w:sz w:val="32"/>
          <w:szCs w:val="32"/>
        </w:rPr>
        <w:t>2018</w:t>
      </w:r>
      <w:r>
        <w:rPr>
          <w:rFonts w:ascii="宋体" w:hAnsi="宋体" w:eastAsia="宋体" w:cs="宋体"/>
          <w:color w:val="auto"/>
          <w:sz w:val="32"/>
          <w:szCs w:val="32"/>
        </w:rPr>
        <w:t xml:space="preserve"> 年度上级下达的专项资金额增</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加。</w:t>
      </w:r>
    </w:p>
    <w:p>
      <w:pPr>
        <w:spacing w:after="0" w:line="191" w:lineRule="exact"/>
        <w:rPr>
          <w:color w:val="auto"/>
          <w:sz w:val="20"/>
          <w:szCs w:val="20"/>
        </w:rPr>
      </w:pPr>
    </w:p>
    <w:p>
      <w:pPr>
        <w:spacing w:after="0" w:line="388" w:lineRule="exact"/>
        <w:ind w:left="800"/>
        <w:rPr>
          <w:color w:val="auto"/>
          <w:sz w:val="20"/>
          <w:szCs w:val="20"/>
        </w:rPr>
      </w:pPr>
      <w:r>
        <w:rPr>
          <w:rFonts w:ascii="宋体" w:hAnsi="宋体" w:eastAsia="宋体" w:cs="宋体"/>
          <w:color w:val="auto"/>
          <w:sz w:val="32"/>
          <w:szCs w:val="32"/>
        </w:rPr>
        <w:t>本部门</w:t>
      </w:r>
      <w:r>
        <w:rPr>
          <w:rFonts w:ascii="Arial" w:hAnsi="Arial" w:eastAsia="Arial" w:cs="Arial"/>
          <w:color w:val="auto"/>
          <w:sz w:val="32"/>
          <w:szCs w:val="32"/>
        </w:rPr>
        <w:t xml:space="preserve"> 2018 </w:t>
      </w:r>
      <w:r>
        <w:rPr>
          <w:rFonts w:ascii="宋体" w:hAnsi="宋体" w:eastAsia="宋体" w:cs="宋体"/>
          <w:color w:val="auto"/>
          <w:sz w:val="32"/>
          <w:szCs w:val="32"/>
        </w:rPr>
        <w:t>年度财政拨款本年收入</w:t>
      </w:r>
      <w:r>
        <w:rPr>
          <w:rFonts w:ascii="Arial" w:hAnsi="Arial" w:eastAsia="Arial" w:cs="Arial"/>
          <w:color w:val="auto"/>
          <w:sz w:val="32"/>
          <w:szCs w:val="32"/>
        </w:rPr>
        <w:t xml:space="preserve"> 6627</w:t>
      </w:r>
      <w:r>
        <w:rPr>
          <w:rFonts w:ascii="宋体" w:hAnsi="宋体" w:eastAsia="宋体" w:cs="宋体"/>
          <w:color w:val="auto"/>
          <w:sz w:val="32"/>
          <w:szCs w:val="32"/>
        </w:rPr>
        <w:t>.05</w:t>
      </w:r>
      <w:r>
        <w:rPr>
          <w:rFonts w:ascii="Arial" w:hAnsi="Arial" w:eastAsia="Arial" w:cs="Arial"/>
          <w:color w:val="auto"/>
          <w:sz w:val="32"/>
          <w:szCs w:val="32"/>
        </w:rPr>
        <w:t xml:space="preserve"> </w:t>
      </w:r>
      <w:r>
        <w:rPr>
          <w:rFonts w:ascii="宋体" w:hAnsi="宋体" w:eastAsia="宋体" w:cs="宋体"/>
          <w:color w:val="auto"/>
          <w:sz w:val="32"/>
          <w:szCs w:val="32"/>
        </w:rPr>
        <w:t>万元</w:t>
      </w:r>
      <w:r>
        <w:rPr>
          <w:rFonts w:ascii="Arial" w:hAnsi="Arial" w:eastAsia="Arial" w:cs="Arial"/>
          <w:color w:val="auto"/>
          <w:sz w:val="32"/>
          <w:szCs w:val="32"/>
        </w:rPr>
        <w:t>,</w:t>
      </w:r>
      <w:r>
        <w:rPr>
          <w:rFonts w:ascii="宋体" w:hAnsi="宋体" w:eastAsia="宋体" w:cs="宋体"/>
          <w:color w:val="auto"/>
          <w:sz w:val="32"/>
          <w:szCs w:val="32"/>
        </w:rPr>
        <w:t>比</w:t>
      </w:r>
      <w:r>
        <w:rPr>
          <w:rFonts w:ascii="Arial" w:hAnsi="Arial" w:eastAsia="Arial" w:cs="Arial"/>
          <w:color w:val="auto"/>
          <w:sz w:val="32"/>
          <w:szCs w:val="32"/>
        </w:rPr>
        <w:t xml:space="preserve"> 2017</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24" w:name="page35"/>
      <w:bookmarkEnd w:id="24"/>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372110</wp:posOffset>
                </wp:positionV>
                <wp:extent cx="3826510" cy="0"/>
                <wp:effectExtent l="0" t="0" r="0" b="0"/>
                <wp:wrapNone/>
                <wp:docPr id="105" name="Shape 105"/>
                <wp:cNvGraphicFramePr/>
                <a:graphic xmlns:a="http://schemas.openxmlformats.org/drawingml/2006/main">
                  <a:graphicData uri="http://schemas.microsoft.com/office/word/2010/wordprocessingShape">
                    <wps:wsp>
                      <wps:cNvCnPr/>
                      <wps:spPr>
                        <a:xfrm>
                          <a:off x="0" y="0"/>
                          <a:ext cx="3826510" cy="4763"/>
                        </a:xfrm>
                        <a:prstGeom prst="line">
                          <a:avLst/>
                        </a:prstGeom>
                        <a:solidFill>
                          <a:srgbClr val="FFFFFF"/>
                        </a:solidFill>
                        <a:ln w="634">
                          <a:solidFill>
                            <a:srgbClr val="D9D9D9"/>
                          </a:solidFill>
                          <a:miter lim="800000"/>
                        </a:ln>
                      </wps:spPr>
                      <wps:bodyPr/>
                    </wps:wsp>
                  </a:graphicData>
                </a:graphic>
              </wp:anchor>
            </w:drawing>
          </mc:Choice>
          <mc:Fallback>
            <w:pict>
              <v:line id="Shape 105" o:spid="_x0000_s1026" o:spt="20" style="position:absolute;left:0pt;margin-left:0pt;margin-top:29.3pt;height:0pt;width:301.3pt;mso-position-horizontal-relative:page;mso-position-vertical-relative:page;z-index:-251658240;mso-width-relative:page;mso-height-relative:page;" fillcolor="#FFFFFF" filled="t" stroked="t" coordsize="21600,21600" o:allowincell="f" o:gfxdata="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0qHbC1QAAAAYBAAAPAAAAAAAAAAEAIAAAACIA&#10;AABkcnMvZG93bnJldi54bWxQSwECFAAUAAAACACHTuJAWNPoX5oBAABOAwAADgAAAAAAAAABACAA&#10;AAAkAQAAZHJzL2Uyb0RvYy54bWxQSwUGAAAAAAYABgBZAQAAMAU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4445</wp:posOffset>
                </wp:positionH>
                <wp:positionV relativeFrom="page">
                  <wp:posOffset>372110</wp:posOffset>
                </wp:positionV>
                <wp:extent cx="3734435" cy="0"/>
                <wp:effectExtent l="0" t="0" r="0" b="0"/>
                <wp:wrapNone/>
                <wp:docPr id="106" name="Shape 106"/>
                <wp:cNvGraphicFramePr/>
                <a:graphic xmlns:a="http://schemas.openxmlformats.org/drawingml/2006/main">
                  <a:graphicData uri="http://schemas.microsoft.com/office/word/2010/wordprocessingShape">
                    <wps:wsp>
                      <wps:cNvCnPr/>
                      <wps:spPr>
                        <a:xfrm>
                          <a:off x="0" y="0"/>
                          <a:ext cx="3734435" cy="4763"/>
                        </a:xfrm>
                        <a:prstGeom prst="line">
                          <a:avLst/>
                        </a:prstGeom>
                        <a:solidFill>
                          <a:srgbClr val="FFFFFF"/>
                        </a:solidFill>
                        <a:ln w="634">
                          <a:solidFill>
                            <a:srgbClr val="AD002D"/>
                          </a:solidFill>
                          <a:miter lim="800000"/>
                        </a:ln>
                      </wps:spPr>
                      <wps:bodyPr/>
                    </wps:wsp>
                  </a:graphicData>
                </a:graphic>
              </wp:anchor>
            </w:drawing>
          </mc:Choice>
          <mc:Fallback>
            <w:pict>
              <v:line id="Shape 106" o:spid="_x0000_s1026" o:spt="20" style="position:absolute;left:0pt;margin-left:0.35pt;margin-top:29.3pt;height:0pt;width:294.05pt;mso-position-horizontal-relative:page;mso-position-vertical-relative:page;z-index:-251658240;mso-width-relative:page;mso-height-relative:page;" fillcolor="#FFFFFF" filled="t" stroked="t" coordsize="21600,21600" o:allowincell="f" o:gfxdata="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OHwfNQAAAAGAQAADwAAAAAAAAABACAAAAAi&#10;AAAAZHJzL2Rvd25yZXYueG1sUEsBAhQAFAAAAAgAh07iQKp4oQicAQAATgMAAA4AAAAAAAAAAQAg&#10;AAAAIwEAAGRycy9lMm9Eb2MueG1sUEsFBgAAAAAGAAYAWQEAADEFA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-8255</wp:posOffset>
                </wp:positionH>
                <wp:positionV relativeFrom="page">
                  <wp:posOffset>372110</wp:posOffset>
                </wp:positionV>
                <wp:extent cx="3759835" cy="0"/>
                <wp:effectExtent l="0" t="12700" r="4445" b="17780"/>
                <wp:wrapNone/>
                <wp:docPr id="107" name="Shape 107"/>
                <wp:cNvGraphicFramePr/>
                <a:graphic xmlns:a="http://schemas.openxmlformats.org/drawingml/2006/main">
                  <a:graphicData uri="http://schemas.microsoft.com/office/word/2010/wordprocessingShape">
                    <wps:wsp>
                      <wps:cNvCnPr/>
                      <wps:spPr>
                        <a:xfrm>
                          <a:off x="0" y="0"/>
                          <a:ext cx="3759835" cy="4763"/>
                        </a:xfrm>
                        <a:prstGeom prst="line">
                          <a:avLst/>
                        </a:prstGeom>
                        <a:solidFill>
                          <a:srgbClr val="FFFFFF"/>
                        </a:solidFill>
                        <a:ln w="26034">
                          <a:solidFill>
                            <a:srgbClr val="B0761F"/>
                          </a:solidFill>
                          <a:miter lim="800000"/>
                        </a:ln>
                      </wps:spPr>
                      <wps:bodyPr/>
                    </wps:wsp>
                  </a:graphicData>
                </a:graphic>
              </wp:anchor>
            </w:drawing>
          </mc:Choice>
          <mc:Fallback>
            <w:pict>
              <v:line id="Shape 107" o:spid="_x0000_s1026" o:spt="20" style="position:absolute;left:0pt;margin-left:-0.65pt;margin-top:29.3pt;height:0pt;width:296.05pt;mso-position-horizontal-relative:page;mso-position-vertical-relative:page;z-index:-251658240;mso-width-relative:page;mso-height-relative:page;" fillcolor="#FFFFFF" filled="t" stroked="t" coordsize="21600,21600" o:allowincell="f" o:gfxdata="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25gK1wAAAAgBAAAPAAAAAAAAAAEA&#10;IAAAACIAAABkcnMvZG93bnJldi54bWxQSwECFAAUAAAACACHTuJATSOXo54BAABQAwAADgAAAAAA&#10;AAABACAAAAAmAQAAZHJzL2Uyb0RvYy54bWxQSwUGAAAAAAYABgBZAQAANgUAAAAA&#10;">
                <v:fill on="t" focussize="0,0"/>
                <v:stroke weight="2.04992125984252pt" color="#B0761F"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 xml:space="preserve">年度增加 </w:t>
      </w:r>
      <w:r>
        <w:rPr>
          <w:rFonts w:ascii="仿宋" w:hAnsi="仿宋" w:eastAsia="仿宋" w:cs="仿宋"/>
          <w:color w:val="auto"/>
          <w:sz w:val="31"/>
          <w:szCs w:val="31"/>
        </w:rPr>
        <w:t>2776.70</w:t>
      </w:r>
      <w:r>
        <w:rPr>
          <w:rFonts w:ascii="宋体" w:hAnsi="宋体" w:eastAsia="宋体" w:cs="宋体"/>
          <w:color w:val="auto"/>
          <w:sz w:val="31"/>
          <w:szCs w:val="31"/>
        </w:rPr>
        <w:t xml:space="preserve"> 万元，增长 </w:t>
      </w:r>
      <w:r>
        <w:rPr>
          <w:rFonts w:ascii="仿宋" w:hAnsi="仿宋" w:eastAsia="仿宋" w:cs="仿宋"/>
          <w:color w:val="auto"/>
          <w:sz w:val="31"/>
          <w:szCs w:val="31"/>
        </w:rPr>
        <w:t>72.1%</w:t>
      </w:r>
      <w:r>
        <w:rPr>
          <w:rFonts w:ascii="宋体" w:hAnsi="宋体" w:eastAsia="宋体" w:cs="宋体"/>
          <w:color w:val="auto"/>
          <w:sz w:val="31"/>
          <w:szCs w:val="31"/>
        </w:rPr>
        <w:t>，主要是</w:t>
      </w:r>
      <w:r>
        <w:rPr>
          <w:rFonts w:ascii="宋体" w:hAnsi="宋体" w:eastAsia="宋体" w:cs="宋体"/>
          <w:color w:val="auto"/>
          <w:sz w:val="20"/>
          <w:szCs w:val="20"/>
        </w:rPr>
        <w:t>上级专项资金较上年增加</w:t>
      </w:r>
      <w:r>
        <w:rPr>
          <w:rFonts w:ascii="宋体" w:hAnsi="宋体" w:eastAsia="宋体" w:cs="宋体"/>
          <w:color w:val="auto"/>
          <w:sz w:val="31"/>
          <w:szCs w:val="31"/>
        </w:rPr>
        <w:t>；</w:t>
      </w:r>
    </w:p>
    <w:p>
      <w:pPr>
        <w:spacing w:after="0" w:line="227"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 xml:space="preserve">本年支出 </w:t>
      </w:r>
      <w:r>
        <w:rPr>
          <w:rFonts w:ascii="仿宋" w:hAnsi="仿宋" w:eastAsia="仿宋" w:cs="仿宋"/>
          <w:color w:val="auto"/>
          <w:sz w:val="31"/>
          <w:szCs w:val="31"/>
        </w:rPr>
        <w:t>6281.20</w:t>
      </w:r>
      <w:r>
        <w:rPr>
          <w:rFonts w:ascii="宋体" w:hAnsi="宋体" w:eastAsia="宋体" w:cs="宋体"/>
          <w:color w:val="auto"/>
          <w:sz w:val="31"/>
          <w:szCs w:val="31"/>
        </w:rPr>
        <w:t xml:space="preserve"> 万元，增加 </w:t>
      </w:r>
      <w:r>
        <w:rPr>
          <w:rFonts w:ascii="仿宋" w:hAnsi="仿宋" w:eastAsia="仿宋" w:cs="仿宋"/>
          <w:color w:val="auto"/>
          <w:sz w:val="31"/>
          <w:szCs w:val="31"/>
        </w:rPr>
        <w:t>4835.19</w:t>
      </w:r>
      <w:r>
        <w:rPr>
          <w:rFonts w:ascii="宋体" w:hAnsi="宋体" w:eastAsia="宋体" w:cs="宋体"/>
          <w:color w:val="auto"/>
          <w:sz w:val="31"/>
          <w:szCs w:val="31"/>
        </w:rPr>
        <w:t xml:space="preserve"> 万元，增长 </w:t>
      </w:r>
      <w:r>
        <w:rPr>
          <w:rFonts w:ascii="仿宋" w:hAnsi="仿宋" w:eastAsia="仿宋" w:cs="仿宋"/>
          <w:color w:val="auto"/>
          <w:sz w:val="31"/>
          <w:szCs w:val="31"/>
        </w:rPr>
        <w:t>334.4%</w:t>
      </w:r>
      <w:r>
        <w:rPr>
          <w:rFonts w:ascii="宋体" w:hAnsi="宋体" w:eastAsia="宋体" w:cs="宋体"/>
          <w:color w:val="auto"/>
          <w:sz w:val="31"/>
          <w:szCs w:val="31"/>
        </w:rPr>
        <w:t>，主</w:t>
      </w:r>
    </w:p>
    <w:p>
      <w:pPr>
        <w:spacing w:after="0" w:line="213"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要是</w:t>
      </w:r>
      <w:r>
        <w:rPr>
          <w:rFonts w:ascii="宋体" w:hAnsi="宋体" w:eastAsia="宋体" w:cs="宋体"/>
          <w:color w:val="auto"/>
          <w:sz w:val="21"/>
          <w:szCs w:val="21"/>
        </w:rPr>
        <w:t>上级专项资金较上年增加</w:t>
      </w:r>
      <w:r>
        <w:rPr>
          <w:rFonts w:ascii="宋体" w:hAnsi="宋体" w:eastAsia="宋体" w:cs="宋体"/>
          <w:color w:val="auto"/>
          <w:sz w:val="32"/>
          <w:szCs w:val="32"/>
        </w:rPr>
        <w:t>。</w:t>
      </w:r>
    </w:p>
    <w:p>
      <w:pPr>
        <w:spacing w:after="0" w:line="227" w:lineRule="exact"/>
        <w:rPr>
          <w:color w:val="auto"/>
          <w:sz w:val="20"/>
          <w:szCs w:val="20"/>
        </w:rPr>
      </w:pPr>
    </w:p>
    <w:p>
      <w:pPr>
        <w:spacing w:after="0" w:line="354" w:lineRule="exact"/>
        <w:ind w:left="800"/>
        <w:rPr>
          <w:color w:val="auto"/>
          <w:sz w:val="20"/>
          <w:szCs w:val="20"/>
        </w:rPr>
      </w:pPr>
      <w:r>
        <w:rPr>
          <w:rFonts w:ascii="宋体" w:hAnsi="宋体" w:eastAsia="宋体" w:cs="宋体"/>
          <w:color w:val="auto"/>
          <w:sz w:val="31"/>
          <w:szCs w:val="31"/>
        </w:rPr>
        <w:t xml:space="preserve">其中：一般公共预算财政拨款本年收入 </w:t>
      </w:r>
      <w:r>
        <w:rPr>
          <w:rFonts w:ascii="仿宋" w:hAnsi="仿宋" w:eastAsia="仿宋" w:cs="仿宋"/>
          <w:color w:val="auto"/>
          <w:sz w:val="31"/>
          <w:szCs w:val="31"/>
        </w:rPr>
        <w:t>5983.55</w:t>
      </w:r>
      <w:r>
        <w:rPr>
          <w:rFonts w:ascii="宋体" w:hAnsi="宋体" w:eastAsia="宋体" w:cs="宋体"/>
          <w:color w:val="auto"/>
          <w:sz w:val="31"/>
          <w:szCs w:val="31"/>
        </w:rPr>
        <w:t xml:space="preserve"> 万元，比上</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997585</wp:posOffset>
            </wp:positionH>
            <wp:positionV relativeFrom="paragraph">
              <wp:posOffset>-150495</wp:posOffset>
            </wp:positionV>
            <wp:extent cx="3786505" cy="508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9"/>
                    <a:srcRect/>
                    <a:stretch>
                      <a:fillRect/>
                    </a:stretch>
                  </pic:blipFill>
                  <pic:spPr>
                    <a:xfrm>
                      <a:off x="0" y="0"/>
                      <a:ext cx="3786505" cy="4763"/>
                    </a:xfrm>
                    <a:prstGeom prst="rect">
                      <a:avLst/>
                    </a:prstGeom>
                    <a:noFill/>
                  </pic:spPr>
                </pic:pic>
              </a:graphicData>
            </a:graphic>
          </wp:anchor>
        </w:drawing>
      </w:r>
    </w:p>
    <w:p>
      <w:pPr>
        <w:spacing w:after="0" w:line="219" w:lineRule="exact"/>
        <w:rPr>
          <w:color w:val="auto"/>
          <w:sz w:val="20"/>
          <w:szCs w:val="20"/>
        </w:rPr>
      </w:pPr>
    </w:p>
    <w:p>
      <w:pPr>
        <w:spacing w:after="0" w:line="343" w:lineRule="exact"/>
        <w:ind w:right="20"/>
        <w:jc w:val="center"/>
        <w:rPr>
          <w:color w:val="auto"/>
          <w:sz w:val="20"/>
          <w:szCs w:val="20"/>
        </w:rPr>
      </w:pPr>
      <w:r>
        <w:rPr>
          <w:rFonts w:ascii="宋体" w:hAnsi="宋体" w:eastAsia="宋体" w:cs="宋体"/>
          <w:color w:val="auto"/>
          <w:sz w:val="30"/>
          <w:szCs w:val="30"/>
        </w:rPr>
        <w:t xml:space="preserve">年增加 </w:t>
      </w:r>
      <w:r>
        <w:rPr>
          <w:rFonts w:ascii="仿宋" w:hAnsi="仿宋" w:eastAsia="仿宋" w:cs="仿宋"/>
          <w:color w:val="auto"/>
          <w:sz w:val="30"/>
          <w:szCs w:val="30"/>
        </w:rPr>
        <w:t>213.32</w:t>
      </w:r>
      <w:r>
        <w:rPr>
          <w:rFonts w:ascii="宋体" w:hAnsi="宋体" w:eastAsia="宋体" w:cs="宋体"/>
          <w:color w:val="auto"/>
          <w:sz w:val="30"/>
          <w:szCs w:val="30"/>
        </w:rPr>
        <w:t xml:space="preserve"> 万元；主要是专项资金额增加；本年支出 </w:t>
      </w:r>
      <w:r>
        <w:rPr>
          <w:rFonts w:ascii="仿宋" w:hAnsi="仿宋" w:eastAsia="仿宋" w:cs="仿宋"/>
          <w:color w:val="auto"/>
          <w:sz w:val="30"/>
          <w:szCs w:val="30"/>
        </w:rPr>
        <w:t>5702.34</w:t>
      </w:r>
    </w:p>
    <w:p>
      <w:pPr>
        <w:spacing w:after="0" w:line="225" w:lineRule="exact"/>
        <w:rPr>
          <w:color w:val="auto"/>
          <w:sz w:val="20"/>
          <w:szCs w:val="20"/>
        </w:rPr>
      </w:pPr>
    </w:p>
    <w:p>
      <w:pPr>
        <w:spacing w:after="0" w:line="354" w:lineRule="exact"/>
        <w:ind w:right="20"/>
        <w:jc w:val="center"/>
        <w:rPr>
          <w:color w:val="auto"/>
          <w:sz w:val="20"/>
          <w:szCs w:val="20"/>
        </w:rPr>
      </w:pPr>
      <w:r>
        <w:rPr>
          <w:rFonts w:ascii="宋体" w:hAnsi="宋体" w:eastAsia="宋体" w:cs="宋体"/>
          <w:color w:val="auto"/>
          <w:sz w:val="31"/>
          <w:szCs w:val="31"/>
        </w:rPr>
        <w:t xml:space="preserve">万元，比上年增加 </w:t>
      </w:r>
      <w:r>
        <w:rPr>
          <w:rFonts w:ascii="仿宋" w:hAnsi="仿宋" w:eastAsia="仿宋" w:cs="仿宋"/>
          <w:color w:val="auto"/>
          <w:sz w:val="31"/>
          <w:szCs w:val="31"/>
        </w:rPr>
        <w:t>4256.33</w:t>
      </w:r>
      <w:r>
        <w:rPr>
          <w:rFonts w:ascii="宋体" w:hAnsi="宋体" w:eastAsia="宋体" w:cs="宋体"/>
          <w:color w:val="auto"/>
          <w:sz w:val="31"/>
          <w:szCs w:val="31"/>
        </w:rPr>
        <w:t xml:space="preserve"> 万元，增长 </w:t>
      </w:r>
      <w:r>
        <w:rPr>
          <w:rFonts w:ascii="仿宋" w:hAnsi="仿宋" w:eastAsia="仿宋" w:cs="仿宋"/>
          <w:color w:val="auto"/>
          <w:sz w:val="31"/>
          <w:szCs w:val="31"/>
        </w:rPr>
        <w:t>294.3%</w:t>
      </w:r>
      <w:r>
        <w:rPr>
          <w:rFonts w:ascii="宋体" w:hAnsi="宋体" w:eastAsia="宋体" w:cs="宋体"/>
          <w:color w:val="auto"/>
          <w:sz w:val="31"/>
          <w:szCs w:val="31"/>
        </w:rPr>
        <w:t>，主要是专项资</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 xml:space="preserve">金额增加。政府性基金预算财政拨款本年收入 </w:t>
      </w:r>
      <w:r>
        <w:rPr>
          <w:rFonts w:ascii="仿宋" w:hAnsi="仿宋" w:eastAsia="仿宋" w:cs="仿宋"/>
          <w:color w:val="auto"/>
          <w:sz w:val="32"/>
          <w:szCs w:val="32"/>
        </w:rPr>
        <w:t>643.50</w:t>
      </w:r>
      <w:r>
        <w:rPr>
          <w:rFonts w:ascii="宋体" w:hAnsi="宋体" w:eastAsia="宋体" w:cs="宋体"/>
          <w:color w:val="auto"/>
          <w:sz w:val="32"/>
          <w:szCs w:val="32"/>
        </w:rPr>
        <w:t xml:space="preserve"> 万元，比</w:t>
      </w:r>
    </w:p>
    <w:p>
      <w:pPr>
        <w:spacing w:after="0" w:line="239" w:lineRule="exact"/>
        <w:rPr>
          <w:color w:val="auto"/>
          <w:sz w:val="20"/>
          <w:szCs w:val="20"/>
        </w:rPr>
      </w:pPr>
    </w:p>
    <w:p>
      <w:pPr>
        <w:spacing w:after="0" w:line="343" w:lineRule="exact"/>
        <w:ind w:left="140"/>
        <w:rPr>
          <w:color w:val="auto"/>
          <w:sz w:val="20"/>
          <w:szCs w:val="20"/>
        </w:rPr>
      </w:pPr>
      <w:r>
        <w:rPr>
          <w:rFonts w:ascii="宋体" w:hAnsi="宋体" w:eastAsia="宋体" w:cs="宋体"/>
          <w:color w:val="auto"/>
          <w:sz w:val="30"/>
          <w:szCs w:val="30"/>
        </w:rPr>
        <w:t xml:space="preserve">上年增加 </w:t>
      </w:r>
      <w:r>
        <w:rPr>
          <w:rFonts w:ascii="仿宋" w:hAnsi="仿宋" w:eastAsia="仿宋" w:cs="仿宋"/>
          <w:color w:val="auto"/>
          <w:sz w:val="30"/>
          <w:szCs w:val="30"/>
        </w:rPr>
        <w:t>643.50</w:t>
      </w:r>
      <w:r>
        <w:rPr>
          <w:rFonts w:ascii="宋体" w:hAnsi="宋体" w:eastAsia="宋体" w:cs="宋体"/>
          <w:color w:val="auto"/>
          <w:sz w:val="30"/>
          <w:szCs w:val="30"/>
        </w:rPr>
        <w:t xml:space="preserve"> 万元，增长 </w:t>
      </w:r>
      <w:r>
        <w:rPr>
          <w:rFonts w:ascii="仿宋" w:hAnsi="仿宋" w:eastAsia="仿宋" w:cs="仿宋"/>
          <w:color w:val="auto"/>
          <w:sz w:val="30"/>
          <w:szCs w:val="30"/>
        </w:rPr>
        <w:t>100%</w:t>
      </w:r>
      <w:r>
        <w:rPr>
          <w:rFonts w:ascii="宋体" w:hAnsi="宋体" w:eastAsia="宋体" w:cs="宋体"/>
          <w:color w:val="auto"/>
          <w:sz w:val="30"/>
          <w:szCs w:val="30"/>
        </w:rPr>
        <w:t>，主要原因是专项资金额增加；</w:t>
      </w:r>
    </w:p>
    <w:p>
      <w:pPr>
        <w:spacing w:after="0" w:line="225"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 xml:space="preserve">本年支出 </w:t>
      </w:r>
      <w:r>
        <w:rPr>
          <w:rFonts w:ascii="仿宋" w:hAnsi="仿宋" w:eastAsia="仿宋" w:cs="仿宋"/>
          <w:color w:val="auto"/>
          <w:sz w:val="31"/>
          <w:szCs w:val="31"/>
        </w:rPr>
        <w:t>578.85</w:t>
      </w:r>
      <w:r>
        <w:rPr>
          <w:rFonts w:ascii="宋体" w:hAnsi="宋体" w:eastAsia="宋体" w:cs="宋体"/>
          <w:color w:val="auto"/>
          <w:sz w:val="31"/>
          <w:szCs w:val="31"/>
        </w:rPr>
        <w:t xml:space="preserve"> 万元，比上年增加 </w:t>
      </w:r>
      <w:r>
        <w:rPr>
          <w:rFonts w:ascii="仿宋" w:hAnsi="仿宋" w:eastAsia="仿宋" w:cs="仿宋"/>
          <w:color w:val="auto"/>
          <w:sz w:val="31"/>
          <w:szCs w:val="31"/>
        </w:rPr>
        <w:t>578.85</w:t>
      </w:r>
      <w:r>
        <w:rPr>
          <w:rFonts w:ascii="宋体" w:hAnsi="宋体" w:eastAsia="宋体" w:cs="宋体"/>
          <w:color w:val="auto"/>
          <w:sz w:val="31"/>
          <w:szCs w:val="31"/>
        </w:rPr>
        <w:t xml:space="preserve"> 万元，增长 </w:t>
      </w:r>
      <w:r>
        <w:rPr>
          <w:rFonts w:ascii="仿宋" w:hAnsi="仿宋" w:eastAsia="仿宋" w:cs="仿宋"/>
          <w:color w:val="auto"/>
          <w:sz w:val="31"/>
          <w:szCs w:val="31"/>
        </w:rPr>
        <w:t>100%</w:t>
      </w:r>
      <w:r>
        <w:rPr>
          <w:rFonts w:ascii="宋体" w:hAnsi="宋体" w:eastAsia="宋体" w:cs="宋体"/>
          <w:color w:val="auto"/>
          <w:sz w:val="31"/>
          <w:szCs w:val="31"/>
        </w:rPr>
        <w:t>，</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主要是专项资金额增加。</w:t>
      </w:r>
    </w:p>
    <w:p>
      <w:pPr>
        <w:spacing w:after="0" w:line="216" w:lineRule="exact"/>
        <w:rPr>
          <w:color w:val="auto"/>
          <w:sz w:val="20"/>
          <w:szCs w:val="20"/>
        </w:rPr>
      </w:pPr>
    </w:p>
    <w:p>
      <w:pPr>
        <w:spacing w:after="0" w:line="366" w:lineRule="exact"/>
        <w:ind w:left="800"/>
        <w:rPr>
          <w:color w:val="auto"/>
          <w:sz w:val="20"/>
          <w:szCs w:val="20"/>
        </w:rPr>
      </w:pPr>
      <w:r>
        <w:rPr>
          <w:rFonts w:ascii="宋体" w:hAnsi="宋体" w:eastAsia="宋体" w:cs="宋体"/>
          <w:b/>
          <w:bCs/>
          <w:color w:val="auto"/>
          <w:sz w:val="32"/>
          <w:szCs w:val="32"/>
        </w:rPr>
        <w:t>（二）财政拨款收支与年初预算数对比情况</w:t>
      </w:r>
    </w:p>
    <w:p>
      <w:pPr>
        <w:spacing w:after="0" w:line="237" w:lineRule="exact"/>
        <w:rPr>
          <w:color w:val="auto"/>
          <w:sz w:val="20"/>
          <w:szCs w:val="20"/>
        </w:rPr>
      </w:pPr>
    </w:p>
    <w:p>
      <w:pPr>
        <w:spacing w:after="0" w:line="343" w:lineRule="exact"/>
        <w:ind w:left="800"/>
        <w:rPr>
          <w:color w:val="auto"/>
          <w:sz w:val="20"/>
          <w:szCs w:val="20"/>
        </w:rPr>
      </w:pPr>
      <w:r>
        <w:rPr>
          <w:rFonts w:ascii="宋体" w:hAnsi="宋体" w:eastAsia="宋体" w:cs="宋体"/>
          <w:color w:val="auto"/>
          <w:sz w:val="30"/>
          <w:szCs w:val="30"/>
        </w:rPr>
        <w:t xml:space="preserve">本部门 </w:t>
      </w:r>
      <w:r>
        <w:rPr>
          <w:rFonts w:ascii="仿宋" w:hAnsi="仿宋" w:eastAsia="仿宋" w:cs="仿宋"/>
          <w:color w:val="auto"/>
          <w:sz w:val="30"/>
          <w:szCs w:val="30"/>
        </w:rPr>
        <w:t>2018</w:t>
      </w:r>
      <w:r>
        <w:rPr>
          <w:rFonts w:ascii="宋体" w:hAnsi="宋体" w:eastAsia="宋体" w:cs="宋体"/>
          <w:color w:val="auto"/>
          <w:sz w:val="30"/>
          <w:szCs w:val="30"/>
        </w:rPr>
        <w:t xml:space="preserve"> 年度一般公共预算财政拨款收入 </w:t>
      </w:r>
      <w:r>
        <w:rPr>
          <w:rFonts w:ascii="仿宋" w:hAnsi="仿宋" w:eastAsia="仿宋" w:cs="仿宋"/>
          <w:color w:val="auto"/>
          <w:sz w:val="30"/>
          <w:szCs w:val="30"/>
        </w:rPr>
        <w:t>5983.55</w:t>
      </w:r>
      <w:r>
        <w:rPr>
          <w:rFonts w:ascii="宋体" w:hAnsi="宋体" w:eastAsia="宋体" w:cs="宋体"/>
          <w:color w:val="auto"/>
          <w:sz w:val="30"/>
          <w:szCs w:val="30"/>
        </w:rPr>
        <w:t xml:space="preserve"> 万元，</w:t>
      </w:r>
    </w:p>
    <w:p>
      <w:pPr>
        <w:spacing w:after="0" w:line="264" w:lineRule="exact"/>
        <w:rPr>
          <w:color w:val="auto"/>
          <w:sz w:val="20"/>
          <w:szCs w:val="20"/>
        </w:rPr>
      </w:pPr>
    </w:p>
    <w:p>
      <w:pPr>
        <w:spacing w:after="0" w:line="493" w:lineRule="exact"/>
        <w:ind w:left="140" w:right="160"/>
        <w:jc w:val="both"/>
        <w:rPr>
          <w:color w:val="auto"/>
          <w:sz w:val="20"/>
          <w:szCs w:val="20"/>
        </w:rPr>
      </w:pPr>
      <w:r>
        <w:rPr>
          <w:rFonts w:ascii="宋体" w:hAnsi="宋体" w:eastAsia="宋体" w:cs="宋体"/>
          <w:color w:val="auto"/>
          <w:sz w:val="31"/>
          <w:szCs w:val="31"/>
        </w:rPr>
        <w:t xml:space="preserve">完成年初预算的 </w:t>
      </w:r>
      <w:r>
        <w:rPr>
          <w:rFonts w:ascii="仿宋" w:hAnsi="仿宋" w:eastAsia="仿宋" w:cs="仿宋"/>
          <w:color w:val="auto"/>
          <w:sz w:val="31"/>
          <w:szCs w:val="31"/>
        </w:rPr>
        <w:t>62.3%,</w:t>
      </w:r>
      <w:r>
        <w:rPr>
          <w:rFonts w:ascii="宋体" w:hAnsi="宋体" w:eastAsia="宋体" w:cs="宋体"/>
          <w:color w:val="auto"/>
          <w:sz w:val="31"/>
          <w:szCs w:val="31"/>
        </w:rPr>
        <w:t xml:space="preserve">比年初预算减少 </w:t>
      </w:r>
      <w:r>
        <w:rPr>
          <w:rFonts w:ascii="仿宋" w:hAnsi="仿宋" w:eastAsia="仿宋" w:cs="仿宋"/>
          <w:color w:val="auto"/>
          <w:sz w:val="31"/>
          <w:szCs w:val="31"/>
        </w:rPr>
        <w:t>3616.74</w:t>
      </w:r>
      <w:r>
        <w:rPr>
          <w:rFonts w:ascii="宋体" w:hAnsi="宋体" w:eastAsia="宋体" w:cs="宋体"/>
          <w:color w:val="auto"/>
          <w:sz w:val="31"/>
          <w:szCs w:val="31"/>
        </w:rPr>
        <w:t xml:space="preserve"> 万元；本年支出 </w:t>
      </w:r>
      <w:r>
        <w:rPr>
          <w:rFonts w:ascii="仿宋" w:hAnsi="仿宋" w:eastAsia="仿宋" w:cs="仿宋"/>
          <w:color w:val="auto"/>
          <w:sz w:val="31"/>
          <w:szCs w:val="31"/>
        </w:rPr>
        <w:t>5702.34</w:t>
      </w:r>
      <w:r>
        <w:rPr>
          <w:rFonts w:ascii="宋体" w:hAnsi="宋体" w:eastAsia="宋体" w:cs="宋体"/>
          <w:color w:val="auto"/>
          <w:sz w:val="31"/>
          <w:szCs w:val="31"/>
        </w:rPr>
        <w:t xml:space="preserve"> 万元，完成年初预算的 </w:t>
      </w:r>
      <w:r>
        <w:rPr>
          <w:rFonts w:ascii="仿宋" w:hAnsi="仿宋" w:eastAsia="仿宋" w:cs="仿宋"/>
          <w:color w:val="auto"/>
          <w:sz w:val="31"/>
          <w:szCs w:val="31"/>
        </w:rPr>
        <w:t>68.4%,</w:t>
      </w:r>
      <w:r>
        <w:rPr>
          <w:rFonts w:ascii="宋体" w:hAnsi="宋体" w:eastAsia="宋体" w:cs="宋体"/>
          <w:color w:val="auto"/>
          <w:sz w:val="31"/>
          <w:szCs w:val="31"/>
        </w:rPr>
        <w:t xml:space="preserve">比年初预算减少 </w:t>
      </w:r>
      <w:r>
        <w:rPr>
          <w:rFonts w:ascii="仿宋" w:hAnsi="仿宋" w:eastAsia="仿宋" w:cs="仿宋"/>
          <w:color w:val="auto"/>
          <w:sz w:val="31"/>
          <w:szCs w:val="31"/>
        </w:rPr>
        <w:t xml:space="preserve">3897.05 </w:t>
      </w:r>
      <w:r>
        <w:rPr>
          <w:rFonts w:ascii="宋体" w:hAnsi="宋体" w:eastAsia="宋体" w:cs="宋体"/>
          <w:color w:val="auto"/>
          <w:sz w:val="31"/>
          <w:szCs w:val="31"/>
        </w:rPr>
        <w:t>万元，决算数小于预算数主要原因是农业项目季节性要</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求较强，有些项目需要跨年度实施，资金当年未拨付。</w:t>
      </w:r>
    </w:p>
    <w:p>
      <w:pPr>
        <w:spacing w:after="0" w:line="264" w:lineRule="exact"/>
        <w:rPr>
          <w:color w:val="auto"/>
          <w:sz w:val="20"/>
          <w:szCs w:val="20"/>
        </w:rPr>
      </w:pPr>
    </w:p>
    <w:p>
      <w:pPr>
        <w:spacing w:after="0" w:line="493" w:lineRule="exact"/>
        <w:ind w:left="140" w:right="160" w:firstLine="641"/>
        <w:jc w:val="both"/>
        <w:rPr>
          <w:color w:val="auto"/>
          <w:sz w:val="20"/>
          <w:szCs w:val="20"/>
        </w:rPr>
      </w:pPr>
      <w:r>
        <w:rPr>
          <w:rFonts w:ascii="宋体" w:hAnsi="宋体" w:eastAsia="宋体" w:cs="宋体"/>
          <w:color w:val="auto"/>
          <w:sz w:val="31"/>
          <w:szCs w:val="31"/>
        </w:rPr>
        <w:t xml:space="preserve">本部门 </w:t>
      </w:r>
      <w:r>
        <w:rPr>
          <w:rFonts w:ascii="仿宋" w:hAnsi="仿宋" w:eastAsia="仿宋" w:cs="仿宋"/>
          <w:color w:val="auto"/>
          <w:sz w:val="31"/>
          <w:szCs w:val="31"/>
        </w:rPr>
        <w:t>2018</w:t>
      </w:r>
      <w:r>
        <w:rPr>
          <w:rFonts w:ascii="宋体" w:hAnsi="宋体" w:eastAsia="宋体" w:cs="宋体"/>
          <w:color w:val="auto"/>
          <w:sz w:val="31"/>
          <w:szCs w:val="31"/>
        </w:rPr>
        <w:t xml:space="preserve"> 年度财政拨款本年收入 </w:t>
      </w:r>
      <w:r>
        <w:rPr>
          <w:rFonts w:ascii="仿宋" w:hAnsi="仿宋" w:eastAsia="仿宋" w:cs="仿宋"/>
          <w:color w:val="auto"/>
          <w:sz w:val="31"/>
          <w:szCs w:val="31"/>
        </w:rPr>
        <w:t>6627.05</w:t>
      </w:r>
      <w:r>
        <w:rPr>
          <w:rFonts w:ascii="宋体" w:hAnsi="宋体" w:eastAsia="宋体" w:cs="宋体"/>
          <w:color w:val="auto"/>
          <w:sz w:val="31"/>
          <w:szCs w:val="31"/>
        </w:rPr>
        <w:t xml:space="preserve"> 万元，完成年初预算的 </w:t>
      </w:r>
      <w:r>
        <w:rPr>
          <w:rFonts w:ascii="仿宋" w:hAnsi="仿宋" w:eastAsia="仿宋" w:cs="仿宋"/>
          <w:color w:val="auto"/>
          <w:sz w:val="31"/>
          <w:szCs w:val="31"/>
        </w:rPr>
        <w:t>65.8%,</w:t>
      </w:r>
      <w:r>
        <w:rPr>
          <w:rFonts w:ascii="宋体" w:hAnsi="宋体" w:eastAsia="宋体" w:cs="宋体"/>
          <w:color w:val="auto"/>
          <w:sz w:val="31"/>
          <w:szCs w:val="31"/>
        </w:rPr>
        <w:t xml:space="preserve">比年初预算减少 </w:t>
      </w:r>
      <w:r>
        <w:rPr>
          <w:rFonts w:ascii="仿宋" w:hAnsi="仿宋" w:eastAsia="仿宋" w:cs="仿宋"/>
          <w:color w:val="auto"/>
          <w:sz w:val="31"/>
          <w:szCs w:val="31"/>
        </w:rPr>
        <w:t>3449.24</w:t>
      </w:r>
      <w:r>
        <w:rPr>
          <w:rFonts w:ascii="宋体" w:hAnsi="宋体" w:eastAsia="宋体" w:cs="宋体"/>
          <w:color w:val="auto"/>
          <w:sz w:val="31"/>
          <w:szCs w:val="31"/>
        </w:rPr>
        <w:t xml:space="preserve"> 万元</w:t>
      </w:r>
      <w:r>
        <w:rPr>
          <w:rFonts w:ascii="仿宋" w:hAnsi="仿宋" w:eastAsia="仿宋" w:cs="仿宋"/>
          <w:color w:val="auto"/>
          <w:sz w:val="31"/>
          <w:szCs w:val="31"/>
        </w:rPr>
        <w:t>;</w:t>
      </w:r>
      <w:r>
        <w:rPr>
          <w:rFonts w:ascii="宋体" w:hAnsi="宋体" w:eastAsia="宋体" w:cs="宋体"/>
          <w:color w:val="auto"/>
          <w:sz w:val="31"/>
          <w:szCs w:val="31"/>
        </w:rPr>
        <w:t xml:space="preserve">本年支出 </w:t>
      </w:r>
      <w:r>
        <w:rPr>
          <w:rFonts w:ascii="仿宋" w:hAnsi="仿宋" w:eastAsia="仿宋" w:cs="仿宋"/>
          <w:color w:val="auto"/>
          <w:sz w:val="31"/>
          <w:szCs w:val="31"/>
        </w:rPr>
        <w:t>6281</w:t>
      </w:r>
      <w:r>
        <w:rPr>
          <w:rFonts w:ascii="宋体" w:hAnsi="宋体" w:eastAsia="宋体" w:cs="宋体"/>
          <w:color w:val="auto"/>
          <w:sz w:val="31"/>
          <w:szCs w:val="31"/>
        </w:rPr>
        <w:t xml:space="preserve"> 万元，完成年初预算的 </w:t>
      </w:r>
      <w:r>
        <w:rPr>
          <w:rFonts w:ascii="仿宋" w:hAnsi="仿宋" w:eastAsia="仿宋" w:cs="仿宋"/>
          <w:color w:val="auto"/>
          <w:sz w:val="31"/>
          <w:szCs w:val="31"/>
        </w:rPr>
        <w:t>37.7%,</w:t>
      </w:r>
      <w:r>
        <w:rPr>
          <w:rFonts w:ascii="宋体" w:hAnsi="宋体" w:eastAsia="宋体" w:cs="宋体"/>
          <w:color w:val="auto"/>
          <w:sz w:val="31"/>
          <w:szCs w:val="31"/>
        </w:rPr>
        <w:t xml:space="preserve">比年初预算减少 </w:t>
      </w:r>
      <w:r>
        <w:rPr>
          <w:rFonts w:ascii="仿宋" w:hAnsi="仿宋" w:eastAsia="仿宋" w:cs="仿宋"/>
          <w:color w:val="auto"/>
          <w:sz w:val="31"/>
          <w:szCs w:val="31"/>
        </w:rPr>
        <w:t>3795.09</w:t>
      </w:r>
      <w:r>
        <w:rPr>
          <w:rFonts w:ascii="宋体" w:hAnsi="宋体" w:eastAsia="宋体" w:cs="宋体"/>
          <w:color w:val="auto"/>
          <w:sz w:val="31"/>
          <w:szCs w:val="31"/>
        </w:rPr>
        <w:t xml:space="preserve"> 万元，</w:t>
      </w:r>
    </w:p>
    <w:p>
      <w:pPr>
        <w:spacing w:after="0" w:line="21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决算数小于预算数主要原因是主要是农业项目季节性要求较强，</w:t>
      </w:r>
    </w:p>
    <w:p>
      <w:pPr>
        <w:spacing w:after="0" w:line="213"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有些项目需要跨年度实施，资金当年未拨付。</w:t>
      </w:r>
    </w:p>
    <w:p>
      <w:pPr>
        <w:spacing w:after="0" w:line="200" w:lineRule="exact"/>
        <w:rPr>
          <w:color w:val="auto"/>
          <w:sz w:val="20"/>
          <w:szCs w:val="20"/>
        </w:rPr>
      </w:pPr>
      <w:bookmarkStart w:id="32" w:name="_GoBack"/>
      <w:bookmarkEnd w:id="32"/>
      <w:bookmarkStart w:id="25" w:name="page36"/>
      <w:bookmarkEnd w:id="25"/>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372110</wp:posOffset>
                </wp:positionV>
                <wp:extent cx="3826510" cy="0"/>
                <wp:effectExtent l="0" t="0" r="0" b="0"/>
                <wp:wrapNone/>
                <wp:docPr id="109" name="Shape 109"/>
                <wp:cNvGraphicFramePr/>
                <a:graphic xmlns:a="http://schemas.openxmlformats.org/drawingml/2006/main">
                  <a:graphicData uri="http://schemas.microsoft.com/office/word/2010/wordprocessingShape">
                    <wps:wsp>
                      <wps:cNvCnPr/>
                      <wps:spPr>
                        <a:xfrm>
                          <a:off x="0" y="0"/>
                          <a:ext cx="3826510" cy="4763"/>
                        </a:xfrm>
                        <a:prstGeom prst="line">
                          <a:avLst/>
                        </a:prstGeom>
                        <a:solidFill>
                          <a:srgbClr val="FFFFFF"/>
                        </a:solidFill>
                        <a:ln w="634">
                          <a:solidFill>
                            <a:srgbClr val="D9D9D9"/>
                          </a:solidFill>
                          <a:miter lim="800000"/>
                        </a:ln>
                      </wps:spPr>
                      <wps:bodyPr/>
                    </wps:wsp>
                  </a:graphicData>
                </a:graphic>
              </wp:anchor>
            </w:drawing>
          </mc:Choice>
          <mc:Fallback>
            <w:pict>
              <v:line id="Shape 109" o:spid="_x0000_s1026" o:spt="20" style="position:absolute;left:0pt;margin-left:0pt;margin-top:29.3pt;height:0pt;width:301.3pt;mso-position-horizontal-relative:page;mso-position-vertical-relative:page;z-index:-251658240;mso-width-relative:page;mso-height-relative:page;" fillcolor="#FFFFFF" filled="t" stroked="t" coordsize="21600,21600" o:allowincell="f" o:gfxdata="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0qHbC1QAAAAYBAAAPAAAAAAAAAAEAIAAAACIA&#10;AABkcnMvZG93bnJldi54bWxQSwECFAAUAAAACACHTuJAKKgIQ5oBAABOAwAADgAAAAAAAAABACAA&#10;AAAkAQAAZHJzL2Uyb0RvYy54bWxQSwUGAAAAAAYABgBZAQAAMAU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4445</wp:posOffset>
                </wp:positionH>
                <wp:positionV relativeFrom="page">
                  <wp:posOffset>372110</wp:posOffset>
                </wp:positionV>
                <wp:extent cx="3734435" cy="0"/>
                <wp:effectExtent l="0" t="0" r="0" b="0"/>
                <wp:wrapNone/>
                <wp:docPr id="110" name="Shape 110"/>
                <wp:cNvGraphicFramePr/>
                <a:graphic xmlns:a="http://schemas.openxmlformats.org/drawingml/2006/main">
                  <a:graphicData uri="http://schemas.microsoft.com/office/word/2010/wordprocessingShape">
                    <wps:wsp>
                      <wps:cNvCnPr/>
                      <wps:spPr>
                        <a:xfrm>
                          <a:off x="0" y="0"/>
                          <a:ext cx="3734435" cy="4763"/>
                        </a:xfrm>
                        <a:prstGeom prst="line">
                          <a:avLst/>
                        </a:prstGeom>
                        <a:solidFill>
                          <a:srgbClr val="FFFFFF"/>
                        </a:solidFill>
                        <a:ln w="634">
                          <a:solidFill>
                            <a:srgbClr val="AD002D"/>
                          </a:solidFill>
                          <a:miter lim="800000"/>
                        </a:ln>
                      </wps:spPr>
                      <wps:bodyPr/>
                    </wps:wsp>
                  </a:graphicData>
                </a:graphic>
              </wp:anchor>
            </w:drawing>
          </mc:Choice>
          <mc:Fallback>
            <w:pict>
              <v:line id="Shape 110" o:spid="_x0000_s1026" o:spt="20" style="position:absolute;left:0pt;margin-left:0.35pt;margin-top:29.3pt;height:0pt;width:294.05pt;mso-position-horizontal-relative:page;mso-position-vertical-relative:page;z-index:-251658240;mso-width-relative:page;mso-height-relative:page;" fillcolor="#FFFFFF" filled="t" stroked="t" coordsize="21600,21600" o:allowincell="f" o:gfxdata="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OHwfNQAAAAGAQAADwAAAAAAAAABACAAAAAi&#10;AAAAZHJzL2Rvd25yZXYueG1sUEsBAhQAFAAAAAgAh07iQE0nD3ycAQAATgMAAA4AAAAAAAAAAQAg&#10;AAAAIwEAAGRycy9lMm9Eb2MueG1sUEsFBgAAAAAGAAYAWQEAADEFA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-8255</wp:posOffset>
                </wp:positionH>
                <wp:positionV relativeFrom="page">
                  <wp:posOffset>372110</wp:posOffset>
                </wp:positionV>
                <wp:extent cx="3759835" cy="0"/>
                <wp:effectExtent l="0" t="12700" r="4445" b="17780"/>
                <wp:wrapNone/>
                <wp:docPr id="111" name="Shape 111"/>
                <wp:cNvGraphicFramePr/>
                <a:graphic xmlns:a="http://schemas.openxmlformats.org/drawingml/2006/main">
                  <a:graphicData uri="http://schemas.microsoft.com/office/word/2010/wordprocessingShape">
                    <wps:wsp>
                      <wps:cNvCnPr/>
                      <wps:spPr>
                        <a:xfrm>
                          <a:off x="0" y="0"/>
                          <a:ext cx="3759835" cy="4763"/>
                        </a:xfrm>
                        <a:prstGeom prst="line">
                          <a:avLst/>
                        </a:prstGeom>
                        <a:solidFill>
                          <a:srgbClr val="FFFFFF"/>
                        </a:solidFill>
                        <a:ln w="26034">
                          <a:solidFill>
                            <a:srgbClr val="B0761F"/>
                          </a:solidFill>
                          <a:miter lim="800000"/>
                        </a:ln>
                      </wps:spPr>
                      <wps:bodyPr/>
                    </wps:wsp>
                  </a:graphicData>
                </a:graphic>
              </wp:anchor>
            </w:drawing>
          </mc:Choice>
          <mc:Fallback>
            <w:pict>
              <v:line id="Shape 111" o:spid="_x0000_s1026" o:spt="20" style="position:absolute;left:0pt;margin-left:-0.65pt;margin-top:29.3pt;height:0pt;width:296.05pt;mso-position-horizontal-relative:page;mso-position-vertical-relative:page;z-index:-251658240;mso-width-relative:page;mso-height-relative:page;" fillcolor="#FFFFFF" filled="t" stroked="t" coordsize="21600,21600" o:allowincell="f" o:gfxdata="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25gK1wAAAAgBAAAPAAAAAAAAAAEA&#10;IAAAACIAAABkcnMvZG93bnJldi54bWxQSwECFAAUAAAACACHTuJArX58SZ4BAABQAwAADgAAAAAA&#10;AAABACAAAAAmAQAAZHJzL2Uyb0RvYy54bWxQSwUGAAAAAAYABgBZAQAANgUAAAAA&#10;">
                <v:fill on="t" focussize="0,0"/>
                <v:stroke weight="2.04992125984252pt" color="#B0761F" miterlimit="8" joinstyle="miter"/>
                <v:imagedata o:title=""/>
                <o:lock v:ext="edit" aspectratio="f"/>
              </v:line>
            </w:pict>
          </mc:Fallback>
        </mc:AlternateContent>
      </w:r>
    </w:p>
    <w:p>
      <w:pPr>
        <w:spacing w:after="0" w:line="343" w:lineRule="exact"/>
        <w:ind w:left="800"/>
        <w:rPr>
          <w:color w:val="auto"/>
          <w:sz w:val="20"/>
          <w:szCs w:val="20"/>
        </w:rPr>
      </w:pPr>
      <w:r>
        <w:rPr>
          <w:rFonts w:ascii="宋体" w:hAnsi="宋体" w:eastAsia="宋体" w:cs="宋体"/>
          <w:color w:val="auto"/>
          <w:sz w:val="30"/>
          <w:szCs w:val="30"/>
        </w:rPr>
        <w:t xml:space="preserve">其中，一般公共预算财政拨款本年收入完成年初预算 </w:t>
      </w:r>
      <w:r>
        <w:rPr>
          <w:rFonts w:ascii="仿宋" w:hAnsi="仿宋" w:eastAsia="仿宋" w:cs="仿宋"/>
          <w:color w:val="auto"/>
          <w:sz w:val="30"/>
          <w:szCs w:val="30"/>
        </w:rPr>
        <w:t>60.4%</w:t>
      </w:r>
      <w:r>
        <w:rPr>
          <w:rFonts w:ascii="宋体" w:hAnsi="宋体" w:eastAsia="宋体" w:cs="宋体"/>
          <w:color w:val="auto"/>
          <w:sz w:val="30"/>
          <w:szCs w:val="30"/>
        </w:rPr>
        <w:t>，</w:t>
      </w:r>
    </w:p>
    <w:p>
      <w:pPr>
        <w:spacing w:after="0" w:line="227" w:lineRule="exact"/>
        <w:rPr>
          <w:color w:val="auto"/>
          <w:sz w:val="20"/>
          <w:szCs w:val="20"/>
        </w:rPr>
      </w:pPr>
    </w:p>
    <w:p>
      <w:pPr>
        <w:spacing w:after="0" w:line="354" w:lineRule="exact"/>
        <w:ind w:right="20"/>
        <w:jc w:val="center"/>
        <w:rPr>
          <w:color w:val="auto"/>
          <w:sz w:val="20"/>
          <w:szCs w:val="20"/>
        </w:rPr>
      </w:pPr>
      <w:r>
        <w:rPr>
          <w:rFonts w:ascii="宋体" w:hAnsi="宋体" w:eastAsia="宋体" w:cs="宋体"/>
          <w:color w:val="auto"/>
          <w:sz w:val="31"/>
          <w:szCs w:val="31"/>
        </w:rPr>
        <w:t xml:space="preserve">比年初预算减少 </w:t>
      </w:r>
      <w:r>
        <w:rPr>
          <w:rFonts w:ascii="仿宋" w:hAnsi="仿宋" w:eastAsia="仿宋" w:cs="仿宋"/>
          <w:color w:val="auto"/>
          <w:sz w:val="31"/>
          <w:szCs w:val="31"/>
        </w:rPr>
        <w:t>3616.74</w:t>
      </w:r>
      <w:r>
        <w:rPr>
          <w:rFonts w:ascii="宋体" w:hAnsi="宋体" w:eastAsia="宋体" w:cs="宋体"/>
          <w:color w:val="auto"/>
          <w:sz w:val="31"/>
          <w:szCs w:val="31"/>
        </w:rPr>
        <w:t xml:space="preserve"> 万元；支出完成年初预算 </w:t>
      </w:r>
      <w:r>
        <w:rPr>
          <w:rFonts w:ascii="仿宋" w:hAnsi="仿宋" w:eastAsia="仿宋" w:cs="仿宋"/>
          <w:color w:val="auto"/>
          <w:sz w:val="31"/>
          <w:szCs w:val="31"/>
        </w:rPr>
        <w:t>68.4%</w:t>
      </w:r>
      <w:r>
        <w:rPr>
          <w:rFonts w:ascii="宋体" w:hAnsi="宋体" w:eastAsia="宋体" w:cs="宋体"/>
          <w:color w:val="auto"/>
          <w:sz w:val="31"/>
          <w:szCs w:val="31"/>
        </w:rPr>
        <w:t>，比年</w:t>
      </w:r>
    </w:p>
    <w:p>
      <w:pPr>
        <w:spacing w:after="0" w:line="225" w:lineRule="exact"/>
        <w:rPr>
          <w:color w:val="auto"/>
          <w:sz w:val="20"/>
          <w:szCs w:val="20"/>
        </w:rPr>
      </w:pPr>
    </w:p>
    <w:p>
      <w:pPr>
        <w:spacing w:after="0" w:line="354" w:lineRule="exact"/>
        <w:ind w:right="20"/>
        <w:jc w:val="center"/>
        <w:rPr>
          <w:color w:val="auto"/>
          <w:sz w:val="20"/>
          <w:szCs w:val="20"/>
        </w:rPr>
      </w:pPr>
      <w:r>
        <w:rPr>
          <w:rFonts w:ascii="宋体" w:hAnsi="宋体" w:eastAsia="宋体" w:cs="宋体"/>
          <w:color w:val="auto"/>
          <w:sz w:val="31"/>
          <w:szCs w:val="31"/>
        </w:rPr>
        <w:t xml:space="preserve">初预算减少 </w:t>
      </w:r>
      <w:r>
        <w:rPr>
          <w:rFonts w:ascii="仿宋" w:hAnsi="仿宋" w:eastAsia="仿宋" w:cs="仿宋"/>
          <w:color w:val="auto"/>
          <w:sz w:val="31"/>
          <w:szCs w:val="31"/>
        </w:rPr>
        <w:t>3897.95</w:t>
      </w:r>
      <w:r>
        <w:rPr>
          <w:rFonts w:ascii="宋体" w:hAnsi="宋体" w:eastAsia="宋体" w:cs="宋体"/>
          <w:color w:val="auto"/>
          <w:sz w:val="31"/>
          <w:szCs w:val="31"/>
        </w:rPr>
        <w:t xml:space="preserve"> 万元。政府性基金预算财政拨款本年收入完</w:t>
      </w:r>
    </w:p>
    <w:p>
      <w:pPr>
        <w:spacing w:after="0" w:line="227" w:lineRule="exact"/>
        <w:rPr>
          <w:color w:val="auto"/>
          <w:sz w:val="20"/>
          <w:szCs w:val="20"/>
        </w:rPr>
      </w:pPr>
    </w:p>
    <w:p>
      <w:pPr>
        <w:spacing w:after="0" w:line="354" w:lineRule="exact"/>
        <w:ind w:right="20"/>
        <w:jc w:val="center"/>
        <w:rPr>
          <w:color w:val="auto"/>
          <w:sz w:val="20"/>
          <w:szCs w:val="20"/>
        </w:rPr>
      </w:pPr>
      <w:r>
        <w:rPr>
          <w:rFonts w:ascii="宋体" w:hAnsi="宋体" w:eastAsia="宋体" w:cs="宋体"/>
          <w:color w:val="auto"/>
          <w:sz w:val="31"/>
          <w:szCs w:val="31"/>
        </w:rPr>
        <w:t xml:space="preserve">成年初预算 </w:t>
      </w:r>
      <w:r>
        <w:rPr>
          <w:rFonts w:ascii="仿宋" w:hAnsi="仿宋" w:eastAsia="仿宋" w:cs="仿宋"/>
          <w:color w:val="auto"/>
          <w:sz w:val="31"/>
          <w:szCs w:val="31"/>
        </w:rPr>
        <w:t>135.2%</w:t>
      </w:r>
      <w:r>
        <w:rPr>
          <w:rFonts w:ascii="宋体" w:hAnsi="宋体" w:eastAsia="宋体" w:cs="宋体"/>
          <w:color w:val="auto"/>
          <w:sz w:val="31"/>
          <w:szCs w:val="31"/>
        </w:rPr>
        <w:t xml:space="preserve">，比年初预算增加 </w:t>
      </w:r>
      <w:r>
        <w:rPr>
          <w:rFonts w:ascii="仿宋" w:hAnsi="仿宋" w:eastAsia="仿宋" w:cs="仿宋"/>
          <w:color w:val="auto"/>
          <w:sz w:val="31"/>
          <w:szCs w:val="31"/>
        </w:rPr>
        <w:t>167.5</w:t>
      </w:r>
      <w:r>
        <w:rPr>
          <w:rFonts w:ascii="宋体" w:hAnsi="宋体" w:eastAsia="宋体" w:cs="宋体"/>
          <w:color w:val="auto"/>
          <w:sz w:val="31"/>
          <w:szCs w:val="31"/>
        </w:rPr>
        <w:t xml:space="preserve"> 万元；支出完成年</w:t>
      </w:r>
    </w:p>
    <w:p>
      <w:pPr>
        <w:spacing w:after="0" w:line="227"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31"/>
          <w:szCs w:val="31"/>
        </w:rPr>
        <w:t xml:space="preserve">初预算 </w:t>
      </w:r>
      <w:r>
        <w:rPr>
          <w:rFonts w:ascii="仿宋" w:hAnsi="仿宋" w:eastAsia="仿宋" w:cs="仿宋"/>
          <w:color w:val="auto"/>
          <w:sz w:val="31"/>
          <w:szCs w:val="31"/>
        </w:rPr>
        <w:t>121.6%</w:t>
      </w:r>
      <w:r>
        <w:rPr>
          <w:rFonts w:ascii="宋体" w:hAnsi="宋体" w:eastAsia="宋体" w:cs="宋体"/>
          <w:color w:val="auto"/>
          <w:sz w:val="31"/>
          <w:szCs w:val="31"/>
        </w:rPr>
        <w:t xml:space="preserve">，比年初预算增加 </w:t>
      </w:r>
      <w:r>
        <w:rPr>
          <w:rFonts w:ascii="仿宋" w:hAnsi="仿宋" w:eastAsia="仿宋" w:cs="仿宋"/>
          <w:color w:val="auto"/>
          <w:sz w:val="31"/>
          <w:szCs w:val="31"/>
        </w:rPr>
        <w:t>102.85</w:t>
      </w:r>
      <w:r>
        <w:rPr>
          <w:rFonts w:ascii="宋体" w:hAnsi="宋体" w:eastAsia="宋体" w:cs="宋体"/>
          <w:color w:val="auto"/>
          <w:sz w:val="31"/>
          <w:szCs w:val="31"/>
        </w:rPr>
        <w:t xml:space="preserve"> 万元，主要是农业项目</w:t>
      </w:r>
    </w:p>
    <w:p>
      <w:pPr>
        <w:spacing w:after="0" w:line="21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季节性要求较强，有些项目需要跨年度实施，资金当年未拨付。</w:t>
      </w:r>
    </w:p>
    <w:p>
      <w:pPr>
        <w:spacing w:after="0" w:line="216" w:lineRule="exact"/>
        <w:rPr>
          <w:color w:val="auto"/>
          <w:sz w:val="20"/>
          <w:szCs w:val="20"/>
        </w:rPr>
      </w:pPr>
    </w:p>
    <w:p>
      <w:pPr>
        <w:spacing w:after="0" w:line="366" w:lineRule="exact"/>
        <w:ind w:left="560"/>
        <w:rPr>
          <w:color w:val="auto"/>
          <w:sz w:val="20"/>
          <w:szCs w:val="20"/>
        </w:rPr>
      </w:pPr>
      <w:r>
        <w:rPr>
          <w:rFonts w:ascii="宋体" w:hAnsi="宋体" w:eastAsia="宋体" w:cs="宋体"/>
          <w:b/>
          <w:bCs/>
          <w:color w:val="auto"/>
          <w:sz w:val="32"/>
          <w:szCs w:val="32"/>
        </w:rPr>
        <w:t>（三）财政拨款支出决算结构情况。</w:t>
      </w:r>
    </w:p>
    <w:p>
      <w:pPr>
        <w:spacing w:after="0" w:line="193" w:lineRule="exact"/>
        <w:rPr>
          <w:color w:val="auto"/>
          <w:sz w:val="20"/>
          <w:szCs w:val="20"/>
        </w:rPr>
      </w:pPr>
    </w:p>
    <w:p>
      <w:pPr>
        <w:spacing w:after="0" w:line="388" w:lineRule="exact"/>
        <w:ind w:left="800"/>
        <w:rPr>
          <w:color w:val="auto"/>
          <w:sz w:val="20"/>
          <w:szCs w:val="20"/>
        </w:rPr>
      </w:pPr>
      <w:r>
        <w:rPr>
          <w:rFonts w:ascii="Arial" w:hAnsi="Arial" w:eastAsia="Arial" w:cs="Arial"/>
          <w:color w:val="auto"/>
          <w:sz w:val="32"/>
          <w:szCs w:val="32"/>
        </w:rPr>
        <w:t xml:space="preserve">2018 </w:t>
      </w:r>
      <w:r>
        <w:rPr>
          <w:rFonts w:ascii="宋体" w:hAnsi="宋体" w:eastAsia="宋体" w:cs="宋体"/>
          <w:color w:val="auto"/>
          <w:sz w:val="32"/>
          <w:szCs w:val="32"/>
        </w:rPr>
        <w:t>年度财政拨款支出</w:t>
      </w:r>
      <w:r>
        <w:rPr>
          <w:rFonts w:ascii="Arial" w:hAnsi="Arial" w:eastAsia="Arial" w:cs="Arial"/>
          <w:color w:val="auto"/>
          <w:sz w:val="32"/>
          <w:szCs w:val="32"/>
        </w:rPr>
        <w:t xml:space="preserve"> 6281</w:t>
      </w:r>
      <w:r>
        <w:rPr>
          <w:rFonts w:ascii="宋体" w:hAnsi="宋体" w:eastAsia="宋体" w:cs="宋体"/>
          <w:color w:val="auto"/>
          <w:sz w:val="32"/>
          <w:szCs w:val="32"/>
        </w:rPr>
        <w:t>.20</w:t>
      </w:r>
      <w:r>
        <w:rPr>
          <w:rFonts w:ascii="Arial" w:hAnsi="Arial" w:eastAsia="Arial" w:cs="Arial"/>
          <w:color w:val="auto"/>
          <w:sz w:val="32"/>
          <w:szCs w:val="32"/>
        </w:rPr>
        <w:t xml:space="preserve"> </w:t>
      </w:r>
      <w:r>
        <w:rPr>
          <w:rFonts w:ascii="宋体" w:hAnsi="宋体" w:eastAsia="宋体" w:cs="宋体"/>
          <w:color w:val="auto"/>
          <w:sz w:val="32"/>
          <w:szCs w:val="32"/>
        </w:rPr>
        <w:t>万元，主要用于以下方面</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1190625</wp:posOffset>
            </wp:positionH>
            <wp:positionV relativeFrom="paragraph">
              <wp:posOffset>-120650</wp:posOffset>
            </wp:positionV>
            <wp:extent cx="3763645" cy="508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0"/>
                    <a:srcRect/>
                    <a:stretch>
                      <a:fillRect/>
                    </a:stretch>
                  </pic:blipFill>
                  <pic:spPr>
                    <a:xfrm>
                      <a:off x="0" y="0"/>
                      <a:ext cx="3763645" cy="4763"/>
                    </a:xfrm>
                    <a:prstGeom prst="rect">
                      <a:avLst/>
                    </a:prstGeom>
                    <a:noFill/>
                  </pic:spPr>
                </pic:pic>
              </a:graphicData>
            </a:graphic>
          </wp:anchor>
        </w:drawing>
      </w:r>
    </w:p>
    <w:p>
      <w:pPr>
        <w:spacing w:after="0" w:line="241" w:lineRule="exact"/>
        <w:rPr>
          <w:color w:val="auto"/>
          <w:sz w:val="20"/>
          <w:szCs w:val="20"/>
        </w:rPr>
      </w:pPr>
    </w:p>
    <w:p>
      <w:pPr>
        <w:spacing w:after="0" w:line="493" w:lineRule="exact"/>
        <w:ind w:left="140" w:right="160"/>
        <w:jc w:val="both"/>
        <w:rPr>
          <w:color w:val="auto"/>
          <w:sz w:val="20"/>
          <w:szCs w:val="20"/>
        </w:rPr>
      </w:pPr>
      <w:r>
        <w:rPr>
          <w:rFonts w:ascii="宋体" w:hAnsi="宋体" w:eastAsia="宋体" w:cs="宋体"/>
          <w:color w:val="auto"/>
          <w:sz w:val="31"/>
          <w:szCs w:val="31"/>
        </w:rPr>
        <w:t>一般公共服务支出</w:t>
      </w:r>
      <w:r>
        <w:rPr>
          <w:rFonts w:ascii="Arial" w:hAnsi="Arial" w:eastAsia="Arial" w:cs="Arial"/>
          <w:color w:val="auto"/>
          <w:sz w:val="31"/>
          <w:szCs w:val="31"/>
        </w:rPr>
        <w:t xml:space="preserve"> 21</w:t>
      </w:r>
      <w:r>
        <w:rPr>
          <w:rFonts w:ascii="宋体" w:hAnsi="宋体" w:eastAsia="宋体" w:cs="宋体"/>
          <w:color w:val="auto"/>
          <w:sz w:val="31"/>
          <w:szCs w:val="31"/>
        </w:rPr>
        <w:t>.43</w:t>
      </w:r>
      <w:r>
        <w:rPr>
          <w:rFonts w:ascii="Arial" w:hAnsi="Arial" w:eastAsia="Arial" w:cs="Arial"/>
          <w:color w:val="auto"/>
          <w:sz w:val="31"/>
          <w:szCs w:val="31"/>
        </w:rPr>
        <w:t xml:space="preserve"> </w:t>
      </w:r>
      <w:r>
        <w:rPr>
          <w:rFonts w:ascii="宋体" w:hAnsi="宋体" w:eastAsia="宋体" w:cs="宋体"/>
          <w:color w:val="auto"/>
          <w:sz w:val="31"/>
          <w:szCs w:val="31"/>
        </w:rPr>
        <w:t>万元，占</w:t>
      </w:r>
      <w:r>
        <w:rPr>
          <w:rFonts w:ascii="Arial" w:hAnsi="Arial" w:eastAsia="Arial" w:cs="Arial"/>
          <w:color w:val="auto"/>
          <w:sz w:val="31"/>
          <w:szCs w:val="31"/>
        </w:rPr>
        <w:t xml:space="preserve"> 0</w:t>
      </w:r>
      <w:r>
        <w:rPr>
          <w:rFonts w:ascii="宋体" w:hAnsi="宋体" w:eastAsia="宋体" w:cs="宋体"/>
          <w:color w:val="auto"/>
          <w:sz w:val="31"/>
          <w:szCs w:val="31"/>
        </w:rPr>
        <w:t>.3</w:t>
      </w:r>
      <w:r>
        <w:rPr>
          <w:rFonts w:ascii="Arial" w:hAnsi="Arial" w:eastAsia="Arial" w:cs="Arial"/>
          <w:color w:val="auto"/>
          <w:sz w:val="31"/>
          <w:szCs w:val="31"/>
        </w:rPr>
        <w:t>%</w:t>
      </w:r>
      <w:r>
        <w:rPr>
          <w:rFonts w:ascii="宋体" w:hAnsi="宋体" w:eastAsia="宋体" w:cs="宋体"/>
          <w:color w:val="auto"/>
          <w:sz w:val="31"/>
          <w:szCs w:val="31"/>
        </w:rPr>
        <w:t>，科学技术支出</w:t>
      </w:r>
      <w:r>
        <w:rPr>
          <w:rFonts w:ascii="Arial" w:hAnsi="Arial" w:eastAsia="Arial" w:cs="Arial"/>
          <w:color w:val="auto"/>
          <w:sz w:val="31"/>
          <w:szCs w:val="31"/>
        </w:rPr>
        <w:t xml:space="preserve"> 40 </w:t>
      </w:r>
      <w:r>
        <w:rPr>
          <w:rFonts w:ascii="宋体" w:hAnsi="宋体" w:eastAsia="宋体" w:cs="宋体"/>
          <w:color w:val="auto"/>
          <w:sz w:val="31"/>
          <w:szCs w:val="31"/>
        </w:rPr>
        <w:t>万元，占</w:t>
      </w:r>
      <w:r>
        <w:rPr>
          <w:rFonts w:ascii="Arial" w:hAnsi="Arial" w:eastAsia="Arial" w:cs="Arial"/>
          <w:color w:val="auto"/>
          <w:sz w:val="31"/>
          <w:szCs w:val="31"/>
        </w:rPr>
        <w:t>,0</w:t>
      </w:r>
      <w:r>
        <w:rPr>
          <w:rFonts w:ascii="宋体" w:hAnsi="宋体" w:eastAsia="宋体" w:cs="宋体"/>
          <w:color w:val="auto"/>
          <w:sz w:val="31"/>
          <w:szCs w:val="31"/>
        </w:rPr>
        <w:t>.6</w:t>
      </w:r>
      <w:r>
        <w:rPr>
          <w:rFonts w:ascii="Arial" w:hAnsi="Arial" w:eastAsia="Arial" w:cs="Arial"/>
          <w:color w:val="auto"/>
          <w:sz w:val="31"/>
          <w:szCs w:val="31"/>
        </w:rPr>
        <w:t>%</w:t>
      </w:r>
      <w:r>
        <w:rPr>
          <w:rFonts w:ascii="宋体" w:hAnsi="宋体" w:eastAsia="宋体" w:cs="宋体"/>
          <w:color w:val="auto"/>
          <w:sz w:val="31"/>
          <w:szCs w:val="31"/>
        </w:rPr>
        <w:t>；社会保障和就业支出</w:t>
      </w:r>
      <w:r>
        <w:rPr>
          <w:rFonts w:ascii="Arial" w:hAnsi="Arial" w:eastAsia="Arial" w:cs="Arial"/>
          <w:color w:val="auto"/>
          <w:sz w:val="31"/>
          <w:szCs w:val="31"/>
        </w:rPr>
        <w:t xml:space="preserve"> 2</w:t>
      </w:r>
      <w:r>
        <w:rPr>
          <w:rFonts w:ascii="宋体" w:hAnsi="宋体" w:eastAsia="宋体" w:cs="宋体"/>
          <w:color w:val="auto"/>
          <w:sz w:val="31"/>
          <w:szCs w:val="31"/>
        </w:rPr>
        <w:t>.59</w:t>
      </w:r>
      <w:r>
        <w:rPr>
          <w:rFonts w:ascii="Arial" w:hAnsi="Arial" w:eastAsia="Arial" w:cs="Arial"/>
          <w:color w:val="auto"/>
          <w:sz w:val="31"/>
          <w:szCs w:val="31"/>
        </w:rPr>
        <w:t xml:space="preserve"> </w:t>
      </w:r>
      <w:r>
        <w:rPr>
          <w:rFonts w:ascii="宋体" w:hAnsi="宋体" w:eastAsia="宋体" w:cs="宋体"/>
          <w:color w:val="auto"/>
          <w:sz w:val="31"/>
          <w:szCs w:val="31"/>
        </w:rPr>
        <w:t>万元，占</w:t>
      </w:r>
      <w:r>
        <w:rPr>
          <w:rFonts w:ascii="Arial" w:hAnsi="Arial" w:eastAsia="Arial" w:cs="Arial"/>
          <w:color w:val="auto"/>
          <w:sz w:val="31"/>
          <w:szCs w:val="31"/>
        </w:rPr>
        <w:t xml:space="preserve"> 0</w:t>
      </w:r>
      <w:r>
        <w:rPr>
          <w:rFonts w:ascii="宋体" w:hAnsi="宋体" w:eastAsia="宋体" w:cs="宋体"/>
          <w:color w:val="auto"/>
          <w:sz w:val="31"/>
          <w:szCs w:val="31"/>
        </w:rPr>
        <w:t>.1</w:t>
      </w:r>
      <w:r>
        <w:rPr>
          <w:rFonts w:ascii="Arial" w:hAnsi="Arial" w:eastAsia="Arial" w:cs="Arial"/>
          <w:color w:val="auto"/>
          <w:sz w:val="31"/>
          <w:szCs w:val="31"/>
        </w:rPr>
        <w:t>%</w:t>
      </w:r>
      <w:r>
        <w:rPr>
          <w:rFonts w:ascii="宋体" w:hAnsi="宋体" w:eastAsia="宋体" w:cs="宋体"/>
          <w:color w:val="auto"/>
          <w:sz w:val="31"/>
          <w:szCs w:val="31"/>
        </w:rPr>
        <w:t>；城乡社区支出 578.85 万元，占 9.2%，农林水支出 5638.32 万元，占</w:t>
      </w:r>
    </w:p>
    <w:p>
      <w:pPr>
        <w:spacing w:after="0" w:line="215"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89.8%。</w:t>
      </w:r>
    </w:p>
    <w:p>
      <w:pPr>
        <w:spacing w:after="0" w:line="216" w:lineRule="exact"/>
        <w:rPr>
          <w:color w:val="auto"/>
          <w:sz w:val="20"/>
          <w:szCs w:val="20"/>
        </w:rPr>
      </w:pPr>
    </w:p>
    <w:p>
      <w:pPr>
        <w:spacing w:after="0" w:line="366" w:lineRule="exact"/>
        <w:ind w:left="560"/>
        <w:rPr>
          <w:color w:val="auto"/>
          <w:sz w:val="20"/>
          <w:szCs w:val="20"/>
        </w:rPr>
      </w:pPr>
      <w:r>
        <w:rPr>
          <w:rFonts w:ascii="宋体" w:hAnsi="宋体" w:eastAsia="宋体" w:cs="宋体"/>
          <w:b/>
          <w:bCs/>
          <w:color w:val="auto"/>
          <w:sz w:val="32"/>
          <w:szCs w:val="32"/>
        </w:rPr>
        <w:t>（四）一般公共预算财政拨款基本支出决算情况说明</w:t>
      </w:r>
    </w:p>
    <w:p>
      <w:pPr>
        <w:spacing w:after="0" w:line="193" w:lineRule="exact"/>
        <w:rPr>
          <w:color w:val="auto"/>
          <w:sz w:val="20"/>
          <w:szCs w:val="20"/>
        </w:rPr>
      </w:pPr>
    </w:p>
    <w:p>
      <w:pPr>
        <w:spacing w:after="0" w:line="388" w:lineRule="exact"/>
        <w:ind w:left="800"/>
        <w:rPr>
          <w:color w:val="auto"/>
          <w:sz w:val="20"/>
          <w:szCs w:val="20"/>
        </w:rPr>
      </w:pPr>
      <w:r>
        <w:rPr>
          <w:rFonts w:ascii="Arial" w:hAnsi="Arial" w:eastAsia="Arial" w:cs="Arial"/>
          <w:color w:val="auto"/>
          <w:sz w:val="32"/>
          <w:szCs w:val="32"/>
        </w:rPr>
        <w:t xml:space="preserve">2018 </w:t>
      </w:r>
      <w:r>
        <w:rPr>
          <w:rFonts w:ascii="宋体" w:hAnsi="宋体" w:eastAsia="宋体" w:cs="宋体"/>
          <w:color w:val="auto"/>
          <w:sz w:val="32"/>
          <w:szCs w:val="32"/>
        </w:rPr>
        <w:t>年度一般公共预算财政拨款基本支出</w:t>
      </w:r>
      <w:r>
        <w:rPr>
          <w:rFonts w:ascii="Arial" w:hAnsi="Arial" w:eastAsia="Arial" w:cs="Arial"/>
          <w:color w:val="auto"/>
          <w:sz w:val="32"/>
          <w:szCs w:val="32"/>
        </w:rPr>
        <w:t xml:space="preserve"> 5702</w:t>
      </w:r>
      <w:r>
        <w:rPr>
          <w:rFonts w:ascii="宋体" w:hAnsi="宋体" w:eastAsia="宋体" w:cs="宋体"/>
          <w:color w:val="auto"/>
          <w:sz w:val="32"/>
          <w:szCs w:val="32"/>
        </w:rPr>
        <w:t>.34</w:t>
      </w:r>
      <w:r>
        <w:rPr>
          <w:rFonts w:ascii="Arial" w:hAnsi="Arial" w:eastAsia="Arial" w:cs="Arial"/>
          <w:color w:val="auto"/>
          <w:sz w:val="32"/>
          <w:szCs w:val="32"/>
        </w:rPr>
        <w:t xml:space="preserve"> </w:t>
      </w:r>
      <w:r>
        <w:rPr>
          <w:rFonts w:ascii="宋体" w:hAnsi="宋体" w:eastAsia="宋体" w:cs="宋体"/>
          <w:color w:val="auto"/>
          <w:sz w:val="32"/>
          <w:szCs w:val="32"/>
        </w:rPr>
        <w:t>万元，</w:t>
      </w:r>
    </w:p>
    <w:p>
      <w:pPr>
        <w:spacing w:after="0" w:line="203" w:lineRule="exact"/>
        <w:rPr>
          <w:color w:val="auto"/>
          <w:sz w:val="20"/>
          <w:szCs w:val="20"/>
        </w:rPr>
      </w:pPr>
    </w:p>
    <w:p>
      <w:pPr>
        <w:spacing w:after="0" w:line="376" w:lineRule="exact"/>
        <w:ind w:right="20"/>
        <w:jc w:val="center"/>
        <w:rPr>
          <w:color w:val="auto"/>
          <w:sz w:val="20"/>
          <w:szCs w:val="20"/>
        </w:rPr>
      </w:pPr>
      <w:r>
        <w:rPr>
          <w:rFonts w:ascii="宋体" w:hAnsi="宋体" w:eastAsia="宋体" w:cs="宋体"/>
          <w:color w:val="auto"/>
          <w:sz w:val="31"/>
          <w:szCs w:val="31"/>
        </w:rPr>
        <w:t>其中：人员经费</w:t>
      </w:r>
      <w:r>
        <w:rPr>
          <w:rFonts w:ascii="Arial" w:hAnsi="Arial" w:eastAsia="Arial" w:cs="Arial"/>
          <w:color w:val="auto"/>
          <w:sz w:val="31"/>
          <w:szCs w:val="31"/>
        </w:rPr>
        <w:t xml:space="preserve"> 714</w:t>
      </w:r>
      <w:r>
        <w:rPr>
          <w:rFonts w:ascii="宋体" w:hAnsi="宋体" w:eastAsia="宋体" w:cs="宋体"/>
          <w:color w:val="auto"/>
          <w:sz w:val="31"/>
          <w:szCs w:val="31"/>
        </w:rPr>
        <w:t>.82</w:t>
      </w:r>
      <w:r>
        <w:rPr>
          <w:rFonts w:ascii="Arial" w:hAnsi="Arial" w:eastAsia="Arial" w:cs="Arial"/>
          <w:color w:val="auto"/>
          <w:sz w:val="31"/>
          <w:szCs w:val="31"/>
        </w:rPr>
        <w:t xml:space="preserve"> </w:t>
      </w:r>
      <w:r>
        <w:rPr>
          <w:rFonts w:ascii="宋体" w:hAnsi="宋体" w:eastAsia="宋体" w:cs="宋体"/>
          <w:color w:val="auto"/>
          <w:sz w:val="31"/>
          <w:szCs w:val="31"/>
        </w:rPr>
        <w:t>万元，主要包括基本工资、津贴补贴、</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奖金、伙食补助费、绩效工资、机关事业单位基本养老保险缴</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费、职业年金缴费、职工基本医疗保险缴费、公务员医疗补助</w:t>
      </w:r>
    </w:p>
    <w:p>
      <w:pPr>
        <w:spacing w:after="0" w:line="213"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缴费、住房公积金、医疗费、其他社会保障缴费、其他工资福</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利支出、离休费、退休费、抚恤金、生活补助、医疗费补助、</w:t>
      </w:r>
    </w:p>
    <w:p>
      <w:pPr>
        <w:spacing w:after="0" w:line="193" w:lineRule="exact"/>
        <w:rPr>
          <w:color w:val="auto"/>
          <w:sz w:val="20"/>
          <w:szCs w:val="20"/>
        </w:rPr>
      </w:pPr>
    </w:p>
    <w:p>
      <w:pPr>
        <w:spacing w:after="0" w:line="388" w:lineRule="exact"/>
        <w:ind w:right="20"/>
        <w:jc w:val="center"/>
        <w:rPr>
          <w:color w:val="auto"/>
          <w:sz w:val="20"/>
          <w:szCs w:val="20"/>
        </w:rPr>
      </w:pPr>
      <w:r>
        <w:rPr>
          <w:rFonts w:ascii="宋体" w:hAnsi="宋体" w:eastAsia="宋体" w:cs="宋体"/>
          <w:color w:val="auto"/>
          <w:sz w:val="32"/>
          <w:szCs w:val="32"/>
        </w:rPr>
        <w:t>奖励金、其他对个人和家庭的补助支出；公用经费</w:t>
      </w:r>
      <w:r>
        <w:rPr>
          <w:rFonts w:ascii="Arial" w:hAnsi="Arial" w:eastAsia="Arial" w:cs="Arial"/>
          <w:color w:val="auto"/>
          <w:sz w:val="32"/>
          <w:szCs w:val="32"/>
        </w:rPr>
        <w:t xml:space="preserve"> 6</w:t>
      </w:r>
      <w:r>
        <w:rPr>
          <w:rFonts w:ascii="宋体" w:hAnsi="宋体" w:eastAsia="宋体" w:cs="宋体"/>
          <w:color w:val="auto"/>
          <w:sz w:val="32"/>
          <w:szCs w:val="32"/>
        </w:rPr>
        <w:t>9.28</w:t>
      </w:r>
      <w:r>
        <w:rPr>
          <w:rFonts w:ascii="Arial" w:hAnsi="Arial" w:eastAsia="Arial" w:cs="Arial"/>
          <w:color w:val="auto"/>
          <w:sz w:val="32"/>
          <w:szCs w:val="32"/>
        </w:rPr>
        <w:t xml:space="preserve"> </w:t>
      </w:r>
      <w:r>
        <w:rPr>
          <w:rFonts w:ascii="宋体" w:hAnsi="宋体" w:eastAsia="宋体" w:cs="宋体"/>
          <w:color w:val="auto"/>
          <w:sz w:val="32"/>
          <w:szCs w:val="32"/>
        </w:rPr>
        <w:t>万</w:t>
      </w:r>
    </w:p>
    <w:p>
      <w:pPr>
        <w:spacing w:after="0" w:line="213"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元，主要包括办公费、印刷费、咨询费、手续费、水费、电</w:t>
      </w:r>
    </w:p>
    <w:p>
      <w:pPr>
        <w:sectPr>
          <w:pgSz w:w="11900" w:h="16838"/>
          <w:pgMar w:top="1440" w:right="1306" w:bottom="1440" w:left="1440" w:header="0" w:footer="0" w:gutter="0"/>
          <w:cols w:equalWidth="0" w:num="1">
            <w:col w:w="9160"/>
          </w:cols>
        </w:sectPr>
      </w:pPr>
    </w:p>
    <w:p>
      <w:pPr>
        <w:spacing w:after="0" w:line="200" w:lineRule="exact"/>
        <w:rPr>
          <w:color w:val="auto"/>
          <w:sz w:val="20"/>
          <w:szCs w:val="20"/>
        </w:rPr>
      </w:pPr>
      <w:bookmarkStart w:id="26" w:name="page37"/>
      <w:bookmarkEnd w:id="26"/>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372110</wp:posOffset>
                </wp:positionV>
                <wp:extent cx="3826510" cy="0"/>
                <wp:effectExtent l="0" t="0" r="0" b="0"/>
                <wp:wrapNone/>
                <wp:docPr id="113" name="Shape 113"/>
                <wp:cNvGraphicFramePr/>
                <a:graphic xmlns:a="http://schemas.openxmlformats.org/drawingml/2006/main">
                  <a:graphicData uri="http://schemas.microsoft.com/office/word/2010/wordprocessingShape">
                    <wps:wsp>
                      <wps:cNvCnPr/>
                      <wps:spPr>
                        <a:xfrm>
                          <a:off x="0" y="0"/>
                          <a:ext cx="3826510" cy="4763"/>
                        </a:xfrm>
                        <a:prstGeom prst="line">
                          <a:avLst/>
                        </a:prstGeom>
                        <a:solidFill>
                          <a:srgbClr val="FFFFFF"/>
                        </a:solidFill>
                        <a:ln w="634">
                          <a:solidFill>
                            <a:srgbClr val="D9D9D9"/>
                          </a:solidFill>
                          <a:miter lim="800000"/>
                        </a:ln>
                      </wps:spPr>
                      <wps:bodyPr/>
                    </wps:wsp>
                  </a:graphicData>
                </a:graphic>
              </wp:anchor>
            </w:drawing>
          </mc:Choice>
          <mc:Fallback>
            <w:pict>
              <v:line id="Shape 113" o:spid="_x0000_s1026" o:spt="20" style="position:absolute;left:0pt;margin-left:0pt;margin-top:29.3pt;height:0pt;width:301.3pt;mso-position-horizontal-relative:page;mso-position-vertical-relative:page;z-index:-251658240;mso-width-relative:page;mso-height-relative:page;" fillcolor="#FFFFFF" filled="t" stroked="t" coordsize="21600,21600" o:allowincell="f" o:gfxdata="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SodsLVAAAABgEAAA8AAAAAAAAAAQAgAAAA&#10;IgAAAGRycy9kb3ducmV2LnhtbFBLAQIUABQAAAAIAIdO4kC/jEYrnAEAAE4DAAAOAAAAAAAAAAEA&#10;IAAAACQBAABkcnMvZTJvRG9jLnhtbFBLBQYAAAAABgAGAFkBAAAyBQ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4445</wp:posOffset>
                </wp:positionH>
                <wp:positionV relativeFrom="page">
                  <wp:posOffset>372110</wp:posOffset>
                </wp:positionV>
                <wp:extent cx="3734435" cy="0"/>
                <wp:effectExtent l="0" t="0" r="0" b="0"/>
                <wp:wrapNone/>
                <wp:docPr id="114" name="Shape 114"/>
                <wp:cNvGraphicFramePr/>
                <a:graphic xmlns:a="http://schemas.openxmlformats.org/drawingml/2006/main">
                  <a:graphicData uri="http://schemas.microsoft.com/office/word/2010/wordprocessingShape">
                    <wps:wsp>
                      <wps:cNvCnPr/>
                      <wps:spPr>
                        <a:xfrm>
                          <a:off x="0" y="0"/>
                          <a:ext cx="3734435" cy="4763"/>
                        </a:xfrm>
                        <a:prstGeom prst="line">
                          <a:avLst/>
                        </a:prstGeom>
                        <a:solidFill>
                          <a:srgbClr val="FFFFFF"/>
                        </a:solidFill>
                        <a:ln w="634">
                          <a:solidFill>
                            <a:srgbClr val="AD002D"/>
                          </a:solidFill>
                          <a:miter lim="800000"/>
                        </a:ln>
                      </wps:spPr>
                      <wps:bodyPr/>
                    </wps:wsp>
                  </a:graphicData>
                </a:graphic>
              </wp:anchor>
            </w:drawing>
          </mc:Choice>
          <mc:Fallback>
            <w:pict>
              <v:line id="Shape 114" o:spid="_x0000_s1026" o:spt="20" style="position:absolute;left:0pt;margin-left:0.35pt;margin-top:29.3pt;height:0pt;width:294.05pt;mso-position-horizontal-relative:page;mso-position-vertical-relative:page;z-index:-251658240;mso-width-relative:page;mso-height-relative:page;" fillcolor="#FFFFFF" filled="t" stroked="t" coordsize="21600,21600" o:allowincell="f" o:gfxdata="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Dh8HzUAAAABgEAAA8AAAAAAAAAAQAgAAAA&#10;IgAAAGRycy9kb3ducmV2LnhtbFBLAQIUABQAAAAIAIdO4kCi83/BnQEAAE4DAAAOAAAAAAAAAAEA&#10;IAAAACMBAABkcnMvZTJvRG9jLnhtbFBLBQYAAAAABgAGAFkBAAAyBQ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-8255</wp:posOffset>
                </wp:positionH>
                <wp:positionV relativeFrom="page">
                  <wp:posOffset>372110</wp:posOffset>
                </wp:positionV>
                <wp:extent cx="3759835" cy="0"/>
                <wp:effectExtent l="0" t="12700" r="4445" b="17780"/>
                <wp:wrapNone/>
                <wp:docPr id="115" name="Shape 115"/>
                <wp:cNvGraphicFramePr/>
                <a:graphic xmlns:a="http://schemas.openxmlformats.org/drawingml/2006/main">
                  <a:graphicData uri="http://schemas.microsoft.com/office/word/2010/wordprocessingShape">
                    <wps:wsp>
                      <wps:cNvCnPr/>
                      <wps:spPr>
                        <a:xfrm>
                          <a:off x="0" y="0"/>
                          <a:ext cx="3759835" cy="4763"/>
                        </a:xfrm>
                        <a:prstGeom prst="line">
                          <a:avLst/>
                        </a:prstGeom>
                        <a:solidFill>
                          <a:srgbClr val="FFFFFF"/>
                        </a:solidFill>
                        <a:ln w="26034">
                          <a:solidFill>
                            <a:srgbClr val="B0761F"/>
                          </a:solidFill>
                          <a:miter lim="800000"/>
                        </a:ln>
                      </wps:spPr>
                      <wps:bodyPr/>
                    </wps:wsp>
                  </a:graphicData>
                </a:graphic>
              </wp:anchor>
            </w:drawing>
          </mc:Choice>
          <mc:Fallback>
            <w:pict>
              <v:line id="Shape 115" o:spid="_x0000_s1026" o:spt="20" style="position:absolute;left:0pt;margin-left:-0.65pt;margin-top:29.3pt;height:0pt;width:296.05pt;mso-position-horizontal-relative:page;mso-position-vertical-relative:page;z-index:-251658240;mso-width-relative:page;mso-height-relative:page;" fillcolor="#FFFFFF" filled="t" stroked="t" coordsize="21600,21600" o:allowincell="f" o:gfxdata="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25gK1wAAAAgBAAAPAAAAAAAAAAEA&#10;IAAAACIAAABkcnMvZG93bnJldi54bWxQSwECFAAUAAAACACHTuJAMzokEZ4BAABQAwAADgAAAAAA&#10;AAABACAAAAAmAQAAZHJzL2Uyb0RvYy54bWxQSwUGAAAAAAYABgBZAQAANgUAAAAA&#10;">
                <v:fill on="t" focussize="0,0"/>
                <v:stroke weight="2.04992125984252pt" color="#B0761F"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line="536" w:lineRule="exact"/>
        <w:ind w:left="140" w:right="140"/>
        <w:jc w:val="both"/>
        <w:rPr>
          <w:color w:val="auto"/>
          <w:sz w:val="20"/>
          <w:szCs w:val="20"/>
        </w:rPr>
      </w:pPr>
      <w:r>
        <w:rPr>
          <w:rFonts w:ascii="宋体" w:hAnsi="宋体" w:eastAsia="宋体" w:cs="宋体"/>
          <w:color w:val="auto"/>
          <w:sz w:val="32"/>
          <w:szCs w:val="32"/>
        </w:rPr>
        <w:t>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spacing w:after="0" w:line="198" w:lineRule="exact"/>
        <w:rPr>
          <w:color w:val="auto"/>
          <w:sz w:val="20"/>
          <w:szCs w:val="20"/>
        </w:rPr>
      </w:pPr>
    </w:p>
    <w:p>
      <w:pPr>
        <w:spacing w:after="0" w:line="388" w:lineRule="exact"/>
        <w:ind w:left="800"/>
        <w:rPr>
          <w:color w:val="auto"/>
          <w:sz w:val="20"/>
          <w:szCs w:val="20"/>
        </w:rPr>
      </w:pPr>
      <w:r>
        <w:rPr>
          <w:rFonts w:ascii="宋体" w:hAnsi="宋体" w:eastAsia="宋体" w:cs="宋体"/>
          <w:color w:val="auto"/>
          <w:sz w:val="32"/>
          <w:szCs w:val="32"/>
        </w:rPr>
        <w:t>五、一般公共预算财政拨款</w:t>
      </w:r>
      <w:r>
        <w:rPr>
          <w:rFonts w:ascii="Arial" w:hAnsi="Arial" w:eastAsia="Arial" w:cs="Arial"/>
          <w:color w:val="auto"/>
          <w:sz w:val="32"/>
          <w:szCs w:val="32"/>
        </w:rPr>
        <w:t>“</w:t>
      </w:r>
      <w:r>
        <w:rPr>
          <w:rFonts w:ascii="宋体" w:hAnsi="宋体" w:eastAsia="宋体" w:cs="宋体"/>
          <w:color w:val="auto"/>
          <w:sz w:val="32"/>
          <w:szCs w:val="32"/>
        </w:rPr>
        <w:t>三公</w:t>
      </w:r>
      <w:r>
        <w:rPr>
          <w:rFonts w:ascii="Arial" w:hAnsi="Arial" w:eastAsia="Arial" w:cs="Arial"/>
          <w:color w:val="auto"/>
          <w:sz w:val="32"/>
          <w:szCs w:val="32"/>
        </w:rPr>
        <w:t xml:space="preserve">” </w:t>
      </w:r>
      <w:r>
        <w:rPr>
          <w:rFonts w:ascii="宋体" w:hAnsi="宋体" w:eastAsia="宋体" w:cs="宋体"/>
          <w:color w:val="auto"/>
          <w:sz w:val="32"/>
          <w:szCs w:val="32"/>
        </w:rPr>
        <w:t>经费支出决算情况说</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明</w:t>
      </w:r>
    </w:p>
    <w:p>
      <w:pPr>
        <w:spacing w:after="0" w:line="191" w:lineRule="exact"/>
        <w:rPr>
          <w:color w:val="auto"/>
          <w:sz w:val="20"/>
          <w:szCs w:val="20"/>
        </w:rPr>
      </w:pPr>
    </w:p>
    <w:p>
      <w:pPr>
        <w:spacing w:after="0" w:line="388" w:lineRule="exact"/>
        <w:ind w:left="800"/>
        <w:rPr>
          <w:color w:val="auto"/>
          <w:sz w:val="20"/>
          <w:szCs w:val="20"/>
        </w:rPr>
      </w:pPr>
      <w:r>
        <w:rPr>
          <w:rFonts w:ascii="宋体" w:hAnsi="宋体" w:eastAsia="宋体" w:cs="宋体"/>
          <w:color w:val="auto"/>
          <w:sz w:val="32"/>
          <w:szCs w:val="32"/>
        </w:rPr>
        <w:t>本部门</w:t>
      </w:r>
      <w:r>
        <w:rPr>
          <w:rFonts w:ascii="Arial" w:hAnsi="Arial" w:eastAsia="Arial" w:cs="Arial"/>
          <w:color w:val="auto"/>
          <w:sz w:val="32"/>
          <w:szCs w:val="32"/>
        </w:rPr>
        <w:t xml:space="preserve"> 2018 </w:t>
      </w:r>
      <w:r>
        <w:rPr>
          <w:rFonts w:ascii="宋体" w:hAnsi="宋体" w:eastAsia="宋体" w:cs="宋体"/>
          <w:color w:val="auto"/>
          <w:sz w:val="32"/>
          <w:szCs w:val="32"/>
        </w:rPr>
        <w:t>年度</w:t>
      </w:r>
      <w:r>
        <w:rPr>
          <w:rFonts w:ascii="Arial" w:hAnsi="Arial" w:eastAsia="Arial" w:cs="Arial"/>
          <w:color w:val="auto"/>
          <w:sz w:val="32"/>
          <w:szCs w:val="32"/>
        </w:rPr>
        <w:t xml:space="preserve"> “</w:t>
      </w:r>
      <w:r>
        <w:rPr>
          <w:rFonts w:ascii="宋体" w:hAnsi="宋体" w:eastAsia="宋体" w:cs="宋体"/>
          <w:color w:val="auto"/>
          <w:sz w:val="32"/>
          <w:szCs w:val="32"/>
        </w:rPr>
        <w:t>三公</w:t>
      </w:r>
      <w:r>
        <w:rPr>
          <w:rFonts w:ascii="Arial" w:hAnsi="Arial" w:eastAsia="Arial" w:cs="Arial"/>
          <w:color w:val="auto"/>
          <w:sz w:val="32"/>
          <w:szCs w:val="32"/>
        </w:rPr>
        <w:t>”</w:t>
      </w:r>
      <w:r>
        <w:rPr>
          <w:rFonts w:ascii="宋体" w:hAnsi="宋体" w:eastAsia="宋体" w:cs="宋体"/>
          <w:color w:val="auto"/>
          <w:sz w:val="32"/>
          <w:szCs w:val="32"/>
        </w:rPr>
        <w:t>经费支出共计</w:t>
      </w:r>
      <w:r>
        <w:rPr>
          <w:rFonts w:ascii="Arial" w:hAnsi="Arial" w:eastAsia="Arial" w:cs="Arial"/>
          <w:color w:val="auto"/>
          <w:sz w:val="32"/>
          <w:szCs w:val="32"/>
        </w:rPr>
        <w:t xml:space="preserve"> 1</w:t>
      </w:r>
      <w:r>
        <w:rPr>
          <w:rFonts w:ascii="宋体" w:hAnsi="宋体" w:eastAsia="宋体" w:cs="宋体"/>
          <w:color w:val="auto"/>
          <w:sz w:val="32"/>
          <w:szCs w:val="32"/>
        </w:rPr>
        <w:t>.56</w:t>
      </w:r>
      <w:r>
        <w:rPr>
          <w:rFonts w:ascii="Arial" w:hAnsi="Arial" w:eastAsia="Arial" w:cs="Arial"/>
          <w:color w:val="auto"/>
          <w:sz w:val="32"/>
          <w:szCs w:val="32"/>
        </w:rPr>
        <w:t xml:space="preserve"> </w:t>
      </w:r>
      <w:r>
        <w:rPr>
          <w:rFonts w:ascii="宋体" w:hAnsi="宋体" w:eastAsia="宋体" w:cs="宋体"/>
          <w:color w:val="auto"/>
          <w:sz w:val="32"/>
          <w:szCs w:val="32"/>
        </w:rPr>
        <w:t>万元，</w:t>
      </w:r>
      <w:r>
        <w:rPr>
          <w:rFonts w:ascii="宋体" w:hAnsi="宋体" w:eastAsia="宋体" w:cs="宋体"/>
          <w:b/>
          <w:bCs/>
          <w:color w:val="auto"/>
          <w:sz w:val="32"/>
          <w:szCs w:val="32"/>
        </w:rPr>
        <w:t>较年</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b/>
          <w:bCs/>
          <w:color w:val="auto"/>
          <w:sz w:val="32"/>
          <w:szCs w:val="32"/>
        </w:rPr>
        <w:t>初预算基本</w:t>
      </w:r>
      <w:r>
        <w:rPr>
          <w:rFonts w:ascii="宋体" w:hAnsi="宋体" w:eastAsia="宋体" w:cs="宋体"/>
          <w:color w:val="auto"/>
          <w:sz w:val="32"/>
          <w:szCs w:val="32"/>
        </w:rPr>
        <w:t>持平</w:t>
      </w:r>
      <w:r>
        <w:rPr>
          <w:rFonts w:ascii="宋体" w:hAnsi="宋体" w:eastAsia="宋体" w:cs="宋体"/>
          <w:b/>
          <w:bCs/>
          <w:color w:val="auto"/>
          <w:sz w:val="32"/>
          <w:szCs w:val="32"/>
        </w:rPr>
        <w:t>。</w:t>
      </w:r>
    </w:p>
    <w:p>
      <w:pPr>
        <w:spacing w:after="0" w:line="193" w:lineRule="exact"/>
        <w:rPr>
          <w:color w:val="auto"/>
          <w:sz w:val="20"/>
          <w:szCs w:val="20"/>
        </w:rPr>
      </w:pPr>
    </w:p>
    <w:p>
      <w:pPr>
        <w:spacing w:after="0" w:line="388" w:lineRule="exact"/>
        <w:ind w:left="800"/>
        <w:rPr>
          <w:rFonts w:hint="eastAsia" w:eastAsia="宋体"/>
          <w:color w:val="auto"/>
          <w:sz w:val="20"/>
          <w:szCs w:val="20"/>
          <w:lang w:eastAsia="zh-CN"/>
        </w:rPr>
      </w:pPr>
      <w:r>
        <w:rPr>
          <w:rFonts w:ascii="宋体" w:hAnsi="宋体" w:eastAsia="宋体" w:cs="宋体"/>
          <w:b/>
          <w:bCs/>
          <w:color w:val="auto"/>
          <w:sz w:val="32"/>
          <w:szCs w:val="32"/>
        </w:rPr>
        <w:t>（一）因公出国（境）费支出</w:t>
      </w:r>
      <w:r>
        <w:rPr>
          <w:rFonts w:ascii="Arial" w:hAnsi="Arial" w:eastAsia="Arial" w:cs="Arial"/>
          <w:b/>
          <w:bCs/>
          <w:color w:val="auto"/>
          <w:sz w:val="32"/>
          <w:szCs w:val="32"/>
        </w:rPr>
        <w:t xml:space="preserve"> 0 </w:t>
      </w:r>
      <w:r>
        <w:rPr>
          <w:rFonts w:ascii="宋体" w:hAnsi="宋体" w:eastAsia="宋体" w:cs="宋体"/>
          <w:b/>
          <w:bCs/>
          <w:color w:val="auto"/>
          <w:sz w:val="32"/>
          <w:szCs w:val="32"/>
        </w:rPr>
        <w:t>万元。</w:t>
      </w:r>
      <w:r>
        <w:rPr>
          <w:rFonts w:hint="eastAsia" w:ascii="宋体" w:hAnsi="宋体" w:eastAsia="宋体" w:cs="宋体"/>
          <w:b/>
          <w:bCs/>
          <w:color w:val="auto"/>
          <w:sz w:val="32"/>
          <w:szCs w:val="32"/>
          <w:lang w:eastAsia="zh-CN"/>
        </w:rPr>
        <w:t>与预算持平</w:t>
      </w:r>
    </w:p>
    <w:p>
      <w:pPr>
        <w:spacing w:after="0" w:line="191" w:lineRule="exact"/>
        <w:rPr>
          <w:color w:val="auto"/>
          <w:sz w:val="20"/>
          <w:szCs w:val="20"/>
        </w:rPr>
      </w:pPr>
    </w:p>
    <w:p>
      <w:pPr>
        <w:spacing w:after="0" w:line="388" w:lineRule="exact"/>
        <w:ind w:left="800"/>
        <w:rPr>
          <w:color w:val="auto"/>
          <w:sz w:val="20"/>
          <w:szCs w:val="20"/>
        </w:rPr>
      </w:pPr>
      <w:r>
        <w:rPr>
          <w:rFonts w:ascii="宋体" w:hAnsi="宋体" w:eastAsia="宋体" w:cs="宋体"/>
          <w:b/>
          <w:bCs/>
          <w:color w:val="auto"/>
          <w:sz w:val="32"/>
          <w:szCs w:val="32"/>
        </w:rPr>
        <w:t>（二）公务用车购置及运行维护费支出</w:t>
      </w:r>
      <w:r>
        <w:rPr>
          <w:rFonts w:ascii="Arial" w:hAnsi="Arial" w:eastAsia="Arial" w:cs="Arial"/>
          <w:b/>
          <w:bCs/>
          <w:color w:val="auto"/>
          <w:sz w:val="32"/>
          <w:szCs w:val="32"/>
        </w:rPr>
        <w:t xml:space="preserve"> 1</w:t>
      </w:r>
      <w:r>
        <w:rPr>
          <w:rFonts w:ascii="宋体" w:hAnsi="宋体" w:eastAsia="宋体" w:cs="宋体"/>
          <w:b/>
          <w:bCs/>
          <w:color w:val="auto"/>
          <w:sz w:val="32"/>
          <w:szCs w:val="32"/>
        </w:rPr>
        <w:t>.56</w:t>
      </w:r>
      <w:r>
        <w:rPr>
          <w:rFonts w:ascii="Arial" w:hAnsi="Arial" w:eastAsia="Arial" w:cs="Arial"/>
          <w:b/>
          <w:bCs/>
          <w:color w:val="auto"/>
          <w:sz w:val="32"/>
          <w:szCs w:val="32"/>
        </w:rPr>
        <w:t xml:space="preserve"> </w:t>
      </w:r>
      <w:r>
        <w:rPr>
          <w:rFonts w:ascii="宋体" w:hAnsi="宋体" w:eastAsia="宋体" w:cs="宋体"/>
          <w:b/>
          <w:bCs/>
          <w:color w:val="auto"/>
          <w:sz w:val="32"/>
          <w:szCs w:val="32"/>
        </w:rPr>
        <w:t>万元。</w:t>
      </w:r>
    </w:p>
    <w:p>
      <w:pPr>
        <w:spacing w:after="0" w:line="193" w:lineRule="exact"/>
        <w:rPr>
          <w:rFonts w:hint="eastAsia" w:eastAsiaTheme="minorEastAsia"/>
          <w:color w:val="auto"/>
          <w:sz w:val="20"/>
          <w:szCs w:val="20"/>
          <w:lang w:val="en-US" w:eastAsia="zh-CN"/>
        </w:rPr>
      </w:pPr>
      <w:r>
        <w:rPr>
          <w:rFonts w:hint="eastAsia"/>
          <w:color w:val="auto"/>
          <w:sz w:val="20"/>
          <w:szCs w:val="20"/>
          <w:lang w:val="en-US" w:eastAsia="zh-CN"/>
        </w:rPr>
        <w:t xml:space="preserve">      </w:t>
      </w:r>
    </w:p>
    <w:p>
      <w:pPr>
        <w:spacing w:after="0" w:line="388" w:lineRule="exact"/>
        <w:ind w:left="800"/>
        <w:rPr>
          <w:rFonts w:hint="eastAsia" w:ascii="宋体" w:hAnsi="宋体" w:eastAsia="宋体" w:cs="宋体"/>
          <w:b w:val="0"/>
          <w:bCs w:val="0"/>
          <w:color w:val="auto"/>
          <w:sz w:val="32"/>
          <w:szCs w:val="32"/>
          <w:lang w:val="en-US" w:eastAsia="zh-CN"/>
        </w:rPr>
      </w:pPr>
      <w:r>
        <w:rPr>
          <w:rFonts w:hint="eastAsia" w:ascii="宋体" w:hAnsi="宋体" w:eastAsia="宋体" w:cs="宋体"/>
          <w:b/>
          <w:bCs/>
          <w:color w:val="auto"/>
          <w:sz w:val="32"/>
          <w:szCs w:val="32"/>
          <w:lang w:eastAsia="zh-CN"/>
        </w:rPr>
        <w:t>公务车购置费</w:t>
      </w:r>
      <w:r>
        <w:rPr>
          <w:rFonts w:hint="eastAsia" w:ascii="宋体" w:hAnsi="宋体" w:eastAsia="宋体" w:cs="宋体"/>
          <w:b/>
          <w:bCs/>
          <w:color w:val="auto"/>
          <w:sz w:val="32"/>
          <w:szCs w:val="32"/>
          <w:lang w:val="en-US" w:eastAsia="zh-CN"/>
        </w:rPr>
        <w:t>0元 ：</w:t>
      </w:r>
      <w:r>
        <w:rPr>
          <w:rFonts w:hint="eastAsia" w:ascii="宋体" w:hAnsi="宋体" w:eastAsia="宋体" w:cs="宋体"/>
          <w:b w:val="0"/>
          <w:bCs w:val="0"/>
          <w:color w:val="auto"/>
          <w:sz w:val="32"/>
          <w:szCs w:val="32"/>
          <w:lang w:val="en-US" w:eastAsia="zh-CN"/>
        </w:rPr>
        <w:t>本部门2018年无公车购置支出，与年初预算数一致</w:t>
      </w:r>
    </w:p>
    <w:p>
      <w:pPr>
        <w:spacing w:after="0" w:line="388" w:lineRule="exact"/>
        <w:ind w:left="800"/>
        <w:rPr>
          <w:color w:val="auto"/>
          <w:sz w:val="20"/>
          <w:szCs w:val="20"/>
        </w:rPr>
      </w:pPr>
      <w:r>
        <w:rPr>
          <w:rFonts w:ascii="宋体" w:hAnsi="宋体" w:eastAsia="宋体" w:cs="宋体"/>
          <w:b/>
          <w:bCs/>
          <w:color w:val="auto"/>
          <w:sz w:val="32"/>
          <w:szCs w:val="32"/>
        </w:rPr>
        <w:t>公务用车运行维护费：</w:t>
      </w:r>
      <w:r>
        <w:rPr>
          <w:rFonts w:ascii="宋体" w:hAnsi="宋体" w:eastAsia="宋体" w:cs="宋体"/>
          <w:color w:val="auto"/>
          <w:sz w:val="32"/>
          <w:szCs w:val="32"/>
        </w:rPr>
        <w:t>本部门</w:t>
      </w:r>
      <w:r>
        <w:rPr>
          <w:rFonts w:ascii="Arial" w:hAnsi="Arial" w:eastAsia="Arial" w:cs="Arial"/>
          <w:color w:val="auto"/>
          <w:sz w:val="32"/>
          <w:szCs w:val="32"/>
        </w:rPr>
        <w:t xml:space="preserve"> 2018 </w:t>
      </w:r>
      <w:r>
        <w:rPr>
          <w:rFonts w:ascii="宋体" w:hAnsi="宋体" w:eastAsia="宋体" w:cs="宋体"/>
          <w:color w:val="auto"/>
          <w:sz w:val="32"/>
          <w:szCs w:val="32"/>
        </w:rPr>
        <w:t>年度单位公务用车保有</w:t>
      </w:r>
    </w:p>
    <w:p>
      <w:pPr>
        <w:spacing w:after="0" w:line="193" w:lineRule="exact"/>
        <w:rPr>
          <w:color w:val="auto"/>
          <w:sz w:val="20"/>
          <w:szCs w:val="20"/>
        </w:rPr>
      </w:pPr>
    </w:p>
    <w:p>
      <w:pPr>
        <w:numPr>
          <w:ilvl w:val="0"/>
          <w:numId w:val="1"/>
        </w:numPr>
        <w:tabs>
          <w:tab w:val="left" w:pos="560"/>
        </w:tabs>
        <w:spacing w:after="0" w:line="388" w:lineRule="exact"/>
        <w:ind w:left="560" w:hanging="411"/>
        <w:rPr>
          <w:rFonts w:ascii="宋体" w:hAnsi="宋体" w:eastAsia="宋体" w:cs="宋体"/>
          <w:color w:val="auto"/>
          <w:sz w:val="32"/>
          <w:szCs w:val="32"/>
        </w:rPr>
      </w:pPr>
      <w:r>
        <w:rPr>
          <w:rFonts w:hint="eastAsia" w:ascii="Arial" w:hAnsi="Arial" w:eastAsia="宋体" w:cs="Arial"/>
          <w:color w:val="auto"/>
          <w:sz w:val="32"/>
          <w:szCs w:val="32"/>
          <w:lang w:val="en-US" w:eastAsia="zh-CN"/>
        </w:rPr>
        <w:t xml:space="preserve"> </w:t>
      </w:r>
      <w:r>
        <w:rPr>
          <w:rFonts w:ascii="Arial" w:hAnsi="Arial" w:eastAsia="Arial" w:cs="Arial"/>
          <w:color w:val="auto"/>
          <w:sz w:val="32"/>
          <w:szCs w:val="32"/>
        </w:rPr>
        <w:t xml:space="preserve">2 </w:t>
      </w:r>
      <w:r>
        <w:rPr>
          <w:rFonts w:ascii="宋体" w:hAnsi="宋体" w:eastAsia="宋体" w:cs="宋体"/>
          <w:color w:val="auto"/>
          <w:sz w:val="32"/>
          <w:szCs w:val="32"/>
        </w:rPr>
        <w:t>辆。公车运行维护费支出较年初预算持平。</w:t>
      </w:r>
      <w:r>
        <w:rPr>
          <w:rFonts w:hint="eastAsia" w:ascii="宋体" w:hAnsi="宋体" w:eastAsia="宋体" w:cs="宋体"/>
          <w:color w:val="auto"/>
          <w:sz w:val="32"/>
          <w:szCs w:val="32"/>
          <w:lang w:eastAsia="zh-CN"/>
        </w:rPr>
        <w:t>主要是严控费用支出。</w:t>
      </w:r>
    </w:p>
    <w:p>
      <w:pPr>
        <w:spacing w:after="0" w:line="261" w:lineRule="exact"/>
        <w:rPr>
          <w:rFonts w:ascii="宋体" w:hAnsi="宋体" w:eastAsia="宋体" w:cs="宋体"/>
          <w:color w:val="auto"/>
          <w:sz w:val="32"/>
          <w:szCs w:val="32"/>
        </w:rPr>
      </w:pPr>
    </w:p>
    <w:p>
      <w:pPr>
        <w:numPr>
          <w:ilvl w:val="0"/>
          <w:numId w:val="2"/>
        </w:numPr>
        <w:spacing w:after="0" w:line="448" w:lineRule="exact"/>
        <w:ind w:left="800" w:right="3860"/>
        <w:rPr>
          <w:rFonts w:ascii="宋体" w:hAnsi="宋体" w:eastAsia="宋体" w:cs="宋体"/>
          <w:b/>
          <w:bCs/>
          <w:color w:val="auto"/>
          <w:sz w:val="32"/>
          <w:szCs w:val="32"/>
        </w:rPr>
      </w:pPr>
      <w:r>
        <w:rPr>
          <w:rFonts w:ascii="宋体" w:hAnsi="宋体" w:eastAsia="宋体" w:cs="宋体"/>
          <w:b/>
          <w:bCs/>
          <w:color w:val="auto"/>
          <w:sz w:val="32"/>
          <w:szCs w:val="32"/>
        </w:rPr>
        <w:t>公务接待费支出</w:t>
      </w:r>
      <w:r>
        <w:rPr>
          <w:rFonts w:ascii="Arial" w:hAnsi="Arial" w:eastAsia="Arial" w:cs="Arial"/>
          <w:b/>
          <w:bCs/>
          <w:color w:val="auto"/>
          <w:sz w:val="32"/>
          <w:szCs w:val="32"/>
        </w:rPr>
        <w:t xml:space="preserve"> 0 </w:t>
      </w:r>
      <w:r>
        <w:rPr>
          <w:rFonts w:ascii="宋体" w:hAnsi="宋体" w:eastAsia="宋体" w:cs="宋体"/>
          <w:b/>
          <w:bCs/>
          <w:color w:val="auto"/>
          <w:sz w:val="32"/>
          <w:szCs w:val="32"/>
        </w:rPr>
        <w:t>元。</w:t>
      </w:r>
    </w:p>
    <w:p>
      <w:pPr>
        <w:numPr>
          <w:ilvl w:val="0"/>
          <w:numId w:val="0"/>
        </w:numPr>
        <w:spacing w:after="0" w:line="448" w:lineRule="exact"/>
        <w:ind w:right="3860" w:rightChars="0" w:firstLine="640" w:firstLineChars="200"/>
        <w:rPr>
          <w:rFonts w:ascii="宋体" w:hAnsi="宋体" w:eastAsia="宋体" w:cs="宋体"/>
          <w:color w:val="auto"/>
          <w:sz w:val="32"/>
          <w:szCs w:val="32"/>
        </w:rPr>
      </w:pPr>
      <w:r>
        <w:rPr>
          <w:rFonts w:ascii="宋体" w:hAnsi="宋体" w:eastAsia="宋体" w:cs="宋体"/>
          <w:color w:val="auto"/>
          <w:sz w:val="32"/>
          <w:szCs w:val="32"/>
        </w:rPr>
        <w:t>六、预算绩效情况说明</w:t>
      </w:r>
    </w:p>
    <w:p>
      <w:pPr>
        <w:spacing w:after="0" w:line="235" w:lineRule="exact"/>
        <w:rPr>
          <w:rFonts w:ascii="宋体" w:hAnsi="宋体" w:eastAsia="宋体" w:cs="宋体"/>
          <w:color w:val="auto"/>
          <w:sz w:val="32"/>
          <w:szCs w:val="32"/>
        </w:rPr>
      </w:pPr>
    </w:p>
    <w:p>
      <w:pPr>
        <w:spacing w:after="0" w:line="366" w:lineRule="exact"/>
        <w:ind w:left="800"/>
        <w:rPr>
          <w:rFonts w:ascii="宋体" w:hAnsi="宋体" w:eastAsia="宋体" w:cs="宋体"/>
          <w:color w:val="auto"/>
          <w:sz w:val="32"/>
          <w:szCs w:val="32"/>
        </w:rPr>
      </w:pPr>
      <w:r>
        <w:rPr>
          <w:rFonts w:ascii="宋体" w:hAnsi="宋体" w:eastAsia="宋体" w:cs="宋体"/>
          <w:b/>
          <w:bCs/>
          <w:color w:val="auto"/>
          <w:sz w:val="32"/>
          <w:szCs w:val="32"/>
        </w:rPr>
        <w:t>（一）预算绩效管理工作开展情况</w:t>
      </w:r>
      <w:r>
        <w:rPr>
          <w:rFonts w:ascii="宋体" w:hAnsi="宋体" w:eastAsia="宋体" w:cs="宋体"/>
          <w:color w:val="auto"/>
          <w:sz w:val="32"/>
          <w:szCs w:val="32"/>
        </w:rPr>
        <w:t>。</w:t>
      </w:r>
      <w:r>
        <w:rPr>
          <w:rFonts w:ascii="宋体" w:hAnsi="宋体" w:eastAsia="宋体" w:cs="宋体"/>
          <w:color w:val="auto"/>
          <w:sz w:val="28"/>
          <w:szCs w:val="28"/>
        </w:rPr>
        <w:t>馆陶县农业农村局高度</w:t>
      </w:r>
    </w:p>
    <w:p>
      <w:pPr>
        <w:spacing w:after="0" w:line="316" w:lineRule="exact"/>
        <w:rPr>
          <w:color w:val="auto"/>
          <w:sz w:val="20"/>
          <w:szCs w:val="20"/>
        </w:rPr>
      </w:pPr>
    </w:p>
    <w:p>
      <w:pPr>
        <w:spacing w:after="0" w:line="491" w:lineRule="exact"/>
        <w:ind w:left="140"/>
        <w:rPr>
          <w:color w:val="auto"/>
          <w:sz w:val="20"/>
          <w:szCs w:val="20"/>
        </w:rPr>
      </w:pPr>
      <w:r>
        <w:rPr>
          <w:rFonts w:ascii="宋体" w:hAnsi="宋体" w:eastAsia="宋体" w:cs="宋体"/>
          <w:color w:val="auto"/>
          <w:sz w:val="28"/>
          <w:szCs w:val="28"/>
        </w:rPr>
        <w:t>重视部门预算绩效管理工作。为了提高财政资金使用效益和效率，实现财政资金的规范性、安全性和有效性，遵循</w:t>
      </w:r>
      <w:r>
        <w:rPr>
          <w:rFonts w:ascii="Arial" w:hAnsi="Arial" w:eastAsia="Arial" w:cs="Arial"/>
          <w:color w:val="auto"/>
          <w:sz w:val="28"/>
          <w:szCs w:val="28"/>
        </w:rPr>
        <w:t>“</w:t>
      </w:r>
      <w:r>
        <w:rPr>
          <w:rFonts w:ascii="宋体" w:hAnsi="宋体" w:eastAsia="宋体" w:cs="宋体"/>
          <w:color w:val="auto"/>
          <w:sz w:val="28"/>
          <w:szCs w:val="28"/>
        </w:rPr>
        <w:t>客观公正、公开透明</w:t>
      </w:r>
      <w:r>
        <w:rPr>
          <w:rFonts w:ascii="Arial" w:hAnsi="Arial" w:eastAsia="Arial" w:cs="Arial"/>
          <w:color w:val="auto"/>
          <w:sz w:val="28"/>
          <w:szCs w:val="28"/>
        </w:rPr>
        <w:t>”</w:t>
      </w:r>
      <w:r>
        <w:rPr>
          <w:rFonts w:ascii="宋体" w:hAnsi="宋体" w:eastAsia="宋体" w:cs="宋体"/>
          <w:color w:val="auto"/>
          <w:sz w:val="28"/>
          <w:szCs w:val="28"/>
        </w:rPr>
        <w:t>的原则，积极开展工作。</w:t>
      </w:r>
    </w:p>
    <w:p>
      <w:pPr>
        <w:sectPr>
          <w:pgSz w:w="11900" w:h="16838"/>
          <w:pgMar w:top="1440" w:right="1326" w:bottom="1440" w:left="1440" w:header="0" w:footer="0" w:gutter="0"/>
          <w:cols w:equalWidth="0" w:num="1">
            <w:col w:w="9140"/>
          </w:cols>
        </w:sectPr>
      </w:pPr>
    </w:p>
    <w:p>
      <w:pPr>
        <w:spacing w:after="0" w:line="200" w:lineRule="exact"/>
        <w:rPr>
          <w:color w:val="auto"/>
          <w:sz w:val="20"/>
          <w:szCs w:val="20"/>
        </w:rPr>
      </w:pPr>
    </w:p>
    <w:p>
      <w:pPr>
        <w:spacing w:after="0" w:line="245" w:lineRule="exact"/>
        <w:rPr>
          <w:color w:val="auto"/>
          <w:sz w:val="20"/>
          <w:szCs w:val="20"/>
        </w:rPr>
      </w:pPr>
    </w:p>
    <w:p>
      <w:pPr>
        <w:spacing w:after="0" w:line="200" w:lineRule="exact"/>
        <w:rPr>
          <w:color w:val="auto"/>
          <w:sz w:val="20"/>
          <w:szCs w:val="20"/>
        </w:rPr>
      </w:pPr>
      <w:bookmarkStart w:id="27" w:name="page38"/>
      <w:bookmarkEnd w:id="27"/>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line="554" w:lineRule="exact"/>
        <w:ind w:left="140" w:right="140"/>
        <w:jc w:val="both"/>
        <w:rPr>
          <w:color w:val="auto"/>
          <w:sz w:val="20"/>
          <w:szCs w:val="20"/>
        </w:rPr>
      </w:pPr>
      <w:r>
        <w:rPr>
          <w:rFonts w:ascii="宋体" w:hAnsi="宋体" w:eastAsia="宋体" w:cs="宋体"/>
          <w:color w:val="auto"/>
          <w:sz w:val="28"/>
          <w:szCs w:val="28"/>
        </w:rPr>
        <w:t>组。二是制定了切实可靠的预算绩效评价实施方案。对农业专项项目进行了细化、量化，严格对照所定目标和指标进行评价。三是对涉及的单位人员进行了调查走访。及时掌握项目实施所达到的社会效益和经济效益，以及群众对此项工作的认可度，确保了评价的质量和效果。四是认真组织绩效审核，组织自评小组围绕项目实施的现实意义、项目目标设定、项目资金管理使用情况、项目绩效完成情况、项目绩效监控情况、绩效制度建设等情况开展绩效评价工作。</w:t>
      </w:r>
    </w:p>
    <w:p>
      <w:pPr>
        <w:spacing w:after="0" w:line="200" w:lineRule="exact"/>
        <w:rPr>
          <w:color w:val="auto"/>
          <w:sz w:val="20"/>
          <w:szCs w:val="20"/>
        </w:rPr>
      </w:pPr>
    </w:p>
    <w:p>
      <w:pPr>
        <w:spacing w:after="0" w:line="286" w:lineRule="exact"/>
        <w:rPr>
          <w:color w:val="auto"/>
          <w:sz w:val="20"/>
          <w:szCs w:val="20"/>
        </w:rPr>
      </w:pPr>
    </w:p>
    <w:p>
      <w:pPr>
        <w:spacing w:after="0" w:line="564" w:lineRule="exact"/>
        <w:ind w:left="140" w:right="40" w:firstLine="559"/>
        <w:jc w:val="both"/>
        <w:rPr>
          <w:color w:val="auto"/>
          <w:sz w:val="20"/>
          <w:szCs w:val="20"/>
        </w:rPr>
      </w:pPr>
      <w:r>
        <w:rPr>
          <w:rFonts w:ascii="宋体" w:hAnsi="宋体" w:eastAsia="宋体" w:cs="宋体"/>
          <w:color w:val="auto"/>
          <w:sz w:val="27"/>
          <w:szCs w:val="27"/>
        </w:rPr>
        <w:t>2、制定绩效管理自评方案。进一步明确了评价工作的指导思想、方法步骤，细化了应达到的绩效目标和相应的绩效指标，完善了农业绩效评价工作体系。按照经济性、效率性、有效性的原则；定量分析与定性分析相结合的原则；真实性、科学性、规范性的原则，对重点农业项目制定绩效评价实施方案和绩效指标评价体系。围绕确定的绩效目标、绩效指标，开展相关数据的收集、整理、分析，开展实地考察、查阅相关资料、听取汇报等多种途径，调查、收集了评价项目的相关基础资料。客观公正地开展绩效评价和编制绩效评价自评报告。通过自评，2018 年农业农村局较好的完成了项目的实施，取得了较好的效果，自评结果为优良。</w:t>
      </w:r>
    </w:p>
    <w:p>
      <w:pPr>
        <w:spacing w:after="0" w:line="200" w:lineRule="exact"/>
        <w:rPr>
          <w:color w:val="auto"/>
          <w:sz w:val="20"/>
          <w:szCs w:val="20"/>
        </w:rPr>
      </w:pPr>
    </w:p>
    <w:p>
      <w:pPr>
        <w:spacing w:after="0" w:line="289" w:lineRule="exact"/>
        <w:rPr>
          <w:color w:val="auto"/>
          <w:sz w:val="20"/>
          <w:szCs w:val="20"/>
        </w:rPr>
      </w:pPr>
    </w:p>
    <w:p>
      <w:pPr>
        <w:spacing w:after="0" w:line="492" w:lineRule="exact"/>
        <w:ind w:left="140" w:firstLine="559"/>
        <w:rPr>
          <w:color w:val="auto"/>
          <w:sz w:val="20"/>
          <w:szCs w:val="20"/>
        </w:rPr>
      </w:pPr>
      <w:r>
        <w:rPr>
          <w:rFonts w:ascii="宋体" w:hAnsi="宋体" w:eastAsia="宋体" w:cs="宋体"/>
          <w:color w:val="auto"/>
          <w:sz w:val="28"/>
          <w:szCs w:val="28"/>
        </w:rPr>
        <w:t>3、预算绩效评价结果应用情况。通过开展 2018 年专项项目绩效评价，一是促进了项目管理水平的提高，进一步完善了规章制度；二是各项目绩效目标设立明确、指标设置合理、内容全面，操作性强。</w:t>
      </w:r>
    </w:p>
    <w:p>
      <w:pPr>
        <w:sectPr>
          <w:pgSz w:w="11900" w:h="16838"/>
          <w:pgMar w:top="1440" w:right="1326" w:bottom="1440" w:left="1440" w:header="0" w:footer="0" w:gutter="0"/>
          <w:cols w:equalWidth="0" w:num="1">
            <w:col w:w="9140"/>
          </w:cols>
        </w:sectPr>
      </w:pPr>
    </w:p>
    <w:p>
      <w:pPr>
        <w:spacing w:after="0" w:line="200" w:lineRule="exact"/>
        <w:rPr>
          <w:color w:val="auto"/>
          <w:sz w:val="20"/>
          <w:szCs w:val="20"/>
        </w:rPr>
      </w:pPr>
      <w:bookmarkStart w:id="28" w:name="page39"/>
      <w:bookmarkEnd w:id="28"/>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372110</wp:posOffset>
                </wp:positionV>
                <wp:extent cx="3826510" cy="0"/>
                <wp:effectExtent l="0" t="0" r="0" b="0"/>
                <wp:wrapNone/>
                <wp:docPr id="116" name="Shape 116"/>
                <wp:cNvGraphicFramePr/>
                <a:graphic xmlns:a="http://schemas.openxmlformats.org/drawingml/2006/main">
                  <a:graphicData uri="http://schemas.microsoft.com/office/word/2010/wordprocessingShape">
                    <wps:wsp>
                      <wps:cNvCnPr/>
                      <wps:spPr>
                        <a:xfrm>
                          <a:off x="0" y="0"/>
                          <a:ext cx="3826510" cy="4763"/>
                        </a:xfrm>
                        <a:prstGeom prst="line">
                          <a:avLst/>
                        </a:prstGeom>
                        <a:solidFill>
                          <a:srgbClr val="FFFFFF"/>
                        </a:solidFill>
                        <a:ln w="634">
                          <a:solidFill>
                            <a:srgbClr val="D9D9D9"/>
                          </a:solidFill>
                          <a:miter lim="800000"/>
                        </a:ln>
                      </wps:spPr>
                      <wps:bodyPr/>
                    </wps:wsp>
                  </a:graphicData>
                </a:graphic>
              </wp:anchor>
            </w:drawing>
          </mc:Choice>
          <mc:Fallback>
            <w:pict>
              <v:line id="Shape 116" o:spid="_x0000_s1026" o:spt="20" style="position:absolute;left:0pt;margin-left:0pt;margin-top:29.3pt;height:0pt;width:301.3pt;mso-position-horizontal-relative:page;mso-position-vertical-relative:page;z-index:-251658240;mso-width-relative:page;mso-height-relative:page;" fillcolor="#FFFFFF" filled="t" stroked="t" coordsize="21600,21600" o:allowincell="f" o:gfxdata="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0qHbC1QAAAAYBAAAPAAAAAAAAAAEAIAAAACIA&#10;AABkcnMvZG93bnJldi54bWxQSwECFAAUAAAACACHTuJA268OIpoBAABOAwAADgAAAAAAAAABACAA&#10;AAAkAQAAZHJzL2Uyb0RvYy54bWxQSwUGAAAAAAYABgBZAQAAMAUAAAAA&#10;">
                <v:fill on="t" focussize="0,0"/>
                <v:stroke weight="0.0499212598425197pt"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4445</wp:posOffset>
                </wp:positionH>
                <wp:positionV relativeFrom="page">
                  <wp:posOffset>372110</wp:posOffset>
                </wp:positionV>
                <wp:extent cx="3734435" cy="0"/>
                <wp:effectExtent l="0" t="0" r="0" b="0"/>
                <wp:wrapNone/>
                <wp:docPr id="117" name="Shape 117"/>
                <wp:cNvGraphicFramePr/>
                <a:graphic xmlns:a="http://schemas.openxmlformats.org/drawingml/2006/main">
                  <a:graphicData uri="http://schemas.microsoft.com/office/word/2010/wordprocessingShape">
                    <wps:wsp>
                      <wps:cNvCnPr/>
                      <wps:spPr>
                        <a:xfrm>
                          <a:off x="0" y="0"/>
                          <a:ext cx="3734435" cy="4763"/>
                        </a:xfrm>
                        <a:prstGeom prst="line">
                          <a:avLst/>
                        </a:prstGeom>
                        <a:solidFill>
                          <a:srgbClr val="FFFFFF"/>
                        </a:solidFill>
                        <a:ln w="634">
                          <a:solidFill>
                            <a:srgbClr val="AD002D"/>
                          </a:solidFill>
                          <a:miter lim="800000"/>
                        </a:ln>
                      </wps:spPr>
                      <wps:bodyPr/>
                    </wps:wsp>
                  </a:graphicData>
                </a:graphic>
              </wp:anchor>
            </w:drawing>
          </mc:Choice>
          <mc:Fallback>
            <w:pict>
              <v:line id="Shape 117" o:spid="_x0000_s1026" o:spt="20" style="position:absolute;left:0pt;margin-left:0.35pt;margin-top:29.3pt;height:0pt;width:294.05pt;mso-position-horizontal-relative:page;mso-position-vertical-relative:page;z-index:-251658240;mso-width-relative:page;mso-height-relative:page;" fillcolor="#FFFFFF" filled="t" stroked="t" coordsize="21600,21600" o:allowincell="f" o:gfxdata="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OHwfNQAAAAGAQAADwAAAAAAAAABACAAAAAi&#10;AAAAZHJzL2Rvd25yZXYueG1sUEsBAhQAFAAAAAgAh07iQH7tR8acAQAATgMAAA4AAAAAAAAAAQAg&#10;AAAAIwEAAGRycy9lMm9Eb2MueG1sUEsFBgAAAAAGAAYAWQEAADEFAAAAAA==&#10;">
                <v:fill on="t" focussize="0,0"/>
                <v:stroke weight="0.0499212598425197pt" color="#AD002D"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-8255</wp:posOffset>
                </wp:positionH>
                <wp:positionV relativeFrom="page">
                  <wp:posOffset>372110</wp:posOffset>
                </wp:positionV>
                <wp:extent cx="3759835" cy="0"/>
                <wp:effectExtent l="0" t="12700" r="4445" b="17780"/>
                <wp:wrapNone/>
                <wp:docPr id="118" name="Shape 118"/>
                <wp:cNvGraphicFramePr/>
                <a:graphic xmlns:a="http://schemas.openxmlformats.org/drawingml/2006/main">
                  <a:graphicData uri="http://schemas.microsoft.com/office/word/2010/wordprocessingShape">
                    <wps:wsp>
                      <wps:cNvCnPr/>
                      <wps:spPr>
                        <a:xfrm>
                          <a:off x="0" y="0"/>
                          <a:ext cx="3759835" cy="4763"/>
                        </a:xfrm>
                        <a:prstGeom prst="line">
                          <a:avLst/>
                        </a:prstGeom>
                        <a:solidFill>
                          <a:srgbClr val="FFFFFF"/>
                        </a:solidFill>
                        <a:ln w="26034">
                          <a:solidFill>
                            <a:srgbClr val="B0761F"/>
                          </a:solidFill>
                          <a:miter lim="800000"/>
                        </a:ln>
                      </wps:spPr>
                      <wps:bodyPr/>
                    </wps:wsp>
                  </a:graphicData>
                </a:graphic>
              </wp:anchor>
            </w:drawing>
          </mc:Choice>
          <mc:Fallback>
            <w:pict>
              <v:line id="Shape 118" o:spid="_x0000_s1026" o:spt="20" style="position:absolute;left:0pt;margin-left:-0.65pt;margin-top:29.3pt;height:0pt;width:296.05pt;mso-position-horizontal-relative:page;mso-position-vertical-relative:page;z-index:-251658240;mso-width-relative:page;mso-height-relative:page;" fillcolor="#FFFFFF" filled="t" stroked="t" coordsize="21600,21600" o:allowincell="f" o:gfxdata="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r25gK1wAAAAgBAAAPAAAAAAAAAAEA&#10;IAAAACIAAABkcnMvZG93bnJldi54bWxQSwECFAAUAAAACACHTuJAlmViAp4BAABQAwAADgAAAAAA&#10;AAABACAAAAAmAQAAZHJzL2Uyb0RvYy54bWxQSwUGAAAAAAYABgBZAQAANgUAAAAA&#10;">
                <v:fill on="t" focussize="0,0"/>
                <v:stroke weight="2.04992125984252pt" color="#B0761F" miterlimit="8" joinstyle="miter"/>
                <v:imagedata o:title=""/>
                <o:lock v:ext="edit" aspectratio="f"/>
              </v:line>
            </w:pict>
          </mc:Fallback>
        </mc:AlternateContent>
      </w:r>
    </w:p>
    <w:p>
      <w:pPr>
        <w:spacing w:after="0" w:line="200" w:lineRule="exact"/>
        <w:rPr>
          <w:color w:val="auto"/>
          <w:sz w:val="20"/>
          <w:szCs w:val="20"/>
        </w:rPr>
      </w:pPr>
    </w:p>
    <w:p>
      <w:pPr>
        <w:spacing w:after="0" w:line="400" w:lineRule="exact"/>
        <w:rPr>
          <w:color w:val="auto"/>
          <w:sz w:val="20"/>
          <w:szCs w:val="20"/>
        </w:rPr>
      </w:pPr>
    </w:p>
    <w:p>
      <w:pPr>
        <w:spacing w:after="0" w:line="366" w:lineRule="exact"/>
        <w:ind w:left="800"/>
        <w:rPr>
          <w:color w:val="auto"/>
          <w:sz w:val="20"/>
          <w:szCs w:val="20"/>
        </w:rPr>
      </w:pPr>
      <w:r>
        <w:rPr>
          <w:rFonts w:ascii="宋体" w:hAnsi="宋体" w:eastAsia="宋体" w:cs="宋体"/>
          <w:color w:val="auto"/>
          <w:sz w:val="32"/>
          <w:szCs w:val="32"/>
        </w:rPr>
        <w:t>七、其他重要事项的说明</w:t>
      </w:r>
    </w:p>
    <w:p>
      <w:pPr>
        <w:spacing w:after="0" w:line="216" w:lineRule="exact"/>
        <w:rPr>
          <w:color w:val="auto"/>
          <w:sz w:val="20"/>
          <w:szCs w:val="20"/>
        </w:rPr>
      </w:pPr>
    </w:p>
    <w:p>
      <w:pPr>
        <w:spacing w:after="0" w:line="366" w:lineRule="exact"/>
        <w:ind w:left="800"/>
        <w:rPr>
          <w:color w:val="auto"/>
          <w:sz w:val="20"/>
          <w:szCs w:val="20"/>
        </w:rPr>
      </w:pPr>
      <w:r>
        <w:rPr>
          <w:rFonts w:ascii="宋体" w:hAnsi="宋体" w:eastAsia="宋体" w:cs="宋体"/>
          <w:b/>
          <w:bCs/>
          <w:color w:val="auto"/>
          <w:sz w:val="32"/>
          <w:szCs w:val="32"/>
        </w:rPr>
        <w:t>（一）机关运行经费情况</w:t>
      </w:r>
    </w:p>
    <w:p>
      <w:pPr>
        <w:spacing w:after="0" w:line="203" w:lineRule="exact"/>
        <w:rPr>
          <w:color w:val="auto"/>
          <w:sz w:val="20"/>
          <w:szCs w:val="20"/>
        </w:rPr>
      </w:pPr>
    </w:p>
    <w:p>
      <w:pPr>
        <w:spacing w:after="0" w:line="376" w:lineRule="exact"/>
        <w:ind w:left="800"/>
        <w:rPr>
          <w:color w:val="auto"/>
          <w:sz w:val="20"/>
          <w:szCs w:val="20"/>
        </w:rPr>
      </w:pPr>
      <w:r>
        <w:rPr>
          <w:rFonts w:ascii="宋体" w:hAnsi="宋体" w:eastAsia="宋体" w:cs="宋体"/>
          <w:color w:val="auto"/>
          <w:sz w:val="31"/>
          <w:szCs w:val="31"/>
        </w:rPr>
        <w:t>本部门</w:t>
      </w:r>
      <w:r>
        <w:rPr>
          <w:rFonts w:ascii="Arial" w:hAnsi="Arial" w:eastAsia="Arial" w:cs="Arial"/>
          <w:color w:val="auto"/>
          <w:sz w:val="31"/>
          <w:szCs w:val="31"/>
        </w:rPr>
        <w:t xml:space="preserve"> 2018 </w:t>
      </w:r>
      <w:r>
        <w:rPr>
          <w:rFonts w:ascii="宋体" w:hAnsi="宋体" w:eastAsia="宋体" w:cs="宋体"/>
          <w:color w:val="auto"/>
          <w:sz w:val="31"/>
          <w:szCs w:val="31"/>
        </w:rPr>
        <w:t>年度机关运行经费支出</w:t>
      </w:r>
      <w:r>
        <w:rPr>
          <w:rFonts w:ascii="Arial" w:hAnsi="Arial" w:eastAsia="Arial" w:cs="Arial"/>
          <w:color w:val="auto"/>
          <w:sz w:val="31"/>
          <w:szCs w:val="31"/>
        </w:rPr>
        <w:t xml:space="preserve"> 70</w:t>
      </w:r>
      <w:r>
        <w:rPr>
          <w:rFonts w:ascii="宋体" w:hAnsi="宋体" w:eastAsia="宋体" w:cs="宋体"/>
          <w:color w:val="auto"/>
          <w:sz w:val="31"/>
          <w:szCs w:val="31"/>
        </w:rPr>
        <w:t>.84</w:t>
      </w:r>
      <w:r>
        <w:rPr>
          <w:rFonts w:ascii="Arial" w:hAnsi="Arial" w:eastAsia="Arial" w:cs="Arial"/>
          <w:color w:val="auto"/>
          <w:sz w:val="31"/>
          <w:szCs w:val="31"/>
        </w:rPr>
        <w:t xml:space="preserve"> </w:t>
      </w:r>
      <w:r>
        <w:rPr>
          <w:rFonts w:ascii="宋体" w:hAnsi="宋体" w:eastAsia="宋体" w:cs="宋体"/>
          <w:color w:val="auto"/>
          <w:sz w:val="31"/>
          <w:szCs w:val="31"/>
        </w:rPr>
        <w:t>万元，比年初预</w:t>
      </w:r>
    </w:p>
    <w:p>
      <w:pPr>
        <w:spacing w:after="0" w:line="205" w:lineRule="exact"/>
        <w:rPr>
          <w:color w:val="auto"/>
          <w:sz w:val="20"/>
          <w:szCs w:val="20"/>
        </w:rPr>
      </w:pPr>
    </w:p>
    <w:p>
      <w:pPr>
        <w:spacing w:after="0" w:line="376" w:lineRule="exact"/>
        <w:ind w:left="140"/>
        <w:rPr>
          <w:color w:val="auto"/>
          <w:sz w:val="20"/>
          <w:szCs w:val="20"/>
        </w:rPr>
      </w:pPr>
      <w:r>
        <w:rPr>
          <w:rFonts w:ascii="宋体" w:hAnsi="宋体" w:eastAsia="宋体" w:cs="宋体"/>
          <w:color w:val="auto"/>
          <w:sz w:val="31"/>
          <w:szCs w:val="31"/>
        </w:rPr>
        <w:t>算数增加</w:t>
      </w:r>
      <w:r>
        <w:rPr>
          <w:rFonts w:ascii="Arial" w:hAnsi="Arial" w:eastAsia="Arial" w:cs="Arial"/>
          <w:color w:val="auto"/>
          <w:sz w:val="31"/>
          <w:szCs w:val="31"/>
        </w:rPr>
        <w:t xml:space="preserve"> 43</w:t>
      </w:r>
      <w:r>
        <w:rPr>
          <w:rFonts w:ascii="宋体" w:hAnsi="宋体" w:eastAsia="宋体" w:cs="宋体"/>
          <w:color w:val="auto"/>
          <w:sz w:val="31"/>
          <w:szCs w:val="31"/>
        </w:rPr>
        <w:t>.84</w:t>
      </w:r>
      <w:r>
        <w:rPr>
          <w:rFonts w:ascii="Arial" w:hAnsi="Arial" w:eastAsia="Arial" w:cs="Arial"/>
          <w:color w:val="auto"/>
          <w:sz w:val="31"/>
          <w:szCs w:val="31"/>
        </w:rPr>
        <w:t xml:space="preserve"> </w:t>
      </w:r>
      <w:r>
        <w:rPr>
          <w:rFonts w:ascii="宋体" w:hAnsi="宋体" w:eastAsia="宋体" w:cs="宋体"/>
          <w:color w:val="auto"/>
          <w:sz w:val="31"/>
          <w:szCs w:val="31"/>
        </w:rPr>
        <w:t>万元，增长</w:t>
      </w:r>
      <w:r>
        <w:rPr>
          <w:rFonts w:ascii="Arial" w:hAnsi="Arial" w:eastAsia="Arial" w:cs="Arial"/>
          <w:color w:val="auto"/>
          <w:sz w:val="31"/>
          <w:szCs w:val="31"/>
        </w:rPr>
        <w:t xml:space="preserve"> 61</w:t>
      </w:r>
      <w:r>
        <w:rPr>
          <w:rFonts w:ascii="宋体" w:hAnsi="宋体" w:eastAsia="宋体" w:cs="宋体"/>
          <w:color w:val="auto"/>
          <w:sz w:val="31"/>
          <w:szCs w:val="31"/>
        </w:rPr>
        <w:t>.9</w:t>
      </w:r>
      <w:r>
        <w:rPr>
          <w:rFonts w:ascii="Arial" w:hAnsi="Arial" w:eastAsia="Arial" w:cs="Arial"/>
          <w:color w:val="auto"/>
          <w:sz w:val="31"/>
          <w:szCs w:val="31"/>
        </w:rPr>
        <w:t>%</w:t>
      </w:r>
      <w:r>
        <w:rPr>
          <w:rFonts w:ascii="宋体" w:hAnsi="宋体" w:eastAsia="宋体" w:cs="宋体"/>
          <w:color w:val="auto"/>
          <w:sz w:val="31"/>
          <w:szCs w:val="31"/>
        </w:rPr>
        <w:t>。主要原因是</w:t>
      </w:r>
      <w:r>
        <w:rPr>
          <w:rFonts w:ascii="宋体" w:hAnsi="宋体" w:eastAsia="宋体" w:cs="宋体"/>
          <w:color w:val="auto"/>
          <w:sz w:val="27"/>
          <w:szCs w:val="27"/>
        </w:rPr>
        <w:t>人员工资增高，专</w:t>
      </w:r>
    </w:p>
    <w:p>
      <w:pPr>
        <w:spacing w:after="0" w:line="227" w:lineRule="exact"/>
        <w:rPr>
          <w:color w:val="auto"/>
          <w:sz w:val="20"/>
          <w:szCs w:val="20"/>
        </w:rPr>
      </w:pPr>
    </w:p>
    <w:p>
      <w:pPr>
        <w:spacing w:after="0" w:line="354" w:lineRule="exact"/>
        <w:ind w:left="140"/>
        <w:rPr>
          <w:color w:val="auto"/>
          <w:sz w:val="20"/>
          <w:szCs w:val="20"/>
        </w:rPr>
      </w:pPr>
      <w:r>
        <w:rPr>
          <w:rFonts w:ascii="宋体" w:hAnsi="宋体" w:eastAsia="宋体" w:cs="宋体"/>
          <w:color w:val="auto"/>
          <w:sz w:val="28"/>
          <w:szCs w:val="28"/>
        </w:rPr>
        <w:t>项业务工作经费增加</w:t>
      </w:r>
      <w:r>
        <w:rPr>
          <w:rFonts w:ascii="宋体" w:hAnsi="宋体" w:eastAsia="宋体" w:cs="宋体"/>
          <w:color w:val="auto"/>
          <w:sz w:val="31"/>
          <w:szCs w:val="31"/>
        </w:rPr>
        <w:t>。</w:t>
      </w:r>
    </w:p>
    <w:p>
      <w:pPr>
        <w:spacing w:after="0" w:line="214" w:lineRule="exact"/>
        <w:rPr>
          <w:color w:val="auto"/>
          <w:sz w:val="20"/>
          <w:szCs w:val="20"/>
        </w:rPr>
      </w:pPr>
    </w:p>
    <w:p>
      <w:pPr>
        <w:spacing w:after="0" w:line="366" w:lineRule="exact"/>
        <w:ind w:left="800"/>
        <w:rPr>
          <w:color w:val="auto"/>
          <w:sz w:val="20"/>
          <w:szCs w:val="20"/>
        </w:rPr>
      </w:pPr>
      <w:r>
        <w:rPr>
          <w:rFonts w:ascii="宋体" w:hAnsi="宋体" w:eastAsia="宋体" w:cs="宋体"/>
          <w:b/>
          <w:bCs/>
          <w:color w:val="auto"/>
          <w:sz w:val="32"/>
          <w:szCs w:val="32"/>
        </w:rPr>
        <w:t>（二）政府采购情况</w:t>
      </w:r>
    </w:p>
    <w:p>
      <w:pPr>
        <w:spacing w:after="0" w:line="205" w:lineRule="exact"/>
        <w:rPr>
          <w:color w:val="auto"/>
          <w:sz w:val="20"/>
          <w:szCs w:val="20"/>
        </w:rPr>
      </w:pPr>
    </w:p>
    <w:p>
      <w:pPr>
        <w:spacing w:after="0" w:line="376" w:lineRule="exact"/>
        <w:ind w:left="800"/>
        <w:rPr>
          <w:color w:val="auto"/>
          <w:sz w:val="20"/>
          <w:szCs w:val="20"/>
        </w:rPr>
      </w:pPr>
      <w:r>
        <w:rPr>
          <w:rFonts w:ascii="宋体" w:hAnsi="宋体" w:eastAsia="宋体" w:cs="宋体"/>
          <w:color w:val="auto"/>
          <w:sz w:val="31"/>
          <w:szCs w:val="31"/>
        </w:rPr>
        <w:t>本部门</w:t>
      </w:r>
      <w:r>
        <w:rPr>
          <w:rFonts w:ascii="Arial" w:hAnsi="Arial" w:eastAsia="Arial" w:cs="Arial"/>
          <w:color w:val="auto"/>
          <w:sz w:val="31"/>
          <w:szCs w:val="31"/>
        </w:rPr>
        <w:t xml:space="preserve"> 2018 </w:t>
      </w:r>
      <w:r>
        <w:rPr>
          <w:rFonts w:ascii="宋体" w:hAnsi="宋体" w:eastAsia="宋体" w:cs="宋体"/>
          <w:color w:val="auto"/>
          <w:sz w:val="31"/>
          <w:szCs w:val="31"/>
        </w:rPr>
        <w:t>年度政府采购支出总额</w:t>
      </w:r>
      <w:r>
        <w:rPr>
          <w:rFonts w:ascii="Arial" w:hAnsi="Arial" w:eastAsia="Arial" w:cs="Arial"/>
          <w:color w:val="auto"/>
          <w:sz w:val="31"/>
          <w:szCs w:val="31"/>
        </w:rPr>
        <w:t xml:space="preserve"> 278 </w:t>
      </w:r>
      <w:r>
        <w:rPr>
          <w:rFonts w:ascii="宋体" w:hAnsi="宋体" w:eastAsia="宋体" w:cs="宋体"/>
          <w:color w:val="auto"/>
          <w:sz w:val="31"/>
          <w:szCs w:val="31"/>
        </w:rPr>
        <w:t>万元，从采购类型</w:t>
      </w:r>
    </w:p>
    <w:p>
      <w:pPr>
        <w:spacing w:after="0" w:line="205" w:lineRule="exact"/>
        <w:rPr>
          <w:color w:val="auto"/>
          <w:sz w:val="20"/>
          <w:szCs w:val="20"/>
        </w:rPr>
      </w:pPr>
    </w:p>
    <w:p>
      <w:pPr>
        <w:spacing w:after="0" w:line="376" w:lineRule="exact"/>
        <w:ind w:left="140"/>
        <w:rPr>
          <w:color w:val="auto"/>
          <w:sz w:val="20"/>
          <w:szCs w:val="20"/>
        </w:rPr>
      </w:pPr>
      <w:r>
        <w:rPr>
          <w:rFonts w:ascii="宋体" w:hAnsi="宋体" w:eastAsia="宋体" w:cs="宋体"/>
          <w:color w:val="auto"/>
          <w:sz w:val="31"/>
          <w:szCs w:val="31"/>
        </w:rPr>
        <w:t>来看，政府采购货物支出</w:t>
      </w:r>
      <w:r>
        <w:rPr>
          <w:rFonts w:ascii="Arial" w:hAnsi="Arial" w:eastAsia="Arial" w:cs="Arial"/>
          <w:color w:val="auto"/>
          <w:sz w:val="31"/>
          <w:szCs w:val="31"/>
        </w:rPr>
        <w:t xml:space="preserve"> 278 </w:t>
      </w:r>
      <w:r>
        <w:rPr>
          <w:rFonts w:ascii="宋体" w:hAnsi="宋体" w:eastAsia="宋体" w:cs="宋体"/>
          <w:color w:val="auto"/>
          <w:sz w:val="31"/>
          <w:szCs w:val="31"/>
        </w:rPr>
        <w:t>万元、政府采购工程支出</w:t>
      </w:r>
      <w:r>
        <w:rPr>
          <w:rFonts w:ascii="Arial" w:hAnsi="Arial" w:eastAsia="Arial" w:cs="Arial"/>
          <w:color w:val="auto"/>
          <w:sz w:val="31"/>
          <w:szCs w:val="31"/>
        </w:rPr>
        <w:t xml:space="preserve"> 0 </w:t>
      </w:r>
      <w:r>
        <w:rPr>
          <w:rFonts w:ascii="宋体" w:hAnsi="宋体" w:eastAsia="宋体" w:cs="宋体"/>
          <w:color w:val="auto"/>
          <w:sz w:val="31"/>
          <w:szCs w:val="31"/>
        </w:rPr>
        <w:t>万元、</w:t>
      </w:r>
    </w:p>
    <w:p>
      <w:pPr>
        <w:spacing w:after="0" w:line="191" w:lineRule="exact"/>
        <w:rPr>
          <w:color w:val="auto"/>
          <w:sz w:val="20"/>
          <w:szCs w:val="20"/>
        </w:rPr>
      </w:pPr>
    </w:p>
    <w:p>
      <w:pPr>
        <w:spacing w:after="0" w:line="388" w:lineRule="exact"/>
        <w:ind w:left="140"/>
        <w:rPr>
          <w:rFonts w:hint="eastAsia" w:ascii="宋体" w:hAnsi="宋体" w:eastAsia="宋体" w:cs="宋体"/>
          <w:color w:val="auto"/>
          <w:sz w:val="32"/>
          <w:szCs w:val="32"/>
          <w:lang w:val="en-US" w:eastAsia="zh-CN"/>
        </w:rPr>
      </w:pPr>
      <w:r>
        <w:rPr>
          <w:rFonts w:ascii="宋体" w:hAnsi="宋体" w:eastAsia="宋体" w:cs="宋体"/>
          <w:color w:val="auto"/>
          <w:sz w:val="32"/>
          <w:szCs w:val="32"/>
        </w:rPr>
        <w:t>政府采购服务支出</w:t>
      </w:r>
      <w:r>
        <w:rPr>
          <w:rFonts w:ascii="Arial" w:hAnsi="Arial" w:eastAsia="Arial" w:cs="Arial"/>
          <w:color w:val="auto"/>
          <w:sz w:val="32"/>
          <w:szCs w:val="32"/>
        </w:rPr>
        <w:t xml:space="preserve"> 0 </w:t>
      </w:r>
      <w:r>
        <w:rPr>
          <w:rFonts w:ascii="宋体" w:hAnsi="宋体" w:eastAsia="宋体" w:cs="宋体"/>
          <w:color w:val="auto"/>
          <w:sz w:val="32"/>
          <w:szCs w:val="32"/>
        </w:rPr>
        <w:t>万元。</w:t>
      </w:r>
      <w:r>
        <w:rPr>
          <w:rFonts w:hint="eastAsia" w:ascii="宋体" w:hAnsi="宋体" w:eastAsia="宋体" w:cs="宋体"/>
          <w:color w:val="auto"/>
          <w:sz w:val="32"/>
          <w:szCs w:val="32"/>
          <w:lang w:eastAsia="zh-CN"/>
        </w:rPr>
        <w:t>授予中小微企业</w:t>
      </w:r>
      <w:r>
        <w:rPr>
          <w:rFonts w:hint="eastAsia" w:ascii="宋体" w:hAnsi="宋体" w:eastAsia="宋体" w:cs="宋体"/>
          <w:color w:val="auto"/>
          <w:sz w:val="32"/>
          <w:szCs w:val="32"/>
          <w:lang w:val="en-US" w:eastAsia="zh-CN"/>
        </w:rPr>
        <w:t>0元。</w:t>
      </w:r>
    </w:p>
    <w:p>
      <w:pPr>
        <w:spacing w:after="0" w:line="366" w:lineRule="exact"/>
        <w:ind w:left="800"/>
        <w:rPr>
          <w:rFonts w:ascii="宋体" w:hAnsi="宋体" w:eastAsia="宋体" w:cs="宋体"/>
          <w:b/>
          <w:bCs/>
          <w:color w:val="auto"/>
          <w:sz w:val="32"/>
          <w:szCs w:val="32"/>
        </w:rPr>
      </w:pPr>
    </w:p>
    <w:p>
      <w:pPr>
        <w:pStyle w:val="2"/>
        <w:spacing w:before="176"/>
        <w:ind w:left="0" w:leftChars="0" w:firstLine="643" w:firstLineChars="200"/>
      </w:pPr>
      <w: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spacing w:after="0" w:line="366" w:lineRule="exact"/>
        <w:ind w:left="800"/>
        <w:rPr>
          <w:rFonts w:ascii="宋体" w:hAnsi="宋体" w:eastAsia="宋体" w:cs="宋体"/>
          <w:b/>
          <w:bCs/>
          <w:color w:val="auto"/>
          <w:sz w:val="32"/>
          <w:szCs w:val="32"/>
        </w:rPr>
      </w:pPr>
    </w:p>
    <w:p>
      <w:pPr>
        <w:spacing w:after="0" w:line="366" w:lineRule="exact"/>
        <w:rPr>
          <w:color w:val="auto"/>
          <w:sz w:val="20"/>
          <w:szCs w:val="20"/>
        </w:rPr>
      </w:pPr>
      <w:r>
        <w:rPr>
          <w:rFonts w:ascii="宋体" w:hAnsi="宋体" w:eastAsia="宋体" w:cs="宋体"/>
          <w:b/>
          <w:bCs/>
          <w:color w:val="auto"/>
          <w:sz w:val="32"/>
          <w:szCs w:val="32"/>
        </w:rPr>
        <w:t>（</w:t>
      </w:r>
      <w:r>
        <w:rPr>
          <w:rFonts w:hint="eastAsia" w:ascii="宋体" w:hAnsi="宋体" w:eastAsia="宋体" w:cs="宋体"/>
          <w:b/>
          <w:bCs/>
          <w:color w:val="auto"/>
          <w:sz w:val="32"/>
          <w:szCs w:val="32"/>
          <w:lang w:eastAsia="zh-CN"/>
        </w:rPr>
        <w:t>四</w:t>
      </w:r>
      <w:r>
        <w:rPr>
          <w:rFonts w:ascii="宋体" w:hAnsi="宋体" w:eastAsia="宋体" w:cs="宋体"/>
          <w:b/>
          <w:bCs/>
          <w:color w:val="auto"/>
          <w:sz w:val="32"/>
          <w:szCs w:val="32"/>
        </w:rPr>
        <w:t>）其他需要说明的情况</w:t>
      </w:r>
    </w:p>
    <w:p>
      <w:pPr>
        <w:spacing w:after="0" w:line="234" w:lineRule="exact"/>
        <w:rPr>
          <w:color w:val="auto"/>
          <w:sz w:val="20"/>
          <w:szCs w:val="20"/>
        </w:rPr>
      </w:pPr>
    </w:p>
    <w:p>
      <w:pPr>
        <w:spacing w:after="0" w:line="364" w:lineRule="exact"/>
        <w:ind w:left="800"/>
        <w:rPr>
          <w:color w:val="auto"/>
          <w:sz w:val="20"/>
          <w:szCs w:val="20"/>
        </w:rPr>
      </w:pPr>
      <w:r>
        <w:rPr>
          <w:rFonts w:ascii="Arial" w:hAnsi="Arial" w:eastAsia="Arial" w:cs="Arial"/>
          <w:color w:val="auto"/>
          <w:sz w:val="30"/>
          <w:szCs w:val="30"/>
        </w:rPr>
        <w:t>1</w:t>
      </w:r>
      <w:r>
        <w:rPr>
          <w:rFonts w:ascii="宋体" w:hAnsi="宋体" w:eastAsia="宋体" w:cs="宋体"/>
          <w:color w:val="auto"/>
          <w:sz w:val="30"/>
          <w:szCs w:val="30"/>
        </w:rPr>
        <w:t>、本部门</w:t>
      </w:r>
      <w:r>
        <w:rPr>
          <w:rFonts w:ascii="Arial" w:hAnsi="Arial" w:eastAsia="Arial" w:cs="Arial"/>
          <w:color w:val="auto"/>
          <w:sz w:val="30"/>
          <w:szCs w:val="30"/>
        </w:rPr>
        <w:t xml:space="preserve"> 2018 </w:t>
      </w:r>
      <w:r>
        <w:rPr>
          <w:rFonts w:ascii="宋体" w:hAnsi="宋体" w:eastAsia="宋体" w:cs="宋体"/>
          <w:color w:val="auto"/>
          <w:sz w:val="30"/>
          <w:szCs w:val="30"/>
        </w:rPr>
        <w:t>年度</w:t>
      </w:r>
      <w:r>
        <w:rPr>
          <w:rFonts w:ascii="宋体" w:hAnsi="宋体" w:eastAsia="宋体" w:cs="宋体"/>
          <w:color w:val="auto"/>
          <w:sz w:val="26"/>
          <w:szCs w:val="26"/>
        </w:rPr>
        <w:t>无国有资本经营预算收入和支出预算。</w:t>
      </w:r>
      <w:r>
        <w:rPr>
          <w:rFonts w:ascii="宋体" w:hAnsi="宋体" w:eastAsia="宋体" w:cs="宋体"/>
          <w:color w:val="auto"/>
          <w:sz w:val="30"/>
          <w:szCs w:val="30"/>
        </w:rPr>
        <w:t>故</w:t>
      </w:r>
      <w:r>
        <w:rPr>
          <w:rFonts w:ascii="Arial" w:hAnsi="Arial" w:eastAsia="Arial" w:cs="Arial"/>
          <w:color w:val="auto"/>
          <w:sz w:val="30"/>
          <w:szCs w:val="30"/>
        </w:rPr>
        <w:t xml:space="preserve"> 0</w:t>
      </w:r>
      <w:r>
        <w:rPr>
          <w:rFonts w:ascii="宋体" w:hAnsi="宋体" w:eastAsia="宋体" w:cs="宋体"/>
          <w:color w:val="auto"/>
          <w:sz w:val="30"/>
          <w:szCs w:val="30"/>
        </w:rPr>
        <w:t>9</w:t>
      </w:r>
    </w:p>
    <w:p>
      <w:pPr>
        <w:spacing w:after="0" w:line="233"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表以空表列示。</w:t>
      </w:r>
    </w:p>
    <w:p>
      <w:pPr>
        <w:spacing w:after="0" w:line="356" w:lineRule="exact"/>
        <w:rPr>
          <w:color w:val="auto"/>
          <w:sz w:val="20"/>
          <w:szCs w:val="20"/>
        </w:rPr>
      </w:pPr>
    </w:p>
    <w:p>
      <w:pPr>
        <w:spacing w:after="0" w:line="388" w:lineRule="exact"/>
        <w:ind w:left="800"/>
        <w:rPr>
          <w:color w:val="auto"/>
          <w:sz w:val="20"/>
          <w:szCs w:val="20"/>
        </w:rPr>
      </w:pPr>
      <w:r>
        <w:rPr>
          <w:rFonts w:ascii="Arial" w:hAnsi="Arial" w:eastAsia="Arial" w:cs="Arial"/>
          <w:color w:val="auto"/>
          <w:sz w:val="32"/>
          <w:szCs w:val="32"/>
        </w:rPr>
        <w:t>2</w:t>
      </w:r>
      <w:r>
        <w:rPr>
          <w:rFonts w:ascii="宋体" w:hAnsi="宋体" w:eastAsia="宋体" w:cs="宋体"/>
          <w:color w:val="auto"/>
          <w:sz w:val="32"/>
          <w:szCs w:val="32"/>
        </w:rPr>
        <w:t>、由于决算公开表格中金额数值应当保留两位小数，公开</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数据为四舍五入计算结果，个别数据合计项与分项之和存在小</w:t>
      </w:r>
    </w:p>
    <w:p>
      <w:pPr>
        <w:spacing w:after="0" w:line="216"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数点后差额，特此说明。</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9" w:name="page40"/>
      <w:bookmarkEnd w:id="29"/>
      <w:r>
        <w:rPr>
          <w:color w:val="auto"/>
          <w:sz w:val="20"/>
          <w:szCs w:val="20"/>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49515" cy="10674350"/>
            <wp:effectExtent l="0" t="0" r="9525"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7549515" cy="10674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line="1084" w:lineRule="exact"/>
        <w:ind w:left="2620"/>
        <w:rPr>
          <w:color w:val="auto"/>
          <w:sz w:val="20"/>
          <w:szCs w:val="20"/>
        </w:rPr>
      </w:pPr>
      <w:r>
        <w:rPr>
          <w:rFonts w:ascii="宋体" w:hAnsi="宋体" w:eastAsia="宋体" w:cs="宋体"/>
          <w:color w:val="FDEFBE"/>
          <w:sz w:val="95"/>
          <w:szCs w:val="95"/>
        </w:rPr>
        <w:t>第四部分</w:t>
      </w:r>
    </w:p>
    <w:p>
      <w:pPr>
        <w:spacing w:after="0" w:line="278" w:lineRule="exact"/>
        <w:rPr>
          <w:color w:val="auto"/>
          <w:sz w:val="20"/>
          <w:szCs w:val="20"/>
        </w:rPr>
      </w:pPr>
    </w:p>
    <w:p>
      <w:pPr>
        <w:spacing w:after="0" w:line="1084" w:lineRule="exact"/>
        <w:ind w:left="2620"/>
        <w:rPr>
          <w:color w:val="auto"/>
          <w:sz w:val="20"/>
          <w:szCs w:val="20"/>
        </w:rPr>
      </w:pPr>
      <w:r>
        <w:rPr>
          <w:rFonts w:ascii="宋体" w:hAnsi="宋体" w:eastAsia="宋体" w:cs="宋体"/>
          <w:color w:val="FDEFBE"/>
          <w:sz w:val="95"/>
          <w:szCs w:val="95"/>
        </w:rPr>
        <w:t>名词解释</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0" w:name="page41"/>
      <w:bookmarkEnd w:id="30"/>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240" w:lineRule="exact"/>
        <w:ind w:left="800"/>
        <w:rPr>
          <w:color w:val="auto"/>
          <w:sz w:val="20"/>
          <w:szCs w:val="20"/>
        </w:rPr>
      </w:pPr>
      <w:r>
        <w:rPr>
          <w:rFonts w:ascii="仿宋" w:hAnsi="仿宋" w:eastAsia="仿宋" w:cs="仿宋"/>
          <w:color w:val="auto"/>
          <w:sz w:val="21"/>
          <w:szCs w:val="21"/>
        </w:rPr>
        <w:t>1.</w:t>
      </w:r>
      <w:r>
        <w:rPr>
          <w:rFonts w:ascii="宋体" w:hAnsi="宋体" w:eastAsia="宋体" w:cs="宋体"/>
          <w:color w:val="auto"/>
          <w:sz w:val="21"/>
          <w:szCs w:val="21"/>
        </w:rPr>
        <w:t>财政拨款收入：本级财政部门当年拨付的财政预算资金，包括公共预算财政拨款和政府</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性基金预算财政拨款。</w:t>
      </w:r>
    </w:p>
    <w:p>
      <w:pPr>
        <w:spacing w:after="0" w:line="200" w:lineRule="exact"/>
        <w:rPr>
          <w:color w:val="auto"/>
          <w:sz w:val="20"/>
          <w:szCs w:val="20"/>
        </w:rPr>
      </w:pPr>
    </w:p>
    <w:p>
      <w:pPr>
        <w:spacing w:after="0" w:line="294" w:lineRule="exact"/>
        <w:rPr>
          <w:color w:val="auto"/>
          <w:sz w:val="20"/>
          <w:szCs w:val="20"/>
        </w:rPr>
      </w:pPr>
    </w:p>
    <w:p>
      <w:pPr>
        <w:spacing w:after="0" w:line="255" w:lineRule="exact"/>
        <w:ind w:left="800"/>
        <w:rPr>
          <w:color w:val="auto"/>
          <w:sz w:val="20"/>
          <w:szCs w:val="20"/>
        </w:rPr>
      </w:pPr>
      <w:r>
        <w:rPr>
          <w:rFonts w:ascii="仿宋" w:hAnsi="仿宋" w:eastAsia="仿宋" w:cs="仿宋"/>
          <w:color w:val="auto"/>
          <w:sz w:val="21"/>
          <w:szCs w:val="21"/>
        </w:rPr>
        <w:t>2.</w:t>
      </w:r>
      <w:r>
        <w:rPr>
          <w:rFonts w:ascii="宋体" w:hAnsi="宋体" w:eastAsia="宋体" w:cs="宋体"/>
          <w:color w:val="auto"/>
          <w:sz w:val="21"/>
          <w:szCs w:val="21"/>
        </w:rPr>
        <w:t>其他收入：预算单位在</w:t>
      </w:r>
      <w:r>
        <w:rPr>
          <w:rFonts w:ascii="Arial" w:hAnsi="Arial" w:eastAsia="Arial" w:cs="Arial"/>
          <w:color w:val="auto"/>
          <w:sz w:val="21"/>
          <w:szCs w:val="21"/>
        </w:rPr>
        <w:t>“</w:t>
      </w:r>
      <w:r>
        <w:rPr>
          <w:rFonts w:ascii="宋体" w:hAnsi="宋体" w:eastAsia="宋体" w:cs="宋体"/>
          <w:color w:val="auto"/>
          <w:sz w:val="21"/>
          <w:szCs w:val="21"/>
        </w:rPr>
        <w:t>财政拨款、事业收入、经营收入、上级补助收入</w:t>
      </w:r>
      <w:r>
        <w:rPr>
          <w:rFonts w:ascii="Arial" w:hAnsi="Arial" w:eastAsia="Arial" w:cs="Arial"/>
          <w:color w:val="auto"/>
          <w:sz w:val="21"/>
          <w:szCs w:val="21"/>
        </w:rPr>
        <w:t>”</w:t>
      </w:r>
      <w:r>
        <w:rPr>
          <w:rFonts w:ascii="宋体" w:hAnsi="宋体" w:eastAsia="宋体" w:cs="宋体"/>
          <w:color w:val="auto"/>
          <w:sz w:val="21"/>
          <w:szCs w:val="21"/>
        </w:rPr>
        <w:t>等之外取得</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的各项收入。</w:t>
      </w:r>
    </w:p>
    <w:p>
      <w:pPr>
        <w:spacing w:after="0" w:line="200" w:lineRule="exact"/>
        <w:rPr>
          <w:color w:val="auto"/>
          <w:sz w:val="20"/>
          <w:szCs w:val="20"/>
        </w:rPr>
      </w:pPr>
    </w:p>
    <w:p>
      <w:pPr>
        <w:spacing w:after="0" w:line="307" w:lineRule="exact"/>
        <w:rPr>
          <w:color w:val="auto"/>
          <w:sz w:val="20"/>
          <w:szCs w:val="20"/>
        </w:rPr>
      </w:pPr>
    </w:p>
    <w:p>
      <w:pPr>
        <w:spacing w:after="0" w:line="240" w:lineRule="exact"/>
        <w:ind w:left="800"/>
        <w:rPr>
          <w:color w:val="auto"/>
          <w:sz w:val="20"/>
          <w:szCs w:val="20"/>
        </w:rPr>
      </w:pPr>
      <w:r>
        <w:rPr>
          <w:rFonts w:ascii="仿宋" w:hAnsi="仿宋" w:eastAsia="仿宋" w:cs="仿宋"/>
          <w:color w:val="auto"/>
          <w:sz w:val="21"/>
          <w:szCs w:val="21"/>
        </w:rPr>
        <w:t>3.</w:t>
      </w:r>
      <w:r>
        <w:rPr>
          <w:rFonts w:ascii="宋体" w:hAnsi="宋体" w:eastAsia="宋体" w:cs="宋体"/>
          <w:color w:val="auto"/>
          <w:sz w:val="21"/>
          <w:szCs w:val="21"/>
        </w:rPr>
        <w:t>上年结转：是指预算单位以前年度的收入预算未执行完毕，需结转本年度按照原用途继</w:t>
      </w:r>
    </w:p>
    <w:p>
      <w:pPr>
        <w:spacing w:after="0" w:line="229"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续使用的结转资金，以及以前年度收支相抵后的盈余或亏损结余资金。</w:t>
      </w:r>
    </w:p>
    <w:p>
      <w:pPr>
        <w:spacing w:after="0" w:line="200" w:lineRule="exact"/>
        <w:rPr>
          <w:color w:val="auto"/>
          <w:sz w:val="20"/>
          <w:szCs w:val="20"/>
        </w:rPr>
      </w:pPr>
    </w:p>
    <w:p>
      <w:pPr>
        <w:spacing w:after="0" w:line="309" w:lineRule="exact"/>
        <w:rPr>
          <w:color w:val="auto"/>
          <w:sz w:val="20"/>
          <w:szCs w:val="20"/>
        </w:rPr>
      </w:pPr>
    </w:p>
    <w:p>
      <w:pPr>
        <w:spacing w:after="0" w:line="240" w:lineRule="exact"/>
        <w:ind w:left="800"/>
        <w:rPr>
          <w:color w:val="auto"/>
          <w:sz w:val="20"/>
          <w:szCs w:val="20"/>
        </w:rPr>
      </w:pPr>
      <w:r>
        <w:rPr>
          <w:rFonts w:ascii="仿宋" w:hAnsi="仿宋" w:eastAsia="仿宋" w:cs="仿宋"/>
          <w:color w:val="auto"/>
          <w:sz w:val="21"/>
          <w:szCs w:val="21"/>
        </w:rPr>
        <w:t>4.</w:t>
      </w:r>
      <w:r>
        <w:rPr>
          <w:rFonts w:ascii="宋体" w:hAnsi="宋体" w:eastAsia="宋体" w:cs="宋体"/>
          <w:color w:val="auto"/>
          <w:sz w:val="21"/>
          <w:szCs w:val="21"/>
        </w:rPr>
        <w:t>结转下年：是指预算单位本年底前的收入预算未执行完毕，需结转下年度按照原用途继</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续使用的结转资金，以及本年底前收支相抵后盈余或亏损的结余资金，其中包括当年事业单位按</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照国家规定，用于核算当年应交所得税和提取事业基金、专用基金的分配情况和结果。</w:t>
      </w:r>
    </w:p>
    <w:p>
      <w:pPr>
        <w:spacing w:after="0" w:line="200" w:lineRule="exact"/>
        <w:rPr>
          <w:color w:val="auto"/>
          <w:sz w:val="20"/>
          <w:szCs w:val="20"/>
        </w:rPr>
      </w:pPr>
    </w:p>
    <w:p>
      <w:pPr>
        <w:spacing w:after="0" w:line="309" w:lineRule="exact"/>
        <w:rPr>
          <w:color w:val="auto"/>
          <w:sz w:val="20"/>
          <w:szCs w:val="20"/>
        </w:rPr>
      </w:pPr>
    </w:p>
    <w:p>
      <w:pPr>
        <w:spacing w:after="0" w:line="240" w:lineRule="exact"/>
        <w:ind w:left="800"/>
        <w:rPr>
          <w:color w:val="auto"/>
          <w:sz w:val="20"/>
          <w:szCs w:val="20"/>
        </w:rPr>
      </w:pPr>
      <w:r>
        <w:rPr>
          <w:rFonts w:ascii="仿宋" w:hAnsi="仿宋" w:eastAsia="仿宋" w:cs="仿宋"/>
          <w:color w:val="auto"/>
          <w:sz w:val="21"/>
          <w:szCs w:val="21"/>
        </w:rPr>
        <w:t>5.</w:t>
      </w:r>
      <w:r>
        <w:rPr>
          <w:rFonts w:ascii="宋体" w:hAnsi="宋体" w:eastAsia="宋体" w:cs="宋体"/>
          <w:color w:val="auto"/>
          <w:sz w:val="21"/>
          <w:szCs w:val="21"/>
        </w:rPr>
        <w:t>基本支出：是预算单位为保障其正常运转，完成日常工作任务所发生的支出，包括人员</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支出和日常公用支出。</w:t>
      </w:r>
    </w:p>
    <w:p>
      <w:pPr>
        <w:spacing w:after="0" w:line="200" w:lineRule="exact"/>
        <w:rPr>
          <w:color w:val="auto"/>
          <w:sz w:val="20"/>
          <w:szCs w:val="20"/>
        </w:rPr>
      </w:pPr>
    </w:p>
    <w:p>
      <w:pPr>
        <w:spacing w:after="0" w:line="307" w:lineRule="exact"/>
        <w:rPr>
          <w:color w:val="auto"/>
          <w:sz w:val="20"/>
          <w:szCs w:val="20"/>
        </w:rPr>
      </w:pPr>
    </w:p>
    <w:p>
      <w:pPr>
        <w:spacing w:after="0" w:line="240" w:lineRule="exact"/>
        <w:ind w:left="800"/>
        <w:rPr>
          <w:color w:val="auto"/>
          <w:sz w:val="20"/>
          <w:szCs w:val="20"/>
        </w:rPr>
      </w:pPr>
      <w:r>
        <w:rPr>
          <w:rFonts w:ascii="仿宋" w:hAnsi="仿宋" w:eastAsia="仿宋" w:cs="仿宋"/>
          <w:color w:val="auto"/>
          <w:sz w:val="21"/>
          <w:szCs w:val="21"/>
        </w:rPr>
        <w:t>6.</w:t>
      </w:r>
      <w:r>
        <w:rPr>
          <w:rFonts w:ascii="宋体" w:hAnsi="宋体" w:eastAsia="宋体" w:cs="宋体"/>
          <w:color w:val="auto"/>
          <w:sz w:val="21"/>
          <w:szCs w:val="21"/>
        </w:rPr>
        <w:t>项目支出：是预算单位为完成其特定的行政工作任务或事业发展目标所发生的支出。</w:t>
      </w:r>
    </w:p>
    <w:p>
      <w:pPr>
        <w:spacing w:after="0" w:line="200" w:lineRule="exact"/>
        <w:rPr>
          <w:color w:val="auto"/>
          <w:sz w:val="20"/>
          <w:szCs w:val="20"/>
        </w:rPr>
      </w:pPr>
    </w:p>
    <w:p>
      <w:pPr>
        <w:spacing w:after="0" w:line="294" w:lineRule="exact"/>
        <w:rPr>
          <w:color w:val="auto"/>
          <w:sz w:val="20"/>
          <w:szCs w:val="20"/>
        </w:rPr>
      </w:pPr>
    </w:p>
    <w:p>
      <w:pPr>
        <w:spacing w:after="0" w:line="255" w:lineRule="exact"/>
        <w:ind w:left="800"/>
        <w:rPr>
          <w:color w:val="auto"/>
          <w:sz w:val="20"/>
          <w:szCs w:val="20"/>
        </w:rPr>
      </w:pPr>
      <w:r>
        <w:rPr>
          <w:rFonts w:ascii="仿宋" w:hAnsi="仿宋" w:eastAsia="仿宋" w:cs="仿宋"/>
          <w:color w:val="auto"/>
          <w:sz w:val="21"/>
          <w:szCs w:val="21"/>
        </w:rPr>
        <w:t>7.</w:t>
      </w:r>
      <w:r>
        <w:rPr>
          <w:rFonts w:ascii="Arial" w:hAnsi="Arial" w:eastAsia="Arial" w:cs="Arial"/>
          <w:color w:val="auto"/>
          <w:sz w:val="21"/>
          <w:szCs w:val="21"/>
        </w:rPr>
        <w:t>“</w:t>
      </w:r>
      <w:r>
        <w:rPr>
          <w:rFonts w:ascii="宋体" w:hAnsi="宋体" w:eastAsia="宋体" w:cs="宋体"/>
          <w:color w:val="auto"/>
          <w:sz w:val="21"/>
          <w:szCs w:val="21"/>
        </w:rPr>
        <w:t>三公</w:t>
      </w:r>
      <w:r>
        <w:rPr>
          <w:rFonts w:ascii="Arial" w:hAnsi="Arial" w:eastAsia="Arial" w:cs="Arial"/>
          <w:color w:val="auto"/>
          <w:sz w:val="21"/>
          <w:szCs w:val="21"/>
        </w:rPr>
        <w:t>”</w:t>
      </w:r>
      <w:r>
        <w:rPr>
          <w:rFonts w:ascii="宋体" w:hAnsi="宋体" w:eastAsia="宋体" w:cs="宋体"/>
          <w:color w:val="auto"/>
          <w:sz w:val="21"/>
          <w:szCs w:val="21"/>
        </w:rPr>
        <w:t>经费支出：是指因公出国（境）费、公务用车购置及运行维护费和公务接待费。</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因公出国（境）费包括出国（境）的旅费、国外城市间交通费、住宿费、伙食费、培训费和公杂</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费等；公务用车运行维护费包括单位按规定保留的公务用车租赁费、燃料费、维修费、过路过桥</w:t>
      </w:r>
    </w:p>
    <w:p>
      <w:pPr>
        <w:spacing w:after="0" w:line="228" w:lineRule="exact"/>
        <w:rPr>
          <w:color w:val="auto"/>
          <w:sz w:val="20"/>
          <w:szCs w:val="20"/>
        </w:rPr>
      </w:pPr>
    </w:p>
    <w:p>
      <w:pPr>
        <w:spacing w:after="0" w:line="240" w:lineRule="exact"/>
        <w:ind w:left="140"/>
        <w:rPr>
          <w:color w:val="auto"/>
          <w:sz w:val="20"/>
          <w:szCs w:val="20"/>
        </w:rPr>
      </w:pPr>
      <w:r>
        <w:rPr>
          <w:rFonts w:ascii="宋体" w:hAnsi="宋体" w:eastAsia="宋体" w:cs="宋体"/>
          <w:color w:val="auto"/>
          <w:sz w:val="21"/>
          <w:szCs w:val="21"/>
        </w:rPr>
        <w:t>费、保险费、安全奖励费用等支出。</w:t>
      </w:r>
    </w:p>
    <w:p>
      <w:pPr>
        <w:spacing w:after="0" w:line="200" w:lineRule="exact"/>
        <w:rPr>
          <w:color w:val="auto"/>
          <w:sz w:val="20"/>
          <w:szCs w:val="20"/>
        </w:rPr>
      </w:pPr>
    </w:p>
    <w:p>
      <w:pPr>
        <w:spacing w:after="0" w:line="264" w:lineRule="exact"/>
        <w:rPr>
          <w:color w:val="auto"/>
          <w:sz w:val="20"/>
          <w:szCs w:val="20"/>
        </w:rPr>
      </w:pPr>
    </w:p>
    <w:p>
      <w:pPr>
        <w:numPr>
          <w:ilvl w:val="0"/>
          <w:numId w:val="3"/>
        </w:numPr>
        <w:tabs>
          <w:tab w:val="left" w:pos="1098"/>
        </w:tabs>
        <w:spacing w:after="0" w:line="277" w:lineRule="exact"/>
        <w:ind w:left="140" w:right="120" w:firstLine="650"/>
        <w:jc w:val="both"/>
        <w:rPr>
          <w:rFonts w:ascii="仿宋" w:hAnsi="仿宋" w:eastAsia="仿宋" w:cs="仿宋"/>
          <w:color w:val="auto"/>
          <w:sz w:val="21"/>
          <w:szCs w:val="21"/>
        </w:rPr>
      </w:pPr>
      <w:r>
        <w:rPr>
          <w:rFonts w:ascii="宋体" w:hAnsi="宋体" w:eastAsia="宋体" w:cs="宋体"/>
          <w:color w:val="auto"/>
          <w:sz w:val="21"/>
          <w:szCs w:val="21"/>
        </w:rPr>
        <w:t>机关运行经费支出：是指各部门的公用经费</w:t>
      </w:r>
      <w:r>
        <w:rPr>
          <w:rFonts w:ascii="仿宋" w:hAnsi="仿宋" w:eastAsia="仿宋" w:cs="仿宋"/>
          <w:color w:val="auto"/>
          <w:sz w:val="21"/>
          <w:szCs w:val="21"/>
        </w:rPr>
        <w:t>,</w:t>
      </w:r>
      <w:r>
        <w:rPr>
          <w:rFonts w:ascii="宋体" w:hAnsi="宋体" w:eastAsia="宋体" w:cs="宋体"/>
          <w:color w:val="auto"/>
          <w:sz w:val="21"/>
          <w:szCs w:val="21"/>
        </w:rPr>
        <w:t>包括办公及印刷费、邮电费、差旅费、会议费、福利费、日常维修费、专用材料及一般设备购置费、办公用房水电费、办公用房取暖费、办公用房物业管理费、公务用车运行维护费及其他费用。</w:t>
      </w:r>
    </w:p>
    <w:p>
      <w:pPr>
        <w:sectPr>
          <w:pgSz w:w="11900" w:h="16838"/>
          <w:pgMar w:top="1440" w:right="1366" w:bottom="1440" w:left="1440" w:header="0" w:footer="0" w:gutter="0"/>
          <w:cols w:equalWidth="0" w:num="1">
            <w:col w:w="9100"/>
          </w:cols>
        </w:sectPr>
      </w:pPr>
    </w:p>
    <w:p>
      <w:pPr>
        <w:tabs>
          <w:tab w:val="left" w:pos="1098"/>
        </w:tabs>
        <w:spacing w:after="0" w:line="277" w:lineRule="exact"/>
        <w:jc w:val="both"/>
        <w:rPr>
          <w:color w:val="auto"/>
          <w:sz w:val="20"/>
          <w:szCs w:val="20"/>
        </w:rPr>
      </w:pPr>
      <w:bookmarkStart w:id="31" w:name="page42"/>
      <w:bookmarkEnd w:id="31"/>
      <w:r>
        <w:rPr>
          <w:color w:val="auto"/>
          <w:sz w:val="20"/>
          <w:szCs w:val="20"/>
        </w:rPr>
        <w:drawing>
          <wp:anchor distT="0" distB="0" distL="114300" distR="114300" simplePos="0" relativeHeight="251658240" behindDoc="1" locked="0" layoutInCell="0" allowOverlap="1">
            <wp:simplePos x="0" y="0"/>
            <wp:positionH relativeFrom="page">
              <wp:posOffset>17780</wp:posOffset>
            </wp:positionH>
            <wp:positionV relativeFrom="page">
              <wp:posOffset>0</wp:posOffset>
            </wp:positionV>
            <wp:extent cx="7542530" cy="10692130"/>
            <wp:effectExtent l="0" t="0" r="1270" b="635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7542530" cy="10692130"/>
                    </a:xfrm>
                    <a:prstGeom prst="rect">
                      <a:avLst/>
                    </a:prstGeom>
                    <a:noFill/>
                  </pic:spPr>
                </pic:pic>
              </a:graphicData>
            </a:graphic>
          </wp:anchor>
        </w:drawing>
      </w:r>
    </w:p>
    <w:sectPr>
      <w:pgSz w:w="11900" w:h="16838"/>
      <w:pgMar w:top="1440" w:right="1440" w:bottom="875" w:left="1440"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singleLevel"/>
    <w:tmpl w:val="00005F90"/>
    <w:lvl w:ilvl="0" w:tentative="0">
      <w:start w:val="8"/>
      <w:numFmt w:val="decimal"/>
      <w:lvlText w:val="%1."/>
      <w:lvlJc w:val="left"/>
    </w:lvl>
  </w:abstractNum>
  <w:abstractNum w:abstractNumId="1">
    <w:nsid w:val="00006952"/>
    <w:multiLevelType w:val="singleLevel"/>
    <w:tmpl w:val="00006952"/>
    <w:lvl w:ilvl="0" w:tentative="0">
      <w:start w:val="1"/>
      <w:numFmt w:val="bullet"/>
      <w:lvlText w:val="量"/>
      <w:lvlJc w:val="left"/>
    </w:lvl>
  </w:abstractNum>
  <w:abstractNum w:abstractNumId="2">
    <w:nsid w:val="340F3A41"/>
    <w:multiLevelType w:val="singleLevel"/>
    <w:tmpl w:val="340F3A41"/>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5585"/>
    <w:rsid w:val="32937D53"/>
    <w:rsid w:val="5D4B43CD"/>
    <w:rsid w:val="6C823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paragraph" w:styleId="2">
    <w:name w:val="heading 2"/>
    <w:basedOn w:val="1"/>
    <w:next w:val="1"/>
    <w:qFormat/>
    <w:uiPriority w:val="1"/>
    <w:pPr>
      <w:ind w:left="1967"/>
      <w:outlineLvl w:val="2"/>
    </w:pPr>
    <w:rPr>
      <w:rFonts w:ascii="楷体" w:hAnsi="楷体" w:eastAsia="楷体" w:cs="楷体"/>
      <w:b/>
      <w:bCs/>
      <w:sz w:val="32"/>
      <w:szCs w:val="3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2019-11-13T10:10:00Z</dcterms:created>
  <dc:creator>Windows User</dc:creator>
  <cp:lastModifiedBy>太子</cp:lastModifiedBy>
  <dcterms:modified xsi:type="dcterms:W3CDTF">2021-05-29T10:42:04Z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