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D4822">
      <w:pPr>
        <w:widowControl/>
        <w:jc w:val="center"/>
        <w:rPr>
          <w:rFonts w:asciiTheme="minorEastAsia" w:hAnsiTheme="minorEastAsia" w:eastAsiaTheme="minorEastAsia"/>
          <w:b/>
          <w:sz w:val="72"/>
          <w:szCs w:val="72"/>
        </w:rPr>
      </w:pPr>
      <w:r>
        <w:rPr>
          <w:rFonts w:hint="eastAsia" w:hAnsi="宋体" w:asciiTheme="minorEastAsia" w:eastAsiaTheme="minorEastAsia"/>
          <w:color w:val="002060"/>
          <w:sz w:val="72"/>
          <w:szCs w:val="72"/>
        </w:rPr>
        <w:drawing>
          <wp:anchor distT="0" distB="0" distL="114300" distR="114300" simplePos="0" relativeHeight="251659264" behindDoc="1" locked="0" layoutInCell="1" allowOverlap="1">
            <wp:simplePos x="0" y="0"/>
            <wp:positionH relativeFrom="column">
              <wp:posOffset>-1000125</wp:posOffset>
            </wp:positionH>
            <wp:positionV relativeFrom="paragraph">
              <wp:posOffset>-1355090</wp:posOffset>
            </wp:positionV>
            <wp:extent cx="7576820" cy="10796905"/>
            <wp:effectExtent l="0" t="0" r="5080" b="4445"/>
            <wp:wrapNone/>
            <wp:docPr id="7" name="图片 7" descr="wc 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wc ga"/>
                    <pic:cNvPicPr>
                      <a:picLocks noChangeAspect="1"/>
                    </pic:cNvPicPr>
                  </pic:nvPicPr>
                  <pic:blipFill>
                    <a:blip r:embed="rId6"/>
                    <a:stretch>
                      <a:fillRect/>
                    </a:stretch>
                  </pic:blipFill>
                  <pic:spPr>
                    <a:xfrm>
                      <a:off x="0" y="0"/>
                      <a:ext cx="7576820" cy="10796905"/>
                    </a:xfrm>
                    <a:prstGeom prst="rect">
                      <a:avLst/>
                    </a:prstGeom>
                  </pic:spPr>
                </pic:pic>
              </a:graphicData>
            </a:graphic>
          </wp:anchor>
        </w:drawing>
      </w:r>
    </w:p>
    <w:p w14:paraId="07E5072F">
      <w:pPr>
        <w:widowControl/>
        <w:jc w:val="center"/>
        <w:rPr>
          <w:rFonts w:hAnsi="宋体" w:asciiTheme="minorEastAsia" w:eastAsiaTheme="minorEastAsia"/>
          <w:color w:val="002060"/>
          <w:sz w:val="72"/>
          <w:szCs w:val="72"/>
        </w:rPr>
      </w:pPr>
      <w:r>
        <w:rPr>
          <w:sz w:val="72"/>
        </w:rPr>
        <w:pict>
          <v:shape id="_x0000_s2050" o:spid="_x0000_s2050" o:spt="202" type="#_x0000_t202" style="position:absolute;left:0pt;margin-left:-83.1pt;margin-top:43.25pt;height:166.25pt;width:596.2pt;z-index:251660288;mso-width-relative:page;mso-height-relative:page;" filled="f" stroked="f" coordsize="21600,21600" o:gfxdata="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DPDVNsAAAAMAQAADwAAAAAAAAABACAAAAAiAAAAZHJzL2Rvd25yZXYueG1sUEsB&#10;AhQAFAAAAAgAh07iQBU3WBcrAgAAJQQAAA4AAAAAAAAAAQAgAAAAKgEAAGRycy9lMm9Eb2MueG1s&#10;UEsFBgAAAAAGAAYAWQEAAMcFAAAAAA==&#10;">
            <v:path/>
            <v:fill on="f" focussize="0,0"/>
            <v:stroke on="f" weight="0.5pt" joinstyle="miter"/>
            <v:imagedata o:title=""/>
            <o:lock v:ext="edit"/>
            <v:textbox>
              <w:txbxContent>
                <w:p w14:paraId="65FCA096">
                  <w:pPr>
                    <w:widowControl/>
                    <w:spacing w:line="1200" w:lineRule="exact"/>
                    <w:jc w:val="center"/>
                    <w:rPr>
                      <w:rFonts w:hAnsi="宋体" w:asciiTheme="minorEastAsia" w:eastAsiaTheme="minorEastAsia"/>
                      <w:color w:val="FDEFBE"/>
                      <w:sz w:val="96"/>
                      <w:szCs w:val="96"/>
                    </w:rPr>
                  </w:pPr>
                  <w:r>
                    <w:rPr>
                      <w:rFonts w:hint="eastAsia" w:hAnsi="宋体" w:asciiTheme="minorEastAsia" w:eastAsiaTheme="minorEastAsia"/>
                      <w:color w:val="FDEFBE"/>
                      <w:sz w:val="96"/>
                      <w:szCs w:val="96"/>
                    </w:rPr>
                    <w:t xml:space="preserve">中共馆陶县粮画小镇委员会 </w:t>
                  </w:r>
                </w:p>
                <w:p w14:paraId="13B4EFDC">
                  <w:pPr>
                    <w:widowControl/>
                    <w:spacing w:line="1200" w:lineRule="exact"/>
                    <w:jc w:val="center"/>
                    <w:rPr>
                      <w:color w:val="FDEFBE"/>
                      <w:sz w:val="96"/>
                      <w:szCs w:val="96"/>
                    </w:rPr>
                  </w:pPr>
                  <w:r>
                    <w:rPr>
                      <w:rFonts w:hint="eastAsia" w:hAnsi="宋体" w:asciiTheme="minorEastAsia" w:eastAsiaTheme="minorEastAsia"/>
                      <w:color w:val="FDEFBE"/>
                      <w:sz w:val="96"/>
                      <w:szCs w:val="96"/>
                    </w:rPr>
                    <w:t>2018年度部门决算</w:t>
                  </w:r>
                </w:p>
                <w:p w14:paraId="6C0ADF04">
                  <w:pPr>
                    <w:rPr>
                      <w:color w:val="FDEFBE"/>
                      <w:sz w:val="96"/>
                      <w:szCs w:val="96"/>
                    </w:rPr>
                  </w:pPr>
                </w:p>
              </w:txbxContent>
            </v:textbox>
          </v:shape>
        </w:pict>
      </w:r>
    </w:p>
    <w:p w14:paraId="0DFB0797">
      <w:pPr>
        <w:widowControl/>
        <w:jc w:val="center"/>
        <w:rPr>
          <w:rFonts w:asciiTheme="minorEastAsia" w:hAnsiTheme="minorEastAsia" w:eastAsiaTheme="minorEastAsia"/>
          <w:b/>
          <w:sz w:val="72"/>
          <w:szCs w:val="72"/>
        </w:rPr>
      </w:pPr>
    </w:p>
    <w:p w14:paraId="4C3044A9">
      <w:pPr>
        <w:widowControl/>
        <w:jc w:val="center"/>
        <w:rPr>
          <w:rFonts w:asciiTheme="minorEastAsia" w:hAnsiTheme="minorEastAsia" w:eastAsiaTheme="minorEastAsia"/>
          <w:b/>
          <w:sz w:val="72"/>
          <w:szCs w:val="72"/>
        </w:rPr>
      </w:pPr>
    </w:p>
    <w:p w14:paraId="548E0DF6">
      <w:pPr>
        <w:widowControl/>
        <w:jc w:val="center"/>
        <w:rPr>
          <w:rFonts w:asciiTheme="minorEastAsia" w:hAnsiTheme="minorEastAsia" w:eastAsiaTheme="minorEastAsia"/>
          <w:b/>
          <w:sz w:val="72"/>
          <w:szCs w:val="72"/>
        </w:rPr>
      </w:pPr>
    </w:p>
    <w:p w14:paraId="75DB3039">
      <w:pPr>
        <w:widowControl/>
        <w:jc w:val="center"/>
        <w:rPr>
          <w:rFonts w:asciiTheme="minorEastAsia" w:hAnsiTheme="minorEastAsia" w:eastAsiaTheme="minorEastAsia"/>
          <w:b/>
          <w:sz w:val="72"/>
          <w:szCs w:val="72"/>
        </w:rPr>
      </w:pPr>
    </w:p>
    <w:p w14:paraId="15D748F4">
      <w:pPr>
        <w:widowControl/>
        <w:jc w:val="center"/>
        <w:rPr>
          <w:rFonts w:asciiTheme="minorEastAsia" w:hAnsiTheme="minorEastAsia" w:eastAsiaTheme="minorEastAsia"/>
          <w:b/>
          <w:sz w:val="72"/>
          <w:szCs w:val="72"/>
        </w:rPr>
      </w:pPr>
    </w:p>
    <w:p w14:paraId="450FAD96">
      <w:pPr>
        <w:widowControl/>
        <w:jc w:val="center"/>
        <w:rPr>
          <w:rFonts w:asciiTheme="minorEastAsia" w:hAnsiTheme="minorEastAsia" w:eastAsiaTheme="minorEastAsia"/>
          <w:b/>
          <w:sz w:val="72"/>
          <w:szCs w:val="72"/>
        </w:rPr>
      </w:pPr>
    </w:p>
    <w:p w14:paraId="13EB1AE1">
      <w:pPr>
        <w:widowControl/>
        <w:jc w:val="center"/>
        <w:rPr>
          <w:rFonts w:asciiTheme="minorEastAsia" w:hAnsiTheme="minorEastAsia" w:eastAsiaTheme="minorEastAsia"/>
          <w:b/>
          <w:sz w:val="72"/>
          <w:szCs w:val="72"/>
        </w:rPr>
      </w:pPr>
    </w:p>
    <w:p w14:paraId="48968D45">
      <w:pPr>
        <w:widowControl/>
        <w:jc w:val="center"/>
        <w:rPr>
          <w:rFonts w:asciiTheme="minorEastAsia" w:hAnsiTheme="minorEastAsia" w:eastAsiaTheme="minorEastAsia"/>
          <w:b/>
          <w:sz w:val="72"/>
          <w:szCs w:val="72"/>
        </w:rPr>
      </w:pPr>
    </w:p>
    <w:p w14:paraId="7C929F41">
      <w:pPr>
        <w:widowControl/>
        <w:jc w:val="center"/>
        <w:rPr>
          <w:rFonts w:ascii="楷体" w:hAnsi="楷体" w:eastAsia="楷体" w:cs="楷体"/>
          <w:b/>
          <w:sz w:val="40"/>
          <w:szCs w:val="40"/>
        </w:rPr>
      </w:pPr>
      <w:r>
        <w:rPr>
          <w:rFonts w:hint="eastAsia" w:ascii="楷体" w:hAnsi="楷体" w:eastAsia="楷体" w:cs="楷体"/>
          <w:b/>
          <w:sz w:val="40"/>
          <w:szCs w:val="40"/>
        </w:rPr>
        <w:t>（部门公章）</w:t>
      </w:r>
    </w:p>
    <w:p w14:paraId="61CA6C55">
      <w:pPr>
        <w:widowControl/>
        <w:jc w:val="center"/>
        <w:rPr>
          <w:rFonts w:ascii="楷体" w:hAnsi="楷体" w:eastAsia="楷体" w:cs="楷体"/>
          <w:b/>
          <w:sz w:val="40"/>
          <w:szCs w:val="40"/>
        </w:rPr>
        <w:sectPr>
          <w:pgSz w:w="11906" w:h="16838"/>
          <w:pgMar w:top="2098" w:right="1474" w:bottom="1985" w:left="1588" w:header="851" w:footer="992" w:gutter="0"/>
          <w:cols w:space="425" w:num="1"/>
          <w:docGrid w:type="lines" w:linePitch="312" w:charSpace="0"/>
        </w:sectPr>
      </w:pPr>
      <w:r>
        <w:rPr>
          <w:rFonts w:hint="eastAsia" w:ascii="楷体" w:hAnsi="楷体" w:eastAsia="楷体" w:cs="楷体"/>
          <w:b/>
          <w:sz w:val="40"/>
          <w:szCs w:val="40"/>
        </w:rPr>
        <w:t>二〇一九年十</w:t>
      </w:r>
      <w:r>
        <w:rPr>
          <w:rFonts w:hint="eastAsia" w:ascii="楷体" w:hAnsi="楷体" w:eastAsia="楷体" w:cs="楷体"/>
          <w:b/>
          <w:sz w:val="40"/>
          <w:szCs w:val="40"/>
          <w:lang w:val="en-US" w:eastAsia="zh-CN"/>
        </w:rPr>
        <w:t>二</w:t>
      </w:r>
      <w:r>
        <w:rPr>
          <w:rFonts w:hint="eastAsia" w:ascii="楷体" w:hAnsi="楷体" w:eastAsia="楷体" w:cs="楷体"/>
          <w:b/>
          <w:sz w:val="40"/>
          <w:szCs w:val="40"/>
        </w:rPr>
        <w:t>月</w:t>
      </w:r>
    </w:p>
    <w:p w14:paraId="237C1D9D">
      <w:pPr>
        <w:spacing w:beforeLines="200" w:after="0" w:line="1000" w:lineRule="exact"/>
        <w:jc w:val="center"/>
        <w:rPr>
          <w:rFonts w:ascii="黑体" w:eastAsia="黑体"/>
          <w:sz w:val="48"/>
          <w:szCs w:val="48"/>
        </w:rPr>
      </w:pPr>
      <w:r>
        <w:rPr>
          <w:sz w:val="48"/>
          <w:szCs w:val="28"/>
        </w:rPr>
        <w:pict>
          <v:group id="_x0000_s2070" o:spid="_x0000_s2070" o:spt="203" style="position:absolute;left:0pt;margin-left:-80.8pt;margin-top:39.95pt;height:46.7pt;width:250.05pt;mso-position-vertical-relative:page;z-index:251673600;mso-width-relative:page;mso-height-relative:page;" coordorigin="4551,52615" coordsize="8546,1398203" o:allowoverlap="f" o:gfxdata="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2DzDVNsAAAALAQAADwAAAAAAAAAB&#10;ACAAAAAiAAAAZHJzL2Rvd25yZXYueG1sUEsBAhQAFAAAAAgAh07iQAA8qI8qAwAA8ggAAA4AAAAA&#10;AAAAAQAgAAAAKgEAAGRycy9lMm9Eb2MueG1sUEsFBgAAAAAGAAYAWQEAAMYGAAAAAA==&#10;">
            <o:lock v:ext="edit"/>
            <v:rect id="矩形 13" o:spid="_x0000_s2071" o:spt="1" style="position:absolute;left:4551;top:52615;height:1175;width:8546;v-text-anchor:middle;" fillcolor="#D9D9D9" filled="t" stroked="f" coordsize="21600,21600" o:gfxdata="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dhqAa/&#10;AAAA3AAAAA8AAAAAAAAAAQAgAAAAIgAAAGRycy9kb3ducmV2LnhtbFBLAQIUABQAAAAIAIdO4kAz&#10;LwWeOwAAADkAAAAQAAAAAAAAAAEAIAAAAA4BAABkcnMvc2hhcGV4bWwueG1sUEsFBgAAAAAGAAYA&#10;WwEAALgDAAAAAA==&#10;">
              <v:path/>
              <v:fill on="t" focussize="0,0"/>
              <v:stroke on="f" weight="2pt"/>
              <v:imagedata o:title=""/>
              <o:lock v:ext="edit"/>
            </v:rect>
            <v:rect id="矩形 14" o:spid="_x0000_s2072" o:spt="1" style="position:absolute;left:4577;top:52890;height:1123;width:8324;v-text-anchor:middle;" fillcolor="#AD002D" filled="t" stroked="t" coordsize="21600,21600" o:gfxdata="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JfCbsAAADc&#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14:paraId="28674A72">
                    <w:pPr>
                      <w:widowControl/>
                      <w:jc w:val="left"/>
                      <w:rPr>
                        <w:rFonts w:ascii="楷体" w:hAnsi="楷体" w:eastAsia="楷体" w:cs="楷体"/>
                        <w:b/>
                        <w:bCs/>
                        <w:color w:val="FDEFBE"/>
                        <w:sz w:val="36"/>
                        <w:szCs w:val="36"/>
                      </w:rPr>
                    </w:pPr>
                    <w:r>
                      <w:rPr>
                        <w:rFonts w:hint="eastAsia" w:ascii="楷体" w:hAnsi="楷体" w:eastAsia="楷体" w:cs="楷体"/>
                        <w:b/>
                        <w:bCs/>
                        <w:color w:val="FDEFBE"/>
                        <w:kern w:val="0"/>
                        <w:sz w:val="36"/>
                        <w:szCs w:val="36"/>
                      </w:rPr>
                      <w:t>2018年度部门决算☞目 录</w:t>
                    </w:r>
                  </w:p>
                  <w:p w14:paraId="2A3F62AA">
                    <w:pPr>
                      <w:jc w:val="center"/>
                    </w:pPr>
                  </w:p>
                </w:txbxContent>
              </v:textbox>
            </v:rect>
            <w10:anchorlock/>
          </v:group>
        </w:pict>
      </w:r>
      <w:r>
        <w:rPr>
          <w:rFonts w:hint="eastAsia" w:ascii="黑体" w:eastAsia="黑体"/>
          <w:sz w:val="48"/>
          <w:szCs w:val="48"/>
        </w:rPr>
        <w:t>目    录</w:t>
      </w:r>
    </w:p>
    <w:p w14:paraId="731ACBB1">
      <w:pPr>
        <w:widowControl/>
        <w:spacing w:line="580" w:lineRule="exact"/>
        <w:ind w:firstLine="640" w:firstLineChars="200"/>
        <w:rPr>
          <w:rFonts w:eastAsia="黑体"/>
          <w:sz w:val="32"/>
          <w:szCs w:val="32"/>
        </w:rPr>
      </w:pPr>
    </w:p>
    <w:p w14:paraId="77BB353B">
      <w:pPr>
        <w:widowControl/>
        <w:spacing w:line="580" w:lineRule="exact"/>
        <w:ind w:firstLine="640" w:firstLineChars="200"/>
        <w:rPr>
          <w:rFonts w:eastAsia="仿宋_GB2312"/>
          <w:sz w:val="24"/>
          <w:szCs w:val="32"/>
        </w:rPr>
      </w:pPr>
      <w:r>
        <w:rPr>
          <w:rFonts w:eastAsia="黑体"/>
          <w:sz w:val="32"/>
          <w:szCs w:val="32"/>
        </w:rPr>
        <w:t>第一部分   部门概况</w:t>
      </w:r>
    </w:p>
    <w:p w14:paraId="5F312502">
      <w:pPr>
        <w:widowControl/>
        <w:spacing w:line="580" w:lineRule="exact"/>
        <w:ind w:firstLine="1273" w:firstLineChars="398"/>
        <w:rPr>
          <w:rFonts w:eastAsia="仿宋_GB2312"/>
          <w:sz w:val="32"/>
          <w:szCs w:val="32"/>
        </w:rPr>
      </w:pPr>
      <w:r>
        <w:rPr>
          <w:rFonts w:eastAsia="仿宋_GB2312"/>
          <w:sz w:val="32"/>
          <w:szCs w:val="32"/>
        </w:rPr>
        <w:t>一、部门</w:t>
      </w:r>
      <w:r>
        <w:rPr>
          <w:rFonts w:hint="eastAsia" w:eastAsia="仿宋_GB2312"/>
          <w:sz w:val="32"/>
          <w:szCs w:val="32"/>
        </w:rPr>
        <w:t>职责</w:t>
      </w:r>
    </w:p>
    <w:p w14:paraId="7213E541">
      <w:pPr>
        <w:widowControl/>
        <w:spacing w:line="580" w:lineRule="exact"/>
        <w:ind w:firstLine="1273" w:firstLineChars="398"/>
        <w:rPr>
          <w:rFonts w:eastAsia="仿宋_GB2312"/>
          <w:sz w:val="32"/>
          <w:szCs w:val="32"/>
        </w:rPr>
      </w:pPr>
      <w:r>
        <w:rPr>
          <w:rFonts w:eastAsia="仿宋_GB2312"/>
          <w:sz w:val="32"/>
          <w:szCs w:val="32"/>
        </w:rPr>
        <w:t>二、</w:t>
      </w:r>
      <w:r>
        <w:rPr>
          <w:rFonts w:hint="eastAsia" w:eastAsia="仿宋_GB2312"/>
          <w:sz w:val="32"/>
          <w:szCs w:val="32"/>
        </w:rPr>
        <w:t>机构设置</w:t>
      </w:r>
    </w:p>
    <w:p w14:paraId="7325F8EF">
      <w:pPr>
        <w:widowControl/>
        <w:spacing w:line="580" w:lineRule="exact"/>
        <w:ind w:firstLine="640" w:firstLineChars="200"/>
        <w:rPr>
          <w:rFonts w:eastAsia="仿宋_GB2312"/>
          <w:sz w:val="20"/>
          <w:szCs w:val="32"/>
        </w:rPr>
      </w:pPr>
      <w:r>
        <w:rPr>
          <w:rFonts w:eastAsia="黑体"/>
          <w:sz w:val="32"/>
          <w:szCs w:val="32"/>
        </w:rPr>
        <w:t>第二部分   201</w:t>
      </w:r>
      <w:r>
        <w:rPr>
          <w:rFonts w:hint="eastAsia" w:eastAsia="黑体"/>
          <w:sz w:val="32"/>
          <w:szCs w:val="32"/>
        </w:rPr>
        <w:t>8</w:t>
      </w:r>
      <w:r>
        <w:rPr>
          <w:rFonts w:eastAsia="黑体"/>
          <w:sz w:val="32"/>
          <w:szCs w:val="32"/>
        </w:rPr>
        <w:t>年度部门决算报表</w:t>
      </w:r>
    </w:p>
    <w:p w14:paraId="454AC9BA">
      <w:pPr>
        <w:widowControl/>
        <w:spacing w:line="580" w:lineRule="exact"/>
        <w:ind w:left="640" w:firstLine="640" w:firstLineChars="200"/>
        <w:rPr>
          <w:rFonts w:eastAsia="仿宋_GB2312"/>
          <w:sz w:val="32"/>
          <w:szCs w:val="32"/>
        </w:rPr>
      </w:pPr>
      <w:r>
        <w:rPr>
          <w:rFonts w:eastAsia="仿宋_GB2312"/>
          <w:sz w:val="32"/>
          <w:szCs w:val="32"/>
        </w:rPr>
        <w:t>一、收入支出决算总表</w:t>
      </w:r>
    </w:p>
    <w:p w14:paraId="285FEFDC">
      <w:pPr>
        <w:widowControl/>
        <w:spacing w:line="580" w:lineRule="exact"/>
        <w:ind w:left="640" w:firstLine="640" w:firstLineChars="200"/>
        <w:rPr>
          <w:rFonts w:eastAsia="仿宋_GB2312"/>
          <w:sz w:val="32"/>
          <w:szCs w:val="32"/>
        </w:rPr>
      </w:pPr>
      <w:r>
        <w:rPr>
          <w:rFonts w:eastAsia="仿宋_GB2312"/>
          <w:sz w:val="32"/>
          <w:szCs w:val="32"/>
        </w:rPr>
        <w:t>二、收入决算表</w:t>
      </w:r>
    </w:p>
    <w:p w14:paraId="771C0C3E">
      <w:pPr>
        <w:widowControl/>
        <w:spacing w:line="580" w:lineRule="exact"/>
        <w:ind w:left="640" w:firstLine="640" w:firstLineChars="200"/>
        <w:rPr>
          <w:rFonts w:eastAsia="仿宋_GB2312"/>
          <w:sz w:val="32"/>
          <w:szCs w:val="32"/>
        </w:rPr>
      </w:pPr>
      <w:r>
        <w:rPr>
          <w:rFonts w:eastAsia="仿宋_GB2312"/>
          <w:sz w:val="32"/>
          <w:szCs w:val="32"/>
        </w:rPr>
        <w:t>三、支出决算表</w:t>
      </w:r>
    </w:p>
    <w:p w14:paraId="6D5F411F">
      <w:pPr>
        <w:widowControl/>
        <w:spacing w:line="580" w:lineRule="exact"/>
        <w:ind w:left="640" w:firstLine="640" w:firstLineChars="200"/>
        <w:rPr>
          <w:rFonts w:eastAsia="仿宋_GB2312"/>
          <w:sz w:val="32"/>
          <w:szCs w:val="32"/>
        </w:rPr>
      </w:pPr>
      <w:r>
        <w:rPr>
          <w:rFonts w:eastAsia="仿宋_GB2312"/>
          <w:sz w:val="32"/>
          <w:szCs w:val="32"/>
        </w:rPr>
        <w:t>四、财政拨款收入支出决算总表</w:t>
      </w:r>
    </w:p>
    <w:p w14:paraId="6C800BDA">
      <w:pPr>
        <w:widowControl/>
        <w:spacing w:line="580" w:lineRule="exact"/>
        <w:ind w:left="640" w:firstLine="640" w:firstLineChars="200"/>
        <w:rPr>
          <w:rFonts w:eastAsia="仿宋_GB2312"/>
          <w:sz w:val="32"/>
          <w:szCs w:val="32"/>
        </w:rPr>
      </w:pPr>
      <w:r>
        <w:rPr>
          <w:rFonts w:eastAsia="仿宋_GB2312"/>
          <w:sz w:val="32"/>
          <w:szCs w:val="32"/>
        </w:rPr>
        <w:t>五、一般公共预算财政拨款支出决算表</w:t>
      </w:r>
    </w:p>
    <w:p w14:paraId="5179B441">
      <w:pPr>
        <w:widowControl/>
        <w:spacing w:line="580" w:lineRule="exact"/>
        <w:ind w:left="640" w:firstLine="640" w:firstLineChars="200"/>
        <w:rPr>
          <w:rFonts w:eastAsia="仿宋_GB2312"/>
          <w:sz w:val="32"/>
          <w:szCs w:val="32"/>
        </w:rPr>
      </w:pPr>
      <w:r>
        <w:rPr>
          <w:rFonts w:eastAsia="仿宋_GB2312"/>
          <w:sz w:val="32"/>
          <w:szCs w:val="32"/>
        </w:rPr>
        <w:t>六、一般公共预算财政拨款基本支出决算表</w:t>
      </w:r>
    </w:p>
    <w:p w14:paraId="63C12CF5">
      <w:pPr>
        <w:widowControl/>
        <w:spacing w:line="580" w:lineRule="exact"/>
        <w:ind w:left="640" w:firstLine="640" w:firstLineChars="200"/>
        <w:rPr>
          <w:rFonts w:eastAsia="仿宋_GB2312"/>
          <w:sz w:val="32"/>
          <w:szCs w:val="32"/>
        </w:rPr>
      </w:pPr>
      <w:r>
        <w:rPr>
          <w:rFonts w:eastAsia="仿宋_GB2312"/>
          <w:sz w:val="32"/>
          <w:szCs w:val="32"/>
        </w:rPr>
        <w:t>七、</w:t>
      </w:r>
      <w:r>
        <w:rPr>
          <w:rFonts w:hint="eastAsia" w:eastAsia="仿宋_GB2312"/>
          <w:sz w:val="32"/>
          <w:szCs w:val="32"/>
        </w:rPr>
        <w:t>一般公共预算财政拨款</w:t>
      </w:r>
      <w:r>
        <w:rPr>
          <w:rFonts w:eastAsia="仿宋_GB2312"/>
          <w:sz w:val="32"/>
          <w:szCs w:val="32"/>
        </w:rPr>
        <w:t>“三公”经费</w:t>
      </w:r>
      <w:r>
        <w:rPr>
          <w:rFonts w:hint="eastAsia" w:eastAsia="仿宋_GB2312"/>
          <w:sz w:val="32"/>
          <w:szCs w:val="32"/>
        </w:rPr>
        <w:t>支出决算表</w:t>
      </w:r>
    </w:p>
    <w:p w14:paraId="5D0C4726">
      <w:pPr>
        <w:widowControl/>
        <w:spacing w:line="580" w:lineRule="exact"/>
        <w:ind w:left="640" w:firstLine="640" w:firstLineChars="200"/>
        <w:rPr>
          <w:rFonts w:eastAsia="仿宋_GB2312"/>
          <w:sz w:val="32"/>
          <w:szCs w:val="32"/>
        </w:rPr>
      </w:pPr>
      <w:r>
        <w:rPr>
          <w:rFonts w:hint="eastAsia" w:eastAsia="仿宋_GB2312"/>
          <w:sz w:val="32"/>
          <w:szCs w:val="32"/>
        </w:rPr>
        <w:t>八、</w:t>
      </w:r>
      <w:r>
        <w:rPr>
          <w:rFonts w:eastAsia="仿宋_GB2312"/>
          <w:sz w:val="32"/>
          <w:szCs w:val="32"/>
        </w:rPr>
        <w:t>政府性基金预算财政拨款收入支出决算表</w:t>
      </w:r>
    </w:p>
    <w:p w14:paraId="0A07B6FF">
      <w:pPr>
        <w:widowControl/>
        <w:spacing w:line="580" w:lineRule="exact"/>
        <w:ind w:left="640" w:firstLine="640" w:firstLineChars="200"/>
        <w:rPr>
          <w:rFonts w:eastAsia="仿宋_GB2312"/>
          <w:sz w:val="32"/>
          <w:szCs w:val="32"/>
        </w:rPr>
      </w:pPr>
      <w:r>
        <w:rPr>
          <w:rFonts w:hint="eastAsia" w:eastAsia="仿宋_GB2312"/>
          <w:sz w:val="32"/>
          <w:szCs w:val="32"/>
        </w:rPr>
        <w:t>九</w:t>
      </w:r>
      <w:r>
        <w:rPr>
          <w:rFonts w:eastAsia="仿宋_GB2312"/>
          <w:sz w:val="32"/>
          <w:szCs w:val="32"/>
        </w:rPr>
        <w:t>、国有资本经营预算</w:t>
      </w:r>
      <w:r>
        <w:rPr>
          <w:rFonts w:hint="eastAsia" w:eastAsia="仿宋_GB2312"/>
          <w:sz w:val="32"/>
          <w:szCs w:val="32"/>
        </w:rPr>
        <w:t>财政拨款</w:t>
      </w:r>
      <w:r>
        <w:rPr>
          <w:rFonts w:eastAsia="仿宋_GB2312"/>
          <w:sz w:val="32"/>
          <w:szCs w:val="32"/>
        </w:rPr>
        <w:t>支出决算表</w:t>
      </w:r>
    </w:p>
    <w:p w14:paraId="1D58B726">
      <w:pPr>
        <w:widowControl/>
        <w:spacing w:line="580" w:lineRule="exact"/>
        <w:ind w:left="640" w:firstLine="640" w:firstLineChars="200"/>
        <w:rPr>
          <w:rFonts w:eastAsia="仿宋_GB2312"/>
          <w:sz w:val="32"/>
          <w:szCs w:val="32"/>
        </w:rPr>
      </w:pPr>
      <w:r>
        <w:rPr>
          <w:rFonts w:hint="eastAsia" w:eastAsia="仿宋_GB2312"/>
          <w:sz w:val="32"/>
          <w:szCs w:val="32"/>
        </w:rPr>
        <w:t>十</w:t>
      </w:r>
      <w:r>
        <w:rPr>
          <w:rFonts w:eastAsia="仿宋_GB2312"/>
          <w:sz w:val="32"/>
          <w:szCs w:val="32"/>
        </w:rPr>
        <w:t>、政府采购情况表</w:t>
      </w:r>
    </w:p>
    <w:p w14:paraId="1A11B29D">
      <w:pPr>
        <w:widowControl/>
        <w:spacing w:line="580" w:lineRule="exact"/>
        <w:ind w:firstLine="640" w:firstLineChars="200"/>
        <w:rPr>
          <w:rFonts w:eastAsia="黑体"/>
          <w:sz w:val="32"/>
          <w:szCs w:val="32"/>
        </w:rPr>
      </w:pPr>
    </w:p>
    <w:p w14:paraId="5EBACF32">
      <w:pPr>
        <w:widowControl/>
        <w:spacing w:line="580" w:lineRule="exact"/>
        <w:ind w:firstLine="640" w:firstLineChars="200"/>
        <w:rPr>
          <w:rFonts w:eastAsia="黑体"/>
          <w:sz w:val="32"/>
          <w:szCs w:val="32"/>
        </w:rPr>
      </w:pPr>
      <w:r>
        <w:rPr>
          <w:rFonts w:eastAsia="黑体"/>
          <w:sz w:val="32"/>
          <w:szCs w:val="32"/>
        </w:rPr>
        <w:t xml:space="preserve">第三部分 </w:t>
      </w:r>
      <w:r>
        <w:rPr>
          <w:rFonts w:hint="eastAsia" w:eastAsia="黑体"/>
          <w:sz w:val="32"/>
          <w:szCs w:val="32"/>
        </w:rPr>
        <w:t xml:space="preserve">粮画小镇 </w:t>
      </w:r>
      <w:r>
        <w:rPr>
          <w:rFonts w:eastAsia="黑体"/>
          <w:sz w:val="32"/>
          <w:szCs w:val="32"/>
        </w:rPr>
        <w:t>部门201</w:t>
      </w:r>
      <w:r>
        <w:rPr>
          <w:rFonts w:hint="eastAsia" w:eastAsia="黑体"/>
          <w:sz w:val="32"/>
          <w:szCs w:val="32"/>
        </w:rPr>
        <w:t>8</w:t>
      </w:r>
      <w:r>
        <w:rPr>
          <w:rFonts w:eastAsia="黑体"/>
          <w:sz w:val="32"/>
          <w:szCs w:val="32"/>
        </w:rPr>
        <w:t>年部门决算情况说明</w:t>
      </w:r>
      <w:r>
        <w:rPr>
          <w:sz w:val="44"/>
        </w:rPr>
        <w:pict>
          <v:group id="_x0000_s2067" o:spid="_x0000_s2067" o:spt="203" style="position:absolute;left:0pt;margin-left:-80.8pt;margin-top:38.95pt;height:46.7pt;width:222.8pt;mso-position-vertical-relative:page;z-index:251672576;mso-width-relative:page;mso-height-relative:page;" coordorigin="4551,52615" coordsize="8546,1398203" o:gfxdata="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DezVw+2wAAAAsBAAAPAAAAAAAA&#10;AAEAIAAAACIAAABkcnMvZG93bnJldi54bWxQSwECFAAUAAAACACHTuJAnJDC1CwDAADyCAAADgAA&#10;AAAAAAABACAAAAAqAQAAZHJzL2Uyb0RvYy54bWxQSwUGAAAAAAYABgBZAQAAyAYAAAAA&#10;">
            <o:lock v:ext="edit"/>
            <v:rect id="矩形 13" o:spid="_x0000_s2068" o:spt="1" style="position:absolute;left:4551;top:52615;height:1175;width:8546;v-text-anchor:middle;" fillcolor="#D9D9D9" filled="t" stroked="f" coordsize="21600,21600" o:gfxdata="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V1AVbsAAADc&#10;AAAADwAAAAAAAAABACAAAAAiAAAAZHJzL2Rvd25yZXYueG1sUEsBAhQAFAAAAAgAh07iQDMvBZ47&#10;AAAAOQAAABAAAAAAAAAAAQAgAAAACgEAAGRycy9zaGFwZXhtbC54bWxQSwUGAAAAAAYABgBbAQAA&#10;tAMAAAAA&#10;">
              <v:path/>
              <v:fill on="t" focussize="0,0"/>
              <v:stroke on="f" weight="2pt"/>
              <v:imagedata o:title=""/>
              <o:lock v:ext="edit"/>
            </v:rect>
            <v:rect id="矩形 14" o:spid="_x0000_s2069" o:spt="1" style="position:absolute;left:4577;top:52890;height:1123;width:8324;v-text-anchor:middle;" fillcolor="#AD002D" filled="t" stroked="t" coordsize="21600,21600" o:gfxdata="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vYazvQAA&#10;ANwAAAAPAAAAAAAAAAEAIAAAACIAAABkcnMvZG93bnJldi54bWxQSwECFAAUAAAACACHTuJAMy8F&#10;njsAAAA5AAAAEAAAAAAAAAABACAAAAAMAQAAZHJzL3NoYXBleG1sLnhtbFBLBQYAAAAABgAGAFsB&#10;AAC2AwAAAAA=&#10;">
              <v:path/>
              <v:fill on="t" focussize="0,0"/>
              <v:stroke weight="2pt" color="#B0761F" joinstyle="round"/>
              <v:imagedata o:title=""/>
              <o:lock v:ext="edit"/>
              <v:textbox>
                <w:txbxContent>
                  <w:p w14:paraId="1648F5F9">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2018年度部门决算☞目 录</w:t>
                    </w:r>
                  </w:p>
                  <w:p w14:paraId="2D4CA285">
                    <w:pPr>
                      <w:jc w:val="center"/>
                    </w:pPr>
                  </w:p>
                </w:txbxContent>
              </v:textbox>
            </v:rect>
            <w10:anchorlock/>
          </v:group>
        </w:pict>
      </w:r>
    </w:p>
    <w:p w14:paraId="4232853E">
      <w:pPr>
        <w:widowControl/>
        <w:spacing w:line="580" w:lineRule="exact"/>
        <w:ind w:left="640" w:firstLine="640" w:firstLineChars="200"/>
        <w:rPr>
          <w:rFonts w:eastAsia="仿宋_GB2312"/>
          <w:sz w:val="32"/>
          <w:szCs w:val="32"/>
        </w:rPr>
      </w:pPr>
      <w:r>
        <w:rPr>
          <w:rFonts w:eastAsia="仿宋_GB2312"/>
          <w:sz w:val="32"/>
          <w:szCs w:val="32"/>
        </w:rPr>
        <w:t>一、收入支出决算总体情况说明</w:t>
      </w:r>
    </w:p>
    <w:p w14:paraId="2EAE2984">
      <w:pPr>
        <w:widowControl/>
        <w:spacing w:line="580" w:lineRule="exact"/>
        <w:ind w:left="640" w:firstLine="640" w:firstLineChars="200"/>
        <w:rPr>
          <w:rFonts w:eastAsia="仿宋_GB2312"/>
          <w:sz w:val="32"/>
          <w:szCs w:val="32"/>
        </w:rPr>
      </w:pPr>
      <w:r>
        <w:rPr>
          <w:rFonts w:eastAsia="仿宋_GB2312"/>
          <w:sz w:val="32"/>
          <w:szCs w:val="32"/>
        </w:rPr>
        <w:t>二、收入决算情况说明</w:t>
      </w:r>
    </w:p>
    <w:p w14:paraId="5B9303E0">
      <w:pPr>
        <w:widowControl/>
        <w:spacing w:line="580" w:lineRule="exact"/>
        <w:ind w:left="640" w:firstLine="640" w:firstLineChars="200"/>
        <w:rPr>
          <w:rFonts w:eastAsia="仿宋_GB2312"/>
          <w:sz w:val="32"/>
          <w:szCs w:val="32"/>
        </w:rPr>
      </w:pPr>
      <w:r>
        <w:rPr>
          <w:rFonts w:eastAsia="仿宋_GB2312"/>
          <w:sz w:val="32"/>
          <w:szCs w:val="32"/>
        </w:rPr>
        <w:t>三、支出决算情况说明</w:t>
      </w:r>
    </w:p>
    <w:p w14:paraId="4557E6AA">
      <w:pPr>
        <w:widowControl/>
        <w:spacing w:line="580" w:lineRule="exact"/>
        <w:ind w:left="640" w:firstLine="640" w:firstLineChars="200"/>
        <w:rPr>
          <w:rFonts w:eastAsia="仿宋_GB2312"/>
          <w:sz w:val="32"/>
          <w:szCs w:val="32"/>
        </w:rPr>
      </w:pPr>
      <w:r>
        <w:rPr>
          <w:rFonts w:eastAsia="仿宋_GB2312"/>
          <w:sz w:val="32"/>
          <w:szCs w:val="32"/>
        </w:rPr>
        <w:t>四、财政拨款收入支出决算情况说明</w:t>
      </w:r>
    </w:p>
    <w:p w14:paraId="1FF900BD">
      <w:pPr>
        <w:widowControl/>
        <w:spacing w:line="580" w:lineRule="exact"/>
        <w:ind w:left="640" w:firstLine="640" w:firstLineChars="200"/>
        <w:rPr>
          <w:rFonts w:eastAsia="仿宋_GB2312"/>
          <w:sz w:val="32"/>
          <w:szCs w:val="32"/>
        </w:rPr>
      </w:pPr>
      <w:r>
        <w:rPr>
          <w:rFonts w:hint="eastAsia" w:eastAsia="仿宋_GB2312"/>
          <w:sz w:val="32"/>
          <w:szCs w:val="32"/>
        </w:rPr>
        <w:t>五、一般公共预算财政拨款</w:t>
      </w:r>
      <w:r>
        <w:rPr>
          <w:rFonts w:eastAsia="仿宋_GB2312"/>
          <w:sz w:val="32"/>
          <w:szCs w:val="32"/>
        </w:rPr>
        <w:t>“三公”经费支出决算情况说明</w:t>
      </w:r>
    </w:p>
    <w:p w14:paraId="3D3EE5B9">
      <w:pPr>
        <w:widowControl/>
        <w:spacing w:line="580" w:lineRule="exact"/>
        <w:ind w:left="640" w:firstLine="640" w:firstLineChars="200"/>
        <w:rPr>
          <w:rFonts w:eastAsia="仿宋_GB2312"/>
          <w:sz w:val="32"/>
          <w:szCs w:val="32"/>
        </w:rPr>
      </w:pPr>
      <w:r>
        <w:rPr>
          <w:rFonts w:hint="eastAsia" w:eastAsia="仿宋_GB2312"/>
          <w:sz w:val="32"/>
          <w:szCs w:val="32"/>
        </w:rPr>
        <w:t>六</w:t>
      </w:r>
      <w:r>
        <w:rPr>
          <w:rFonts w:eastAsia="仿宋_GB2312"/>
          <w:sz w:val="32"/>
          <w:szCs w:val="32"/>
        </w:rPr>
        <w:t>、预算绩效情况说明</w:t>
      </w:r>
    </w:p>
    <w:p w14:paraId="0CD2B222">
      <w:pPr>
        <w:widowControl/>
        <w:spacing w:line="580" w:lineRule="exact"/>
        <w:ind w:left="640" w:firstLine="640" w:firstLineChars="200"/>
        <w:rPr>
          <w:rFonts w:eastAsia="仿宋_GB2312"/>
          <w:sz w:val="32"/>
          <w:szCs w:val="32"/>
        </w:rPr>
      </w:pPr>
      <w:r>
        <w:rPr>
          <w:rFonts w:hint="eastAsia" w:eastAsia="仿宋_GB2312"/>
          <w:sz w:val="32"/>
          <w:szCs w:val="32"/>
        </w:rPr>
        <w:t>七</w:t>
      </w:r>
      <w:r>
        <w:rPr>
          <w:rFonts w:eastAsia="仿宋_GB2312"/>
          <w:sz w:val="32"/>
          <w:szCs w:val="32"/>
        </w:rPr>
        <w:t>、其他重要事项的说明</w:t>
      </w:r>
    </w:p>
    <w:p w14:paraId="27BE3CC8">
      <w:pPr>
        <w:widowControl/>
        <w:spacing w:line="580" w:lineRule="exact"/>
        <w:ind w:firstLine="640" w:firstLineChars="200"/>
        <w:rPr>
          <w:rFonts w:eastAsia="黑体"/>
          <w:sz w:val="32"/>
          <w:szCs w:val="32"/>
        </w:rPr>
      </w:pPr>
      <w:r>
        <w:rPr>
          <w:rFonts w:eastAsia="黑体"/>
          <w:sz w:val="32"/>
          <w:szCs w:val="32"/>
        </w:rPr>
        <w:t>第四部分  名词解释</w:t>
      </w:r>
    </w:p>
    <w:p w14:paraId="07AFA34E">
      <w:pPr>
        <w:widowControl/>
        <w:spacing w:line="580" w:lineRule="exact"/>
        <w:ind w:firstLine="640" w:firstLineChars="200"/>
        <w:rPr>
          <w:rFonts w:eastAsia="黑体"/>
          <w:sz w:val="32"/>
          <w:szCs w:val="32"/>
        </w:rPr>
      </w:pPr>
    </w:p>
    <w:p w14:paraId="627AA0E2">
      <w:pPr>
        <w:widowControl/>
        <w:spacing w:line="580" w:lineRule="exact"/>
        <w:ind w:firstLine="640" w:firstLineChars="200"/>
        <w:rPr>
          <w:rFonts w:eastAsia="黑体"/>
          <w:sz w:val="32"/>
          <w:szCs w:val="32"/>
        </w:rPr>
      </w:pPr>
    </w:p>
    <w:p w14:paraId="0053728A">
      <w:pPr>
        <w:widowControl/>
        <w:spacing w:line="580" w:lineRule="exact"/>
        <w:ind w:firstLine="640" w:firstLineChars="200"/>
        <w:rPr>
          <w:rFonts w:eastAsia="黑体"/>
          <w:sz w:val="32"/>
          <w:szCs w:val="32"/>
        </w:rPr>
      </w:pPr>
    </w:p>
    <w:p w14:paraId="3DE29FC0">
      <w:pPr>
        <w:widowControl/>
        <w:spacing w:line="580" w:lineRule="exact"/>
        <w:ind w:firstLine="640" w:firstLineChars="200"/>
        <w:rPr>
          <w:rFonts w:eastAsia="黑体"/>
          <w:sz w:val="32"/>
          <w:szCs w:val="32"/>
        </w:rPr>
      </w:pPr>
    </w:p>
    <w:p w14:paraId="6A68C64A">
      <w:r>
        <w:br w:type="page"/>
      </w:r>
    </w:p>
    <w:p w14:paraId="21ACFCD7">
      <w:r>
        <w:rPr>
          <w:rFonts w:hint="eastAsia" w:ascii="宋体" w:hAnsi="宋体" w:cs="ArialUnicodeMS"/>
          <w:color w:val="000000"/>
          <w:kern w:val="0"/>
        </w:rPr>
        <w:drawing>
          <wp:anchor distT="0" distB="0" distL="114300" distR="114300" simplePos="0" relativeHeight="251661312" behindDoc="1" locked="0" layoutInCell="1" allowOverlap="1">
            <wp:simplePos x="0" y="0"/>
            <wp:positionH relativeFrom="column">
              <wp:posOffset>-1024890</wp:posOffset>
            </wp:positionH>
            <wp:positionV relativeFrom="paragraph">
              <wp:posOffset>-1351915</wp:posOffset>
            </wp:positionV>
            <wp:extent cx="7585710" cy="10727055"/>
            <wp:effectExtent l="0" t="0" r="15240" b="17145"/>
            <wp:wrapNone/>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7"/>
                    <a:stretch>
                      <a:fillRect/>
                    </a:stretch>
                  </pic:blipFill>
                  <pic:spPr>
                    <a:xfrm>
                      <a:off x="0" y="0"/>
                      <a:ext cx="7585710" cy="10727055"/>
                    </a:xfrm>
                    <a:prstGeom prst="rect">
                      <a:avLst/>
                    </a:prstGeom>
                  </pic:spPr>
                </pic:pic>
              </a:graphicData>
            </a:graphic>
          </wp:anchor>
        </w:drawing>
      </w:r>
      <w:r>
        <w:rPr>
          <w:sz w:val="72"/>
        </w:rPr>
        <w:pict>
          <v:shape id="_x0000_s2063" o:spid="_x0000_s2063" o:spt="202" type="#_x0000_t202" style="position:absolute;left:0pt;margin-left:-97.3pt;margin-top:259.1pt;height:81.7pt;width:613.65pt;z-index:251670528;mso-width-relative:page;mso-height-relative:page;" filled="f" stroked="f" coordsize="21600,21600" o:gfxdata="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oisOp3gAAAA0BAAAPAAAAAAAAAAEAIAAAACIAAABkcnMvZG93bnJldi54bWxQSwECFAAU&#10;AAAACACHTuJAVy+BgSQCAAAdBAAADgAAAAAAAAABACAAAAAtAQAAZHJzL2Uyb0RvYy54bWxQSwUG&#10;AAAAAAYABgBZAQAAwwUAAAAA&#10;">
            <v:path/>
            <v:fill on="f" focussize="0,0"/>
            <v:stroke on="f" weight="0.5pt" joinstyle="miter"/>
            <v:imagedata o:title=""/>
            <o:lock v:ext="edit"/>
            <v:textbox>
              <w:txbxContent>
                <w:p w14:paraId="740815B7">
                  <w:pPr>
                    <w:widowControl/>
                    <w:jc w:val="center"/>
                    <w:rPr>
                      <w:color w:val="FDEFBE"/>
                      <w:sz w:val="96"/>
                      <w:szCs w:val="96"/>
                    </w:rPr>
                  </w:pPr>
                  <w:r>
                    <w:rPr>
                      <w:rFonts w:hint="eastAsia" w:hAnsi="宋体" w:asciiTheme="minorEastAsia" w:eastAsiaTheme="minorEastAsia"/>
                      <w:color w:val="FDEFBE"/>
                      <w:sz w:val="96"/>
                      <w:szCs w:val="96"/>
                    </w:rPr>
                    <w:t>第一部分  部门概况</w:t>
                  </w:r>
                </w:p>
              </w:txbxContent>
            </v:textbox>
          </v:shape>
        </w:pict>
      </w:r>
    </w:p>
    <w:p w14:paraId="1F2BF28A"/>
    <w:p w14:paraId="6B08D7A5"/>
    <w:p w14:paraId="0DB3740E"/>
    <w:p w14:paraId="02D277CF"/>
    <w:p w14:paraId="19C3BAA1"/>
    <w:p w14:paraId="61D4F9C6"/>
    <w:p w14:paraId="6D673DF8"/>
    <w:p w14:paraId="3B5FD283"/>
    <w:p w14:paraId="21ADB755"/>
    <w:p w14:paraId="2C4746CF"/>
    <w:p w14:paraId="6B033236"/>
    <w:p w14:paraId="2231B0D2"/>
    <w:p w14:paraId="005963D9"/>
    <w:p w14:paraId="6A718FF9"/>
    <w:p w14:paraId="524E2A88"/>
    <w:p w14:paraId="75448752">
      <w:pPr>
        <w:pStyle w:val="2"/>
        <w:spacing w:before="0" w:after="0" w:line="600" w:lineRule="exact"/>
        <w:jc w:val="left"/>
        <w:rPr>
          <w:rFonts w:ascii="黑体" w:eastAsia="黑体" w:cs="黑体" w:hAnsiTheme="minorHAnsi"/>
          <w:b w:val="0"/>
          <w:bCs w:val="0"/>
          <w:kern w:val="0"/>
          <w:sz w:val="32"/>
          <w:szCs w:val="32"/>
        </w:rPr>
      </w:pPr>
      <w:r>
        <w:rPr>
          <w:b w:val="0"/>
          <w:bCs w:val="0"/>
          <w:sz w:val="32"/>
          <w:szCs w:val="32"/>
        </w:rPr>
        <w:pict>
          <v:group id="_x0000_s2051" o:spid="_x0000_s2051" o:spt="203" style="position:absolute;left:0pt;margin-left:-80.8pt;margin-top:39.5pt;height:46.7pt;width:245.25pt;mso-position-vertical-relative:page;z-index:251662336;mso-width-relative:page;mso-height-relative:page;" coordorigin="4551,52615" coordsize="8546,1398203" o:gfxdata="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AgydQQ2wAAAAsBAAAPAAAAAAAAAAEA&#10;IAAAACIAAABkcnMvZG93bnJldi54bWxQSwECFAAUAAAACACHTuJAVhVF7ykDAADuCAAADgAAAAAA&#10;AAABACAAAAAqAQAAZHJzL2Uyb0RvYy54bWxQSwUGAAAAAAYABgBZAQAAxQYAAAAA&#10;">
            <o:lock v:ext="edit"/>
            <v:rect id="_x0000_s2052" o:spid="_x0000_s2052" o:spt="1" style="position:absolute;left:4551;top:52615;height:1175;width:8546;v-text-anchor:middle;" fillcolor="#D9D9D9" filled="t" stroked="f" coordsize="21600,21600" o:gfxdata="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4qXLsAAADb&#10;AAAADwAAAAAAAAABACAAAAAiAAAAZHJzL2Rvd25yZXYueG1sUEsBAhQAFAAAAAgAh07iQDMvBZ47&#10;AAAAOQAAABAAAAAAAAAAAQAgAAAACgEAAGRycy9zaGFwZXhtbC54bWxQSwUGAAAAAAYABgBbAQAA&#10;tAMAAAAA&#10;">
              <v:path/>
              <v:fill on="t" focussize="0,0"/>
              <v:stroke on="f" weight="2pt"/>
              <v:imagedata o:title=""/>
              <o:lock v:ext="edit"/>
            </v:rect>
            <v:rect id="_x0000_s2053" o:spid="_x0000_s2053" o:spt="1" style="position:absolute;left:4577;top:52890;height:1123;width:8324;v-text-anchor:middle;" fillcolor="#AD002D" filled="t" stroked="t" coordsize="21600,21600" o:gfxdata="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ve9h65AAAA2wAA&#10;AA8AAAAAAAAAAQAgAAAAIgAAAGRycy9kb3ducmV2LnhtbFBLAQIUABQAAAAIAIdO4kAzLwWeOwAA&#10;ADkAAAAQAAAAAAAAAAEAIAAAAAgBAABkcnMvc2hhcGV4bWwueG1sUEsFBgAAAAAGAAYAWwEAALID&#10;AAAAAA==&#10;">
              <v:path/>
              <v:fill on="t" focussize="0,0"/>
              <v:stroke weight="2pt" color="#B0761F" joinstyle="round"/>
              <v:imagedata o:title=""/>
              <o:lock v:ext="edit"/>
              <v:textbox>
                <w:txbxContent>
                  <w:p w14:paraId="075F882D">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2018年度部门决算☞部门概况</w:t>
                    </w:r>
                  </w:p>
                  <w:p w14:paraId="7438EF89">
                    <w:pPr>
                      <w:jc w:val="center"/>
                    </w:pPr>
                  </w:p>
                </w:txbxContent>
              </v:textbox>
            </v:rect>
            <w10:anchorlock/>
          </v:group>
        </w:pict>
      </w:r>
      <w:r>
        <w:rPr>
          <w:rFonts w:hint="eastAsia" w:ascii="黑体" w:eastAsia="黑体" w:cs="黑体" w:hAnsiTheme="minorHAnsi"/>
          <w:b w:val="0"/>
          <w:bCs w:val="0"/>
          <w:kern w:val="0"/>
          <w:sz w:val="32"/>
          <w:szCs w:val="32"/>
        </w:rPr>
        <w:t>一、部门职责</w:t>
      </w:r>
    </w:p>
    <w:p w14:paraId="4D028417">
      <w:pPr>
        <w:widowControl/>
        <w:spacing w:before="124" w:after="124"/>
        <w:ind w:firstLine="640"/>
        <w:jc w:val="left"/>
        <w:rPr>
          <w:rFonts w:ascii="Tahoma" w:hAnsi="Tahoma" w:cs="Tahoma"/>
          <w:color w:val="000000"/>
          <w:kern w:val="0"/>
          <w:sz w:val="30"/>
          <w:szCs w:val="30"/>
        </w:rPr>
      </w:pPr>
      <w:r>
        <w:rPr>
          <w:rFonts w:hint="eastAsia" w:ascii="Tahoma" w:hAnsi="Tahoma" w:cs="Tahoma"/>
          <w:color w:val="000000"/>
          <w:kern w:val="0"/>
          <w:sz w:val="30"/>
          <w:szCs w:val="30"/>
        </w:rPr>
        <w:t>1、党政办职责。（1）落实各级党委、政府的重大决策，确保上传下达、政令畅通、信息反馈及时；（2）积极上报材料和投递信息，公文写作规范，保密制度健全，对来信来访处理及时；</w:t>
      </w:r>
    </w:p>
    <w:p w14:paraId="304E29BB">
      <w:pPr>
        <w:widowControl/>
        <w:spacing w:before="124" w:after="124"/>
        <w:ind w:firstLine="640"/>
        <w:jc w:val="left"/>
        <w:rPr>
          <w:rFonts w:ascii="Tahoma" w:hAnsi="Tahoma" w:cs="Tahoma"/>
          <w:color w:val="000000"/>
          <w:kern w:val="0"/>
          <w:sz w:val="30"/>
          <w:szCs w:val="30"/>
        </w:rPr>
      </w:pPr>
      <w:r>
        <w:rPr>
          <w:rFonts w:hint="eastAsia" w:ascii="Tahoma" w:hAnsi="Tahoma" w:cs="Tahoma"/>
          <w:color w:val="000000"/>
          <w:kern w:val="0"/>
          <w:sz w:val="30"/>
          <w:szCs w:val="30"/>
        </w:rPr>
        <w:t>（3）办公室要坚持 24 小时值班制度，做到电话随时有人接传，来客随时有人接待；（4）传真通信定时联络率在 95%以上，收发报成功率达到 100%；（5）公文处理快捷、高效、规范，做到收发有登记、传递符合程序，催办有回音；（6）公文格式规范；文头印制合格，文种使用规范，行文讲究规则；用字标准，文体字号设置得当，印刷美观大方；（7）公文资料保存完整，归档及时、规范；（8）对上级的重大决策和重要工作部署，按照要求及时上报落实情况；（9）负责行政后勤工作和机关管理；（10）要保质保量按时完成上级交办的各项任务。</w:t>
      </w:r>
    </w:p>
    <w:p w14:paraId="097023F3">
      <w:pPr>
        <w:widowControl/>
        <w:spacing w:before="124" w:after="124"/>
        <w:ind w:firstLine="640"/>
        <w:jc w:val="left"/>
        <w:rPr>
          <w:rFonts w:ascii="Tahoma" w:hAnsi="Tahoma" w:cs="Tahoma"/>
          <w:color w:val="000000"/>
          <w:kern w:val="0"/>
          <w:sz w:val="30"/>
          <w:szCs w:val="30"/>
        </w:rPr>
      </w:pPr>
      <w:r>
        <w:rPr>
          <w:rFonts w:hint="eastAsia" w:ascii="Tahoma" w:hAnsi="Tahoma" w:cs="Tahoma"/>
          <w:color w:val="000000"/>
          <w:kern w:val="0"/>
          <w:sz w:val="30"/>
          <w:szCs w:val="30"/>
        </w:rPr>
        <w:t>2、经济发展办职责。（1）认真贯彻落实国家、省、市、县有关经济发展方针、政策，依据本地实际，制定发展规划；（2）组织制定全小镇经济发展的规划及实施办法，完成小镇党委交办的各项工作任务；（3）指导调整全镇农业发展格局，大力实施新产品、新技术的开发工作；（4）建立健全多方位的市场载体，拓宽流通渠道，招商引资，促进经济外贸发展。</w:t>
      </w:r>
    </w:p>
    <w:p w14:paraId="2A0BC250">
      <w:pPr>
        <w:widowControl/>
        <w:spacing w:before="124" w:after="124"/>
        <w:ind w:firstLine="640"/>
        <w:jc w:val="left"/>
        <w:rPr>
          <w:rFonts w:ascii="Tahoma" w:hAnsi="Tahoma" w:cs="Tahoma"/>
          <w:color w:val="000000"/>
          <w:kern w:val="0"/>
          <w:sz w:val="30"/>
          <w:szCs w:val="30"/>
        </w:rPr>
      </w:pPr>
      <w:r>
        <w:rPr>
          <w:rFonts w:hint="eastAsia" w:ascii="Tahoma" w:hAnsi="Tahoma" w:cs="Tahoma"/>
          <w:color w:val="000000"/>
          <w:kern w:val="0"/>
          <w:sz w:val="30"/>
          <w:szCs w:val="30"/>
        </w:rPr>
        <w:t>3、社会事务办职责。（1）依据国家的法律、法规和有关政策规定管理全镇的社会稳定、宣传教育、普及法律知识；（2）</w:t>
      </w:r>
    </w:p>
    <w:p w14:paraId="6CFD82D6">
      <w:pPr>
        <w:widowControl/>
        <w:spacing w:before="124" w:after="124"/>
        <w:jc w:val="left"/>
        <w:rPr>
          <w:rFonts w:ascii="Tahoma" w:hAnsi="Tahoma" w:cs="Tahoma"/>
          <w:color w:val="000000"/>
          <w:kern w:val="0"/>
          <w:sz w:val="30"/>
          <w:szCs w:val="30"/>
        </w:rPr>
      </w:pPr>
      <w:r>
        <w:rPr>
          <w:rFonts w:hint="eastAsia" w:ascii="Tahoma" w:hAnsi="Tahoma" w:cs="Tahoma"/>
          <w:color w:val="000000"/>
          <w:kern w:val="0"/>
          <w:sz w:val="30"/>
          <w:szCs w:val="30"/>
        </w:rPr>
        <w:t>依据国家的方针政策负责全镇民政工作，重点抓好基层政权建设、社会救济、福利、婚姻登记、五保供养、特困户大病救助等事项；（3）主持文化教育、计划生育各项工作，完成小镇党委交办的各项任务；（4）依据国家政策、法律、法规，普及九年义务教育，实施科教兴国战略，控制人口增长，管好文化市场；（5）提出并制定全镇教育、卫生、文化、科技、计划生育的发展规划和实施方案。</w:t>
      </w:r>
    </w:p>
    <w:p w14:paraId="1D2E125F">
      <w:pPr>
        <w:widowControl/>
        <w:spacing w:before="124" w:after="124"/>
        <w:ind w:firstLine="640"/>
        <w:jc w:val="left"/>
        <w:rPr>
          <w:rFonts w:ascii="Tahoma" w:hAnsi="Tahoma" w:cs="Tahoma"/>
          <w:color w:val="000000"/>
          <w:kern w:val="0"/>
          <w:sz w:val="30"/>
          <w:szCs w:val="30"/>
        </w:rPr>
      </w:pPr>
      <w:r>
        <w:rPr>
          <w:rFonts w:hint="eastAsia" w:ascii="Tahoma" w:hAnsi="Tahoma" w:cs="Tahoma"/>
          <w:color w:val="000000"/>
          <w:kern w:val="0"/>
          <w:sz w:val="30"/>
          <w:szCs w:val="30"/>
        </w:rPr>
        <w:t>4、事业单位职能（1）发展和完善农业社会化服务体系，积极创造条件，为农村、农业、农民提供信息咨询和中介服务。（2）、认真抓好基础教育，组织开展全镇公民的专业技术培训，提高全体公民素质。（3）引进、示范推广农业农机实用新技术、新产品和农作物新品种，开展生态环境和流域治理。（4）帮助和指导村委会发展农村集体经济，为加强集体经济管理提供技术指导和服务。（5）引导农民大力发展畜牧业，切实加强畜牧兽医方面的技术指导和服务工作。（6）组织开展农村文化体育活动，发展农村广播电视事业，丰富群众的精神文化生活。（7）开展医疗卫生保健服务和防疫工作，方便群众就医。（8）积极完成小镇党委和上级业务部门交办的其</w:t>
      </w:r>
      <w:r>
        <w:rPr>
          <w:rFonts w:hint="eastAsia" w:ascii="Tahoma" w:hAnsi="Tahoma" w:cs="Tahoma"/>
          <w:color w:val="000000"/>
          <w:kern w:val="0"/>
          <w:sz w:val="30"/>
          <w:szCs w:val="30"/>
          <w:lang w:eastAsia="zh-CN"/>
        </w:rPr>
        <w:t>他</w:t>
      </w:r>
      <w:bookmarkStart w:id="2" w:name="_GoBack"/>
      <w:bookmarkEnd w:id="2"/>
      <w:r>
        <w:rPr>
          <w:rFonts w:hint="eastAsia" w:ascii="Tahoma" w:hAnsi="Tahoma" w:cs="Tahoma"/>
          <w:color w:val="000000"/>
          <w:kern w:val="0"/>
          <w:sz w:val="30"/>
          <w:szCs w:val="30"/>
        </w:rPr>
        <w:t>各项工作。</w:t>
      </w:r>
    </w:p>
    <w:p w14:paraId="7F082105">
      <w:pPr>
        <w:widowControl/>
        <w:spacing w:before="124" w:after="124"/>
        <w:ind w:firstLine="640"/>
        <w:jc w:val="left"/>
        <w:rPr>
          <w:rFonts w:ascii="Tahoma" w:hAnsi="Tahoma" w:cs="Tahoma"/>
          <w:color w:val="000000"/>
          <w:kern w:val="0"/>
          <w:sz w:val="30"/>
          <w:szCs w:val="30"/>
        </w:rPr>
      </w:pPr>
      <w:r>
        <w:rPr>
          <w:rFonts w:hint="eastAsia" w:ascii="Tahoma" w:hAnsi="Tahoma" w:cs="Tahoma"/>
          <w:color w:val="000000"/>
          <w:kern w:val="0"/>
          <w:sz w:val="30"/>
          <w:szCs w:val="30"/>
        </w:rPr>
        <w:t>5、计划生育办职责。编制本镇年度人口计划和长远人口规</w:t>
      </w:r>
    </w:p>
    <w:p w14:paraId="2BAD11A4">
      <w:pPr>
        <w:widowControl/>
        <w:spacing w:before="124" w:after="124"/>
        <w:jc w:val="left"/>
        <w:rPr>
          <w:rFonts w:ascii="Tahoma" w:hAnsi="Tahoma" w:cs="Tahoma"/>
          <w:color w:val="000000"/>
          <w:kern w:val="0"/>
          <w:sz w:val="30"/>
          <w:szCs w:val="30"/>
        </w:rPr>
      </w:pPr>
      <w:r>
        <w:rPr>
          <w:rFonts w:hint="eastAsia" w:ascii="Tahoma" w:hAnsi="Tahoma" w:cs="Tahoma"/>
          <w:color w:val="000000"/>
          <w:kern w:val="0"/>
          <w:sz w:val="30"/>
          <w:szCs w:val="30"/>
        </w:rPr>
        <w:t>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小镇党委安排的有关人口和计划生育方面的其它工作。</w:t>
      </w:r>
    </w:p>
    <w:p w14:paraId="7CA4A257">
      <w:pPr>
        <w:widowControl/>
        <w:numPr>
          <w:ilvl w:val="0"/>
          <w:numId w:val="1"/>
        </w:numPr>
        <w:spacing w:before="124" w:after="124" w:line="240" w:lineRule="auto"/>
        <w:ind w:firstLine="640"/>
        <w:jc w:val="left"/>
        <w:rPr>
          <w:rFonts w:ascii="Tahoma" w:hAnsi="Tahoma" w:cs="Tahoma"/>
          <w:color w:val="000000"/>
          <w:kern w:val="0"/>
          <w:sz w:val="30"/>
          <w:szCs w:val="30"/>
        </w:rPr>
      </w:pPr>
      <w:r>
        <w:rPr>
          <w:rFonts w:hint="eastAsia" w:ascii="Tahoma" w:hAnsi="Tahoma" w:cs="Tahoma"/>
          <w:color w:val="000000"/>
          <w:kern w:val="0"/>
          <w:sz w:val="30"/>
          <w:szCs w:val="30"/>
        </w:rPr>
        <w:t>承办县委、县政府交办的其它工作。</w:t>
      </w:r>
    </w:p>
    <w:p w14:paraId="2AEBD005">
      <w:pPr>
        <w:pStyle w:val="2"/>
        <w:spacing w:before="0" w:after="0" w:line="600" w:lineRule="exact"/>
        <w:jc w:val="left"/>
        <w:rPr>
          <w:rFonts w:ascii="黑体" w:eastAsia="黑体" w:cs="黑体" w:hAnsiTheme="minorHAnsi"/>
          <w:b w:val="0"/>
          <w:bCs w:val="0"/>
          <w:kern w:val="0"/>
          <w:sz w:val="32"/>
          <w:szCs w:val="32"/>
        </w:rPr>
      </w:pPr>
      <w:r>
        <w:rPr>
          <w:rFonts w:hint="eastAsia" w:ascii="黑体" w:eastAsia="黑体" w:cs="黑体" w:hAnsiTheme="minorHAnsi"/>
          <w:b w:val="0"/>
          <w:bCs w:val="0"/>
          <w:kern w:val="0"/>
          <w:sz w:val="32"/>
          <w:szCs w:val="32"/>
        </w:rPr>
        <w:t>二、机构设置</w:t>
      </w:r>
    </w:p>
    <w:p w14:paraId="7F50BB1E">
      <w:pPr>
        <w:spacing w:after="0" w:line="560" w:lineRule="exact"/>
        <w:rPr>
          <w:rFonts w:ascii="仿宋_GB2312" w:eastAsia="仿宋_GB2312" w:cs="ArialUnicodeMS" w:hAnsiTheme="minorHAnsi"/>
          <w:kern w:val="0"/>
          <w:sz w:val="32"/>
          <w:szCs w:val="32"/>
        </w:rPr>
      </w:pPr>
      <w:r>
        <w:rPr>
          <w:rFonts w:hint="eastAsia" w:ascii="仿宋_GB2312" w:eastAsia="仿宋_GB2312" w:cs="ArialUnicodeMS" w:hAnsiTheme="minorHAnsi"/>
          <w:kern w:val="0"/>
          <w:sz w:val="32"/>
          <w:szCs w:val="32"/>
        </w:rPr>
        <w:t xml:space="preserve">从决算编报单位构成看，纳入2018 年度本部门决算汇编范围的独立核算单位（以下简称“单位”）共 </w:t>
      </w:r>
      <w:r>
        <w:rPr>
          <w:rFonts w:hint="eastAsia" w:ascii="仿宋_GB2312" w:eastAsia="仿宋_GB2312" w:cs="ArialUnicodeMS" w:hAnsiTheme="minorHAnsi"/>
          <w:kern w:val="0"/>
          <w:sz w:val="32"/>
          <w:szCs w:val="32"/>
          <w:lang w:val="en-US" w:eastAsia="zh-CN"/>
        </w:rPr>
        <w:t>1</w:t>
      </w:r>
      <w:r>
        <w:rPr>
          <w:rFonts w:hint="eastAsia" w:ascii="仿宋_GB2312" w:eastAsia="仿宋_GB2312" w:cs="ArialUnicodeMS" w:hAnsiTheme="minorHAnsi"/>
          <w:kern w:val="0"/>
          <w:sz w:val="32"/>
          <w:szCs w:val="32"/>
        </w:rPr>
        <w:t>个，具体情况如下：</w:t>
      </w:r>
    </w:p>
    <w:tbl>
      <w:tblPr>
        <w:tblStyle w:val="13"/>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632C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369B60F1">
            <w:pPr>
              <w:spacing w:after="0" w:line="560" w:lineRule="exact"/>
              <w:jc w:val="center"/>
              <w:rPr>
                <w:rFonts w:ascii="仿宋_GB2312" w:eastAsia="仿宋_GB2312" w:cs="ArialUnicodeMS" w:hAnsiTheme="minorHAnsi"/>
                <w:b/>
                <w:bCs/>
                <w:kern w:val="0"/>
                <w:sz w:val="28"/>
                <w:szCs w:val="28"/>
              </w:rPr>
            </w:pPr>
            <w:r>
              <w:rPr>
                <w:rFonts w:hint="eastAsia" w:ascii="仿宋_GB2312" w:eastAsia="仿宋_GB2312" w:cs="ArialUnicodeMS" w:hAnsiTheme="minorHAnsi"/>
                <w:b/>
                <w:bCs/>
                <w:kern w:val="0"/>
                <w:sz w:val="28"/>
                <w:szCs w:val="28"/>
              </w:rPr>
              <w:t>序号</w:t>
            </w:r>
          </w:p>
        </w:tc>
        <w:tc>
          <w:tcPr>
            <w:tcW w:w="3485" w:type="dxa"/>
            <w:vAlign w:val="center"/>
          </w:tcPr>
          <w:p w14:paraId="25A02639">
            <w:pPr>
              <w:spacing w:after="0" w:line="560" w:lineRule="exact"/>
              <w:jc w:val="center"/>
              <w:rPr>
                <w:rFonts w:ascii="仿宋_GB2312" w:eastAsia="仿宋_GB2312" w:cs="ArialUnicodeMS" w:hAnsiTheme="minorHAnsi"/>
                <w:b/>
                <w:bCs/>
                <w:kern w:val="0"/>
                <w:sz w:val="28"/>
                <w:szCs w:val="28"/>
              </w:rPr>
            </w:pPr>
            <w:r>
              <w:rPr>
                <w:rFonts w:hint="eastAsia" w:ascii="仿宋_GB2312" w:eastAsia="仿宋_GB2312" w:cs="ArialUnicodeMS" w:hAnsiTheme="minorHAnsi"/>
                <w:b/>
                <w:bCs/>
                <w:kern w:val="0"/>
                <w:sz w:val="28"/>
                <w:szCs w:val="28"/>
              </w:rPr>
              <w:t>单位名称</w:t>
            </w:r>
          </w:p>
        </w:tc>
        <w:tc>
          <w:tcPr>
            <w:tcW w:w="2445" w:type="dxa"/>
            <w:vAlign w:val="center"/>
          </w:tcPr>
          <w:p w14:paraId="32337694">
            <w:pPr>
              <w:spacing w:after="0" w:line="560" w:lineRule="exact"/>
              <w:jc w:val="center"/>
              <w:rPr>
                <w:rFonts w:ascii="仿宋_GB2312" w:eastAsia="仿宋_GB2312" w:cs="ArialUnicodeMS" w:hAnsiTheme="minorHAnsi"/>
                <w:b/>
                <w:bCs/>
                <w:kern w:val="0"/>
                <w:sz w:val="28"/>
                <w:szCs w:val="28"/>
              </w:rPr>
            </w:pPr>
            <w:r>
              <w:rPr>
                <w:rFonts w:hint="eastAsia" w:ascii="仿宋_GB2312" w:eastAsia="仿宋_GB2312" w:cs="ArialUnicodeMS" w:hAnsiTheme="minorHAnsi"/>
                <w:b/>
                <w:bCs/>
                <w:kern w:val="0"/>
                <w:sz w:val="28"/>
                <w:szCs w:val="28"/>
              </w:rPr>
              <w:t>单位基本性质</w:t>
            </w:r>
          </w:p>
        </w:tc>
        <w:tc>
          <w:tcPr>
            <w:tcW w:w="2665" w:type="dxa"/>
            <w:vAlign w:val="center"/>
          </w:tcPr>
          <w:p w14:paraId="7A5CB5C0">
            <w:pPr>
              <w:spacing w:after="0" w:line="560" w:lineRule="exact"/>
              <w:jc w:val="center"/>
              <w:rPr>
                <w:rFonts w:ascii="仿宋_GB2312" w:eastAsia="仿宋_GB2312" w:cs="ArialUnicodeMS" w:hAnsiTheme="minorHAnsi"/>
                <w:b/>
                <w:bCs/>
                <w:kern w:val="0"/>
                <w:sz w:val="28"/>
                <w:szCs w:val="28"/>
              </w:rPr>
            </w:pPr>
            <w:r>
              <w:rPr>
                <w:rFonts w:hint="eastAsia" w:ascii="仿宋_GB2312" w:eastAsia="仿宋_GB2312" w:cs="ArialUnicodeMS" w:hAnsiTheme="minorHAnsi"/>
                <w:b/>
                <w:bCs/>
                <w:kern w:val="0"/>
                <w:sz w:val="28"/>
                <w:szCs w:val="28"/>
              </w:rPr>
              <w:t>经费形式</w:t>
            </w:r>
          </w:p>
        </w:tc>
      </w:tr>
      <w:tr w14:paraId="01C0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26BC242A">
            <w:pPr>
              <w:spacing w:after="0" w:line="560" w:lineRule="exact"/>
              <w:jc w:val="center"/>
              <w:rPr>
                <w:rFonts w:ascii="仿宋_GB2312" w:eastAsia="仿宋_GB2312" w:cs="ArialUnicodeMS" w:hAnsiTheme="minorHAnsi"/>
                <w:kern w:val="0"/>
                <w:sz w:val="28"/>
                <w:szCs w:val="28"/>
              </w:rPr>
            </w:pPr>
            <w:r>
              <w:rPr>
                <w:rFonts w:hint="eastAsia" w:ascii="仿宋_GB2312" w:eastAsia="仿宋_GB2312" w:cs="ArialUnicodeMS" w:hAnsiTheme="minorHAnsi"/>
                <w:kern w:val="0"/>
                <w:sz w:val="28"/>
                <w:szCs w:val="28"/>
              </w:rPr>
              <w:t>1</w:t>
            </w:r>
          </w:p>
        </w:tc>
        <w:tc>
          <w:tcPr>
            <w:tcW w:w="3485" w:type="dxa"/>
          </w:tcPr>
          <w:p w14:paraId="6844A7B3">
            <w:pPr>
              <w:spacing w:after="0" w:line="560" w:lineRule="exact"/>
              <w:rPr>
                <w:rFonts w:ascii="仿宋_GB2312" w:eastAsia="仿宋_GB2312" w:cs="ArialUnicodeMS" w:hAnsiTheme="minorHAnsi"/>
                <w:kern w:val="0"/>
                <w:sz w:val="28"/>
                <w:szCs w:val="28"/>
              </w:rPr>
            </w:pPr>
            <w:r>
              <w:rPr>
                <w:rFonts w:hint="eastAsia" w:ascii="仿宋_GB2312" w:eastAsia="仿宋_GB2312" w:cs="ArialUnicodeMS" w:hAnsiTheme="minorHAnsi"/>
                <w:kern w:val="0"/>
                <w:sz w:val="28"/>
                <w:szCs w:val="28"/>
              </w:rPr>
              <w:t>中共馆陶县粮画小镇 委员会(本级)</w:t>
            </w:r>
          </w:p>
        </w:tc>
        <w:tc>
          <w:tcPr>
            <w:tcW w:w="2445" w:type="dxa"/>
          </w:tcPr>
          <w:p w14:paraId="5E474216">
            <w:pPr>
              <w:spacing w:after="0" w:line="560" w:lineRule="exact"/>
              <w:jc w:val="center"/>
              <w:rPr>
                <w:rFonts w:ascii="仿宋_GB2312" w:eastAsia="仿宋_GB2312" w:cs="ArialUnicodeMS" w:hAnsiTheme="minorHAnsi"/>
                <w:kern w:val="0"/>
                <w:sz w:val="28"/>
                <w:szCs w:val="28"/>
              </w:rPr>
            </w:pPr>
            <w:r>
              <w:rPr>
                <w:rFonts w:hint="eastAsia" w:ascii="仿宋_GB2312" w:eastAsia="仿宋_GB2312" w:cs="ArialUnicodeMS" w:hAnsiTheme="minorHAnsi"/>
                <w:kern w:val="0"/>
                <w:sz w:val="28"/>
                <w:szCs w:val="28"/>
              </w:rPr>
              <w:t>行政</w:t>
            </w:r>
          </w:p>
        </w:tc>
        <w:tc>
          <w:tcPr>
            <w:tcW w:w="2665" w:type="dxa"/>
          </w:tcPr>
          <w:p w14:paraId="2E21337A">
            <w:pPr>
              <w:spacing w:after="0" w:line="560" w:lineRule="exact"/>
              <w:jc w:val="center"/>
              <w:rPr>
                <w:rFonts w:ascii="仿宋_GB2312" w:eastAsia="仿宋_GB2312" w:cs="ArialUnicodeMS" w:hAnsiTheme="minorHAnsi"/>
                <w:kern w:val="0"/>
                <w:sz w:val="28"/>
                <w:szCs w:val="28"/>
              </w:rPr>
            </w:pPr>
            <w:r>
              <w:rPr>
                <w:rFonts w:hint="eastAsia" w:ascii="仿宋_GB2312" w:eastAsia="仿宋_GB2312" w:cs="ArialUnicodeMS" w:hAnsiTheme="minorHAnsi"/>
                <w:kern w:val="0"/>
                <w:sz w:val="28"/>
                <w:szCs w:val="28"/>
              </w:rPr>
              <w:t>财政拨款</w:t>
            </w:r>
          </w:p>
        </w:tc>
      </w:tr>
      <w:tr w14:paraId="26AF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14:paraId="28761F66">
            <w:pPr>
              <w:spacing w:after="0" w:line="560" w:lineRule="exact"/>
              <w:ind w:firstLine="560" w:firstLineChars="200"/>
              <w:jc w:val="left"/>
              <w:rPr>
                <w:rFonts w:ascii="仿宋_GB2312" w:eastAsia="仿宋_GB2312" w:cs="ArialUnicodeMS" w:hAnsiTheme="minorHAnsi"/>
                <w:kern w:val="0"/>
                <w:sz w:val="28"/>
                <w:szCs w:val="28"/>
              </w:rPr>
            </w:pPr>
          </w:p>
        </w:tc>
      </w:tr>
    </w:tbl>
    <w:p w14:paraId="046E611B">
      <w:pPr>
        <w:spacing w:after="0" w:line="560" w:lineRule="exact"/>
        <w:rPr>
          <w:rFonts w:ascii="仿宋_GB2312" w:eastAsia="仿宋_GB2312" w:cs="ArialUnicodeMS" w:hAnsiTheme="minorHAnsi"/>
          <w:kern w:val="0"/>
          <w:sz w:val="32"/>
          <w:szCs w:val="32"/>
        </w:rPr>
      </w:pPr>
    </w:p>
    <w:p w14:paraId="44A5A01E">
      <w:pPr>
        <w:widowControl/>
        <w:spacing w:line="560" w:lineRule="exact"/>
        <w:jc w:val="center"/>
        <w:rPr>
          <w:rFonts w:ascii="黑体" w:eastAsia="黑体" w:cs="MS-UIGothic,Bold" w:hAnsiTheme="minorHAnsi"/>
          <w:bCs/>
          <w:kern w:val="0"/>
          <w:sz w:val="52"/>
          <w:szCs w:val="52"/>
        </w:rPr>
      </w:pPr>
    </w:p>
    <w:p w14:paraId="40785484">
      <w:pPr>
        <w:widowControl/>
        <w:spacing w:line="560" w:lineRule="exact"/>
        <w:jc w:val="center"/>
        <w:rPr>
          <w:rFonts w:ascii="黑体" w:eastAsia="黑体" w:cs="MS-UIGothic,Bold" w:hAnsiTheme="minorHAnsi"/>
          <w:bCs/>
          <w:kern w:val="0"/>
          <w:sz w:val="52"/>
          <w:szCs w:val="52"/>
        </w:rPr>
      </w:pPr>
    </w:p>
    <w:p w14:paraId="0DC9F0BA">
      <w:pPr>
        <w:widowControl/>
        <w:spacing w:line="560" w:lineRule="exact"/>
        <w:jc w:val="center"/>
        <w:rPr>
          <w:rFonts w:ascii="黑体" w:eastAsia="黑体" w:cs="MS-UIGothic,Bold" w:hAnsiTheme="minorHAnsi"/>
          <w:bCs/>
          <w:kern w:val="0"/>
          <w:sz w:val="52"/>
          <w:szCs w:val="52"/>
        </w:rPr>
        <w:sectPr>
          <w:pgSz w:w="11906" w:h="16838"/>
          <w:pgMar w:top="2098" w:right="1474" w:bottom="1984" w:left="1588" w:header="851" w:footer="992" w:gutter="0"/>
          <w:cols w:space="0" w:num="1"/>
          <w:docGrid w:type="lines" w:linePitch="312" w:charSpace="0"/>
        </w:sectPr>
      </w:pPr>
    </w:p>
    <w:p w14:paraId="1850BA7C">
      <w:pPr>
        <w:widowControl/>
        <w:spacing w:line="560" w:lineRule="exact"/>
        <w:jc w:val="center"/>
        <w:rPr>
          <w:rFonts w:ascii="黑体" w:eastAsia="黑体" w:cs="MS-UIGothic,Bold" w:hAnsiTheme="minorHAnsi"/>
          <w:bCs/>
          <w:kern w:val="0"/>
          <w:sz w:val="52"/>
          <w:szCs w:val="52"/>
        </w:rPr>
      </w:pPr>
      <w:r>
        <w:rPr>
          <w:rFonts w:hint="eastAsia" w:ascii="宋体" w:hAnsi="宋体" w:cs="ArialUnicodeMS"/>
          <w:color w:val="000000"/>
          <w:kern w:val="0"/>
        </w:rPr>
        <w:drawing>
          <wp:anchor distT="0" distB="0" distL="114300" distR="114300" simplePos="0" relativeHeight="251664384" behindDoc="1" locked="0" layoutInCell="1" allowOverlap="1">
            <wp:simplePos x="0" y="0"/>
            <wp:positionH relativeFrom="column">
              <wp:posOffset>-1023620</wp:posOffset>
            </wp:positionH>
            <wp:positionV relativeFrom="paragraph">
              <wp:posOffset>-1327150</wp:posOffset>
            </wp:positionV>
            <wp:extent cx="7571105" cy="10680065"/>
            <wp:effectExtent l="0" t="0" r="10795" b="6985"/>
            <wp:wrapNone/>
            <wp:docPr id="16" name="图片 1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
                    <pic:cNvPicPr>
                      <a:picLocks noChangeAspect="1"/>
                    </pic:cNvPicPr>
                  </pic:nvPicPr>
                  <pic:blipFill>
                    <a:blip r:embed="rId7"/>
                    <a:stretch>
                      <a:fillRect/>
                    </a:stretch>
                  </pic:blipFill>
                  <pic:spPr>
                    <a:xfrm>
                      <a:off x="0" y="0"/>
                      <a:ext cx="7571105" cy="10680065"/>
                    </a:xfrm>
                    <a:prstGeom prst="rect">
                      <a:avLst/>
                    </a:prstGeom>
                  </pic:spPr>
                </pic:pic>
              </a:graphicData>
            </a:graphic>
          </wp:anchor>
        </w:drawing>
      </w:r>
    </w:p>
    <w:p w14:paraId="07009AC7">
      <w:pPr>
        <w:widowControl/>
        <w:spacing w:line="560" w:lineRule="exact"/>
        <w:jc w:val="center"/>
        <w:rPr>
          <w:rFonts w:ascii="黑体" w:eastAsia="黑体" w:cs="MS-UIGothic,Bold" w:hAnsiTheme="minorHAnsi"/>
          <w:bCs/>
          <w:kern w:val="0"/>
          <w:sz w:val="52"/>
          <w:szCs w:val="52"/>
        </w:rPr>
      </w:pPr>
    </w:p>
    <w:p w14:paraId="63EDB441">
      <w:pPr>
        <w:rPr>
          <w:rFonts w:ascii="宋体" w:hAnsi="宋体" w:cs="ArialUnicodeMS"/>
          <w:color w:val="000000"/>
          <w:kern w:val="0"/>
        </w:rPr>
      </w:pPr>
    </w:p>
    <w:p w14:paraId="154132C4">
      <w:pPr>
        <w:rPr>
          <w:rFonts w:ascii="宋体" w:hAnsi="宋体" w:cs="ArialUnicodeMS"/>
          <w:color w:val="000000"/>
          <w:kern w:val="0"/>
        </w:rPr>
        <w:sectPr>
          <w:pgSz w:w="11906" w:h="16838"/>
          <w:pgMar w:top="2098" w:right="1474" w:bottom="1984" w:left="1588" w:header="851" w:footer="992" w:gutter="0"/>
          <w:cols w:space="0" w:num="1"/>
          <w:docGrid w:type="lines" w:linePitch="312" w:charSpace="0"/>
        </w:sectPr>
      </w:pPr>
      <w:r>
        <w:rPr>
          <w:sz w:val="72"/>
        </w:rPr>
        <w:pict>
          <v:shape id="_x0000_s2054" o:spid="_x0000_s2054" o:spt="202" type="#_x0000_t202" style="position:absolute;left:0pt;margin-left:-74.2pt;margin-top:120.3pt;height:159.1pt;width:596.2pt;z-index:251663360;mso-width-relative:page;mso-height-relative:page;" filled="f" stroked="f" coordsize="21600,21600" o:gfxdata="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O&#10;az3Q3AAAAA0BAAAPAAAAAAAAAAEAIAAAACIAAABkcnMvZG93bnJldi54bWxQSwECFAAUAAAACACH&#10;TuJAX0LKzCACAAAbBAAADgAAAAAAAAABACAAAAArAQAAZHJzL2Uyb0RvYy54bWxQSwUGAAAAAAYA&#10;BgBZAQAAvQUAAAAA&#10;">
            <v:path/>
            <v:fill on="f" focussize="0,0"/>
            <v:stroke on="f" weight="0.5pt" joinstyle="miter"/>
            <v:imagedata o:title=""/>
            <o:lock v:ext="edit"/>
            <v:textbox>
              <w:txbxContent>
                <w:p w14:paraId="796BA89A">
                  <w:pPr>
                    <w:widowControl/>
                    <w:spacing w:line="1200" w:lineRule="exact"/>
                    <w:jc w:val="center"/>
                    <w:rPr>
                      <w:rFonts w:hAnsi="宋体" w:asciiTheme="minorEastAsia" w:eastAsiaTheme="minorEastAsia"/>
                      <w:color w:val="FDEFBE"/>
                      <w:sz w:val="96"/>
                      <w:szCs w:val="96"/>
                    </w:rPr>
                  </w:pPr>
                  <w:r>
                    <w:rPr>
                      <w:rFonts w:hint="eastAsia" w:hAnsi="宋体" w:asciiTheme="minorEastAsia" w:eastAsiaTheme="minorEastAsia"/>
                      <w:color w:val="FDEFBE"/>
                      <w:sz w:val="96"/>
                      <w:szCs w:val="96"/>
                    </w:rPr>
                    <w:t>第二部分</w:t>
                  </w:r>
                </w:p>
                <w:p w14:paraId="37E634BD">
                  <w:pPr>
                    <w:widowControl/>
                    <w:spacing w:line="1200" w:lineRule="exact"/>
                    <w:jc w:val="center"/>
                    <w:rPr>
                      <w:color w:val="FDEFBE"/>
                      <w:sz w:val="96"/>
                      <w:szCs w:val="96"/>
                    </w:rPr>
                  </w:pPr>
                  <w:r>
                    <w:rPr>
                      <w:rFonts w:hint="eastAsia" w:hAnsi="宋体" w:asciiTheme="minorEastAsia" w:eastAsiaTheme="minorEastAsia"/>
                      <w:color w:val="FDEFBE"/>
                      <w:sz w:val="96"/>
                      <w:szCs w:val="96"/>
                    </w:rPr>
                    <w:t>2018年度部门决算报表</w:t>
                  </w:r>
                </w:p>
              </w:txbxContent>
            </v:textbox>
          </v:shape>
        </w:pict>
      </w:r>
    </w:p>
    <w:p w14:paraId="12E6EFE5">
      <w:pPr>
        <w:tabs>
          <w:tab w:val="left" w:pos="1086"/>
        </w:tabs>
        <w:jc w:val="left"/>
        <w:rPr>
          <w:rFonts w:hint="eastAsia" w:ascii="仿宋_GB2312" w:hAnsiTheme="majorEastAsia"/>
          <w:b/>
          <w:sz w:val="28"/>
          <w:szCs w:val="28"/>
          <w:highlight w:val="yellow"/>
          <w:lang w:eastAsia="zh-CN"/>
        </w:rPr>
      </w:pPr>
    </w:p>
    <w:p w14:paraId="1C3F95C5">
      <w:pPr>
        <w:tabs>
          <w:tab w:val="left" w:pos="1086"/>
        </w:tabs>
        <w:jc w:val="left"/>
        <w:rPr>
          <w:rFonts w:hint="eastAsia" w:ascii="仿宋_GB2312" w:hAnsiTheme="majorEastAsia"/>
          <w:b/>
          <w:sz w:val="28"/>
          <w:szCs w:val="28"/>
          <w:highlight w:val="yellow"/>
          <w:lang w:eastAsia="zh-CN"/>
        </w:rPr>
      </w:pPr>
    </w:p>
    <w:p w14:paraId="6FA6A4C1">
      <w:pPr>
        <w:tabs>
          <w:tab w:val="left" w:pos="1086"/>
        </w:tabs>
        <w:jc w:val="left"/>
        <w:rPr>
          <w:rFonts w:hint="eastAsia" w:ascii="仿宋_GB2312" w:eastAsia="宋体" w:hAnsiTheme="majorEastAsia"/>
          <w:b/>
          <w:sz w:val="40"/>
          <w:szCs w:val="40"/>
          <w:highlight w:val="none"/>
          <w:lang w:eastAsia="zh-CN"/>
        </w:rPr>
        <w:sectPr>
          <w:pgSz w:w="11906" w:h="16838"/>
          <w:pgMar w:top="2098" w:right="1474" w:bottom="1984" w:left="1588" w:header="851" w:footer="992" w:gutter="0"/>
          <w:cols w:space="0" w:num="1"/>
          <w:docGrid w:type="lines" w:linePitch="312" w:charSpace="0"/>
        </w:sectPr>
      </w:pPr>
      <w:r>
        <w:rPr>
          <w:rFonts w:hint="eastAsia" w:ascii="仿宋_GB2312" w:hAnsiTheme="majorEastAsia"/>
          <w:b/>
          <w:sz w:val="40"/>
          <w:szCs w:val="40"/>
          <w:highlight w:val="none"/>
          <w:lang w:eastAsia="zh-CN"/>
        </w:rPr>
        <w:t>决算报销见附件</w:t>
      </w:r>
    </w:p>
    <w:p w14:paraId="37B27551">
      <w:pPr>
        <w:rPr>
          <w:rFonts w:ascii="宋体" w:hAnsi="宋体" w:cs="ArialUnicodeMS"/>
          <w:color w:val="000000"/>
          <w:kern w:val="0"/>
        </w:rPr>
        <w:sectPr>
          <w:pgSz w:w="11906" w:h="16838"/>
          <w:pgMar w:top="2098" w:right="1474" w:bottom="1984" w:left="1588" w:header="851" w:footer="992" w:gutter="0"/>
          <w:cols w:space="0" w:num="1"/>
          <w:docGrid w:type="lines" w:linePitch="312" w:charSpace="0"/>
        </w:sectPr>
      </w:pPr>
      <w:r>
        <w:rPr>
          <w:rFonts w:hint="eastAsia" w:ascii="宋体" w:hAnsi="宋体" w:cs="ArialUnicodeMS"/>
          <w:color w:val="000000"/>
          <w:kern w:val="0"/>
        </w:rPr>
        <w:drawing>
          <wp:anchor distT="0" distB="0" distL="114300" distR="114300" simplePos="0" relativeHeight="251666432"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7"/>
                    <a:stretch>
                      <a:fillRect/>
                    </a:stretch>
                  </pic:blipFill>
                  <pic:spPr>
                    <a:xfrm>
                      <a:off x="0" y="0"/>
                      <a:ext cx="7550150" cy="10680065"/>
                    </a:xfrm>
                    <a:prstGeom prst="rect">
                      <a:avLst/>
                    </a:prstGeom>
                  </pic:spPr>
                </pic:pic>
              </a:graphicData>
            </a:graphic>
          </wp:anchor>
        </w:drawing>
      </w:r>
      <w:r>
        <w:rPr>
          <w:sz w:val="72"/>
        </w:rPr>
        <w:pict>
          <v:shape id="_x0000_s2055" o:spid="_x0000_s2055" o:spt="202" type="#_x0000_t202" style="position:absolute;left:0pt;margin-left:-78.7pt;margin-top:232.8pt;height:159.1pt;width:596.2pt;z-index:251665408;mso-width-relative:page;mso-height-relative:page;" filled="f" stroked="f" coordsize="21600,21600" o:gfxdata="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lmnozeAAAADQEAAA8AAAAAAAAAAQAgAAAAIgAAAGRycy9kb3ducmV2LnhtbFBLAQIUABQAAAAI&#10;AIdO4kDG978hIAIAABkEAAAOAAAAAAAAAAEAIAAAAC0BAABkcnMvZTJvRG9jLnhtbFBLBQYAAAAA&#10;BgAGAFkBAAC/BQAAAAA=&#10;">
            <v:path/>
            <v:fill on="f" focussize="0,0"/>
            <v:stroke on="f" weight="0.5pt" joinstyle="miter"/>
            <v:imagedata o:title=""/>
            <o:lock v:ext="edit"/>
            <v:textbox>
              <w:txbxContent>
                <w:p w14:paraId="5777A26C">
                  <w:pPr>
                    <w:widowControl/>
                    <w:spacing w:line="1200" w:lineRule="exact"/>
                    <w:jc w:val="center"/>
                    <w:rPr>
                      <w:rFonts w:hAnsi="宋体" w:asciiTheme="minorEastAsia" w:eastAsiaTheme="minorEastAsia"/>
                      <w:color w:val="FDEFBE"/>
                      <w:sz w:val="96"/>
                      <w:szCs w:val="96"/>
                    </w:rPr>
                  </w:pPr>
                  <w:r>
                    <w:rPr>
                      <w:rFonts w:hint="eastAsia" w:hAnsi="宋体" w:asciiTheme="minorEastAsia" w:eastAsiaTheme="minorEastAsia"/>
                      <w:color w:val="FDEFBE"/>
                      <w:sz w:val="96"/>
                      <w:szCs w:val="96"/>
                    </w:rPr>
                    <w:t>第三部分</w:t>
                  </w:r>
                </w:p>
                <w:p w14:paraId="3C05A157">
                  <w:pPr>
                    <w:widowControl/>
                    <w:spacing w:line="1200" w:lineRule="exact"/>
                    <w:jc w:val="center"/>
                    <w:rPr>
                      <w:color w:val="FDEFBE"/>
                      <w:sz w:val="96"/>
                      <w:szCs w:val="96"/>
                    </w:rPr>
                  </w:pPr>
                  <w:r>
                    <w:rPr>
                      <w:rFonts w:hint="eastAsia" w:hAnsi="宋体" w:asciiTheme="minorEastAsia" w:eastAsiaTheme="minorEastAsia"/>
                      <w:color w:val="FDEFBE"/>
                      <w:sz w:val="96"/>
                      <w:szCs w:val="96"/>
                    </w:rPr>
                    <w:t>部门决算情况说明</w:t>
                  </w:r>
                </w:p>
              </w:txbxContent>
            </v:textbox>
          </v:shape>
        </w:pict>
      </w:r>
    </w:p>
    <w:p w14:paraId="043013FE">
      <w:pPr>
        <w:pStyle w:val="3"/>
        <w:spacing w:before="0" w:after="0" w:line="580" w:lineRule="exact"/>
        <w:ind w:firstLine="640" w:firstLineChars="200"/>
        <w:rPr>
          <w:rFonts w:ascii="黑体" w:eastAsia="黑体"/>
          <w:b w:val="0"/>
          <w:bCs w:val="0"/>
        </w:rPr>
      </w:pPr>
      <w:r>
        <w:rPr>
          <w:rFonts w:hint="eastAsia" w:ascii="黑体" w:eastAsia="黑体"/>
          <w:b w:val="0"/>
          <w:bCs w:val="0"/>
        </w:rPr>
        <w:t>一、收入</w:t>
      </w:r>
      <w:r>
        <w:rPr>
          <w:rFonts w:hint="eastAsia" w:ascii="黑体" w:eastAsia="黑体" w:cs="黑体" w:hAnsiTheme="minorHAnsi"/>
          <w:b w:val="0"/>
          <w:bCs w:val="0"/>
          <w:kern w:val="0"/>
        </w:rPr>
        <w:t>支</w:t>
      </w:r>
      <w:r>
        <w:rPr>
          <w:sz w:val="44"/>
        </w:rPr>
        <w:pict>
          <v:group id="_x0000_s2133" o:spid="_x0000_s2133" o:spt="203" style="position:absolute;left:0pt;margin-left:-0.55pt;margin-top:29.3pt;height:43.95pt;width:301.85pt;mso-position-horizontal-relative:page;mso-position-vertical-relative:page;z-index:251678720;mso-width-relative:page;mso-height-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En7KztsAAAALAQAADwAAAAAAAAABACAA&#10;AAAiAAAAZHJzL2Rvd25yZXYueG1sUEsBAhQAFAAAAAgAh07iQFWgPwonAwAA7ggAAA4AAAAAAAAA&#10;AQAgAAAAKgEAAGRycy9lMm9Eb2MueG1sUEsFBgAAAAAGAAYAWQEAAMMGAAAAAA==&#10;">
            <o:lock v:ext="edit"/>
            <v:rect id="矩形 13" o:spid="_x0000_s2134" o:spt="1" style="position:absolute;left:4551;top:52615;height:1175;width:8546;v-text-anchor:middle;" fillcolor="#D9D9D9" filled="t" stroked="f" coordsize="21600,21600" o:gfxdata="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HYdtrsAAADb&#10;AAAADwAAAAAAAAABACAAAAAiAAAAZHJzL2Rvd25yZXYueG1sUEsBAhQAFAAAAAgAh07iQDMvBZ47&#10;AAAAOQAAABAAAAAAAAAAAQAgAAAACgEAAGRycy9zaGFwZXhtbC54bWxQSwUGAAAAAAYABgBbAQAA&#10;tAMAAAAA&#10;">
              <v:path/>
              <v:fill on="t" focussize="0,0"/>
              <v:stroke on="f" weight="2pt"/>
              <v:imagedata o:title=""/>
              <o:lock v:ext="edit"/>
            </v:rect>
            <v:rect id="矩形 14" o:spid="_x0000_s2135" o:spt="1" style="position:absolute;left:4577;top:52890;height:1123;width:8324;v-text-anchor:middle;" fillcolor="#AD002D" filled="t" stroked="t" coordsize="21600,21600" o:gfxdata="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qJOqC5AAAA2wAA&#10;AA8AAAAAAAAAAQAgAAAAIgAAAGRycy9kb3ducmV2LnhtbFBLAQIUABQAAAAIAIdO4kAzLwWeOwAA&#10;ADkAAAAQAAAAAAAAAAEAIAAAAAgBAABkcnMvc2hhcGV4bWwueG1sUEsFBgAAAAAGAAYAWwEAALID&#10;AAAAAA==&#10;">
              <v:path/>
              <v:fill on="t" focussize="0,0"/>
              <v:stroke weight="2pt" color="#B0761F" joinstyle="round"/>
              <v:imagedata o:title=""/>
              <o:lock v:ext="edit"/>
              <v:textbox>
                <w:txbxContent>
                  <w:p w14:paraId="7B9808F6">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59355C79">
                    <w:pPr>
                      <w:jc w:val="center"/>
                    </w:pPr>
                  </w:p>
                </w:txbxContent>
              </v:textbox>
            </v:rect>
            <w10:anchorlock/>
          </v:group>
        </w:pict>
      </w:r>
      <w:r>
        <w:rPr>
          <w:rFonts w:hint="eastAsia" w:ascii="黑体" w:eastAsia="黑体" w:cs="黑体" w:hAnsiTheme="minorHAnsi"/>
          <w:b w:val="0"/>
          <w:bCs w:val="0"/>
          <w:kern w:val="0"/>
        </w:rPr>
        <w:t>出</w:t>
      </w:r>
      <w:r>
        <w:rPr>
          <w:rFonts w:hint="eastAsia" w:ascii="黑体" w:eastAsia="黑体"/>
          <w:b w:val="0"/>
          <w:bCs w:val="0"/>
        </w:rPr>
        <w:t>决算总体情况说明</w:t>
      </w:r>
    </w:p>
    <w:p w14:paraId="4810F782">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收入总计（含结转和结余）6153.55万元。与2017年度决算相比，减少171.54万元，下降2.71%，主要原因是减少了项目支出。支出总计6153.55万元。与2017年度决算相比，减少171.54万元，下降2.71%，主要原因是减少了项目支出。</w:t>
      </w:r>
    </w:p>
    <w:p w14:paraId="242E2C95">
      <w:pPr>
        <w:pStyle w:val="3"/>
        <w:spacing w:before="0" w:after="0" w:line="580" w:lineRule="exact"/>
        <w:ind w:firstLine="640" w:firstLineChars="200"/>
        <w:rPr>
          <w:rFonts w:ascii="黑体" w:eastAsia="黑体"/>
          <w:b w:val="0"/>
          <w:bCs w:val="0"/>
        </w:rPr>
      </w:pPr>
      <w:r>
        <w:rPr>
          <w:rFonts w:hint="eastAsia" w:ascii="黑体" w:eastAsia="黑体"/>
          <w:b w:val="0"/>
          <w:bCs w:val="0"/>
        </w:rPr>
        <w:t>二、收入决算情况说明</w:t>
      </w:r>
    </w:p>
    <w:p w14:paraId="33F65E06">
      <w:pPr>
        <w:adjustRightInd w:val="0"/>
        <w:snapToGrid w:val="0"/>
        <w:spacing w:after="0" w:line="580" w:lineRule="exact"/>
        <w:ind w:firstLine="640" w:firstLineChars="200"/>
        <w:rPr>
          <w:rFonts w:ascii="黑体" w:eastAsia="黑体"/>
        </w:rPr>
      </w:pPr>
      <w:r>
        <w:rPr>
          <w:rFonts w:hint="eastAsia" w:ascii="仿宋_GB2312" w:eastAsia="仿宋_GB2312" w:cs="DengXian-Regular"/>
          <w:sz w:val="32"/>
          <w:szCs w:val="32"/>
        </w:rPr>
        <w:t>本部门2018年度本年收入合计6153.55万元，其中：财政拨款收入6153.55万元，占100%。</w:t>
      </w:r>
    </w:p>
    <w:p w14:paraId="56A03043">
      <w:pPr>
        <w:pStyle w:val="3"/>
        <w:spacing w:before="0" w:after="0" w:line="580" w:lineRule="exact"/>
        <w:ind w:firstLine="640" w:firstLineChars="200"/>
        <w:rPr>
          <w:rFonts w:ascii="黑体" w:eastAsia="黑体"/>
          <w:b w:val="0"/>
          <w:bCs w:val="0"/>
        </w:rPr>
      </w:pPr>
      <w:r>
        <w:rPr>
          <w:rFonts w:hint="eastAsia" w:ascii="黑体" w:eastAsia="黑体"/>
          <w:b w:val="0"/>
          <w:bCs w:val="0"/>
        </w:rPr>
        <w:t>三、支出决算情况说明</w:t>
      </w:r>
    </w:p>
    <w:p w14:paraId="7A7F5F9B">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本部门2018年度本年支出合计6153.55万元，其中：基本支出106.78万元，占1.74%；项目支出6046.77万元，占98.26%。</w:t>
      </w:r>
    </w:p>
    <w:p w14:paraId="454BD8E6">
      <w:pPr>
        <w:pStyle w:val="3"/>
        <w:spacing w:before="0" w:after="0" w:line="580" w:lineRule="exact"/>
        <w:ind w:firstLine="640" w:firstLineChars="200"/>
        <w:rPr>
          <w:rFonts w:ascii="黑体" w:eastAsia="黑体"/>
          <w:b w:val="0"/>
          <w:bCs w:val="0"/>
        </w:rPr>
      </w:pPr>
      <w:r>
        <w:rPr>
          <w:rFonts w:hint="eastAsia" w:ascii="黑体" w:eastAsia="黑体"/>
          <w:b w:val="0"/>
          <w:bCs w:val="0"/>
        </w:rPr>
        <w:t>四、</w:t>
      </w:r>
      <w:r>
        <w:rPr>
          <w:rFonts w:hint="eastAsia" w:ascii="黑体" w:eastAsia="黑体" w:cs="黑体" w:hAnsiTheme="minorHAnsi"/>
          <w:b w:val="0"/>
          <w:bCs w:val="0"/>
          <w:kern w:val="0"/>
        </w:rPr>
        <w:t>财政</w:t>
      </w:r>
      <w:r>
        <w:rPr>
          <w:rFonts w:hint="eastAsia" w:ascii="黑体" w:eastAsia="黑体"/>
          <w:b w:val="0"/>
          <w:bCs w:val="0"/>
        </w:rPr>
        <w:t>拨款收入支出决算情况说明</w:t>
      </w:r>
    </w:p>
    <w:p w14:paraId="60AF3E2D">
      <w:pPr>
        <w:spacing w:after="0" w:line="580" w:lineRule="exact"/>
        <w:ind w:firstLine="643" w:firstLineChars="200"/>
        <w:rPr>
          <w:rFonts w:ascii="楷体_GB2312" w:eastAsia="楷体_GB2312" w:cs="DengXian-Bold"/>
          <w:b/>
          <w:bCs/>
          <w:sz w:val="32"/>
          <w:szCs w:val="32"/>
        </w:rPr>
      </w:pPr>
      <w:r>
        <w:rPr>
          <w:rFonts w:hint="eastAsia" w:ascii="楷体_GB2312" w:eastAsia="楷体_GB2312" w:cs="DengXian-Bold"/>
          <w:b/>
          <w:bCs/>
          <w:sz w:val="32"/>
          <w:szCs w:val="32"/>
        </w:rPr>
        <w:t>（一）财政拨款收支与2017 年度决算对比情况</w:t>
      </w:r>
    </w:p>
    <w:p w14:paraId="06960941">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本部门2018年度收入6153.55万元。与2017年度决算相比，减少171.54万元，下降2.71%，主要原因是减少了项目支出。支出总计6153.55万元。与2017年度决算相比，减少171.54万元，下降2.71%，主要原因是减少了项目支出。</w:t>
      </w:r>
    </w:p>
    <w:p w14:paraId="52006C24">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其中：一般公共预算财政拨款本年收入2189.78万元，上年持平；本年支出2189.78万元，与上年持平。政府性基金预算财政拨款本年收入3963.77万元，比上年减少171.54万元，降低2.71%，主要原因是减少了项目收入；本年支出3963.77万元，比上年减少171.54万元，降低2.71%，主要原因是减少了项目支出。</w:t>
      </w:r>
    </w:p>
    <w:p w14:paraId="3EBFABD2">
      <w:pPr>
        <w:spacing w:after="0" w:line="580" w:lineRule="exact"/>
        <w:ind w:firstLine="643" w:firstLineChars="200"/>
        <w:rPr>
          <w:rFonts w:ascii="仿宋_GB2312" w:eastAsia="仿宋_GB2312" w:cs="DengXian-Bold"/>
          <w:b/>
          <w:bCs/>
          <w:sz w:val="32"/>
          <w:szCs w:val="32"/>
        </w:rPr>
      </w:pPr>
      <w:r>
        <w:rPr>
          <w:rFonts w:hint="eastAsia" w:ascii="楷体_GB2312" w:eastAsia="楷体_GB2312" w:cs="DengXian-Bold"/>
          <w:b/>
          <w:bCs/>
          <w:sz w:val="32"/>
          <w:szCs w:val="32"/>
        </w:rPr>
        <w:t>（二）财政拨款收支与年初预算数对比情况</w:t>
      </w:r>
    </w:p>
    <w:p w14:paraId="48658458">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财政拨款本年收入6153.55万元，完成年初预算的100%,年初预算持平。其中，一般公共预算财政拨款本年收入完成年初预算100%。与年初预算持平；支出完成年初预算100%，与年初预算持平。政府性基金预算财政拨款本年收入完成年初预算100%，与年初预算持平；支出完成年初预算100%，与年初预算持平。</w:t>
      </w:r>
    </w:p>
    <w:p w14:paraId="48CDAE12">
      <w:pPr>
        <w:numPr>
          <w:ilvl w:val="0"/>
          <w:numId w:val="2"/>
        </w:numPr>
        <w:adjustRightInd w:val="0"/>
        <w:snapToGrid w:val="0"/>
        <w:spacing w:after="0" w:line="580" w:lineRule="exact"/>
        <w:ind w:left="420" w:leftChars="200"/>
        <w:rPr>
          <w:rFonts w:ascii="楷体_GB2312" w:eastAsia="楷体_GB2312" w:cs="DengXian-Bold"/>
          <w:b/>
          <w:bCs/>
          <w:sz w:val="32"/>
          <w:szCs w:val="32"/>
        </w:rPr>
      </w:pPr>
      <w:r>
        <w:rPr>
          <w:rFonts w:hint="eastAsia" w:ascii="楷体_GB2312" w:eastAsia="楷体_GB2312" w:cs="DengXian-Bold"/>
          <w:b/>
          <w:bCs/>
          <w:sz w:val="32"/>
          <w:szCs w:val="32"/>
        </w:rPr>
        <w:t>财政拨款支出决算结构情况。</w:t>
      </w:r>
    </w:p>
    <w:p w14:paraId="54900657">
      <w:pPr>
        <w:adjustRightInd w:val="0"/>
        <w:snapToGrid w:val="0"/>
        <w:spacing w:after="0" w:line="580" w:lineRule="exact"/>
        <w:ind w:firstLine="640" w:firstLineChars="200"/>
        <w:rPr>
          <w:rFonts w:ascii="楷体_GB2312" w:eastAsia="楷体_GB2312" w:cs="DengXian-Bold"/>
          <w:b/>
          <w:bCs/>
          <w:sz w:val="32"/>
          <w:szCs w:val="32"/>
        </w:rPr>
      </w:pPr>
      <w:r>
        <w:rPr>
          <w:rFonts w:hint="eastAsia" w:ascii="仿宋_GB2312" w:eastAsia="仿宋_GB2312" w:cs="DengXian-Regular"/>
          <w:sz w:val="32"/>
          <w:szCs w:val="32"/>
        </w:rPr>
        <w:t>2018 年度财政拨款支出6153.55万元，主要用于以下方面一般公共服务（类）支出2156.33万元，占35.04%；城乡社区（类）支出3963.77万元，占64.42%；农林水（类）支出33.45万元，占0.54%。</w:t>
      </w:r>
    </w:p>
    <w:p w14:paraId="4177C888">
      <w:pPr>
        <w:adjustRightInd w:val="0"/>
        <w:snapToGrid w:val="0"/>
        <w:spacing w:after="0" w:line="580" w:lineRule="exact"/>
        <w:ind w:left="420" w:leftChars="200"/>
        <w:rPr>
          <w:rFonts w:ascii="楷体_GB2312" w:eastAsia="楷体_GB2312" w:cs="DengXian-Bold"/>
          <w:b/>
          <w:bCs/>
          <w:sz w:val="32"/>
          <w:szCs w:val="32"/>
        </w:rPr>
      </w:pPr>
      <w:r>
        <w:rPr>
          <w:sz w:val="44"/>
        </w:rPr>
        <w:pict>
          <v:group id="_x0000_s2112" o:spid="_x0000_s2112" o:spt="203" style="position:absolute;left:0pt;margin-left:-0.55pt;margin-top:29.3pt;height:43.95pt;width:301.85pt;mso-position-horizontal-relative:page;mso-position-vertical-relative:page;z-index:251674624;mso-width-relative:page;mso-height-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En7KztsAAAALAQAADwAAAAAAAAABACAA&#10;AAAiAAAAZHJzL2Rvd25yZXYueG1sUEsBAhQAFAAAAAgAh07iQMMBJH4nAwAA7ggAAA4AAAAAAAAA&#10;AQAgAAAAKgEAAGRycy9lMm9Eb2MueG1sUEsFBgAAAAAGAAYAWQEAAMMGAAAAAA==&#10;">
            <o:lock v:ext="edit"/>
            <v:rect id="矩形 13" o:spid="_x0000_s2113" o:spt="1" style="position:absolute;left:4551;top:52615;height:1175;width:8546;v-text-anchor:middle;" fillcolor="#D9D9D9" filled="t" stroked="f" coordsize="21600,21600" o:gfxdata="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RiGsugAAANsA&#10;AAAPAAAAAAAAAAEAIAAAACIAAABkcnMvZG93bnJldi54bWxQSwECFAAUAAAACACHTuJAMy8FnjsA&#10;AAA5AAAAEAAAAAAAAAABACAAAAAJAQAAZHJzL3NoYXBleG1sLnhtbFBLBQYAAAAABgAGAFsBAACz&#10;AwAAAAA=&#10;">
              <v:path/>
              <v:fill on="t" focussize="0,0"/>
              <v:stroke on="f" weight="2pt"/>
              <v:imagedata o:title=""/>
              <o:lock v:ext="edit"/>
            </v:rect>
            <v:rect id="矩形 14" o:spid="_x0000_s2114" o:spt="1" style="position:absolute;left:4577;top:52890;height:1123;width:8324;v-text-anchor:middle;" fillcolor="#AD002D" filled="t" stroked="t" coordsize="21600,21600" o:gfxdata="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jwAG8AAAA&#10;2wAAAA8AAAAAAAAAAQAgAAAAIgAAAGRycy9kb3ducmV2LnhtbFBLAQIUABQAAAAIAIdO4kAzLwWe&#10;OwAAADkAAAAQAAAAAAAAAAEAIAAAAAsBAABkcnMvc2hhcGV4bWwueG1sUEsFBgAAAAAGAAYAWwEA&#10;ALUDAAAAAA==&#10;">
              <v:path/>
              <v:fill on="t" focussize="0,0"/>
              <v:stroke weight="2pt" color="#B0761F" joinstyle="round"/>
              <v:imagedata o:title=""/>
              <o:lock v:ext="edit"/>
              <v:textbox>
                <w:txbxContent>
                  <w:p w14:paraId="0B0B62D0">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638AED0B">
                    <w:pPr>
                      <w:jc w:val="center"/>
                    </w:pPr>
                  </w:p>
                </w:txbxContent>
              </v:textbox>
            </v:rect>
            <w10:anchorlock/>
          </v:group>
        </w:pict>
      </w:r>
      <w:r>
        <w:rPr>
          <w:rFonts w:hint="eastAsia" w:ascii="楷体_GB2312" w:eastAsia="楷体_GB2312" w:cs="DengXian-Bold"/>
          <w:b/>
          <w:bCs/>
          <w:sz w:val="32"/>
          <w:szCs w:val="32"/>
        </w:rPr>
        <w:t>（四）一般公共预算财政拨款基本支出决算情况说明</w:t>
      </w:r>
    </w:p>
    <w:p w14:paraId="4182F923">
      <w:pPr>
        <w:adjustRightInd w:val="0"/>
        <w:snapToGrid w:val="0"/>
        <w:spacing w:after="0" w:line="580" w:lineRule="exact"/>
        <w:ind w:firstLine="640" w:firstLineChars="200"/>
        <w:rPr>
          <w:rFonts w:ascii="Tahoma" w:hAnsi="Tahoma" w:cs="Tahoma"/>
          <w:color w:val="000000"/>
          <w:kern w:val="0"/>
          <w:sz w:val="30"/>
          <w:szCs w:val="30"/>
        </w:rPr>
      </w:pPr>
      <w:r>
        <w:rPr>
          <w:rFonts w:hint="eastAsia" w:ascii="仿宋_GB2312" w:eastAsia="仿宋_GB2312" w:cs="DengXian-Regular"/>
          <w:sz w:val="32"/>
          <w:szCs w:val="32"/>
        </w:rPr>
        <w:t>2018 年度一般公共预算财政拨款基本支出106.78万元，</w:t>
      </w:r>
      <w:r>
        <w:rPr>
          <w:rFonts w:hint="eastAsia" w:ascii="Tahoma" w:hAnsi="Tahoma" w:cs="Tahoma"/>
          <w:color w:val="000000"/>
          <w:kern w:val="0"/>
          <w:sz w:val="30"/>
          <w:szCs w:val="30"/>
        </w:rPr>
        <w:t>主要用于机关正常运行所支出的水电、差旅、办公等各项费用。</w:t>
      </w:r>
    </w:p>
    <w:p w14:paraId="4641390C">
      <w:pPr>
        <w:pStyle w:val="3"/>
        <w:spacing w:before="0" w:after="0" w:line="580" w:lineRule="exact"/>
        <w:ind w:firstLine="640" w:firstLineChars="200"/>
        <w:rPr>
          <w:rFonts w:ascii="黑体" w:eastAsia="黑体" w:cs="Times New Roman"/>
          <w:b w:val="0"/>
          <w:bCs w:val="0"/>
        </w:rPr>
      </w:pPr>
      <w:r>
        <w:rPr>
          <w:rFonts w:hint="eastAsia" w:ascii="黑体" w:eastAsia="黑体" w:cs="Times New Roman"/>
          <w:b w:val="0"/>
          <w:bCs w:val="0"/>
        </w:rPr>
        <w:t>五、一般公共预算财政拨款“三公” 经费支出决算情况说明</w:t>
      </w:r>
    </w:p>
    <w:p w14:paraId="049373E9">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本部门2018年度“三公”经费支出共计0万元，完成预算的0,较预算持平，主要是未发生此项支出，较2017年度持平，主要是无此项支出。具体情况如下：</w:t>
      </w:r>
    </w:p>
    <w:p w14:paraId="33343BCF">
      <w:pPr>
        <w:adjustRightInd w:val="0"/>
        <w:snapToGrid w:val="0"/>
        <w:spacing w:line="580" w:lineRule="exact"/>
        <w:ind w:firstLine="643" w:firstLineChars="200"/>
        <w:rPr>
          <w:rFonts w:ascii="仿宋_GB2312" w:eastAsia="仿宋_GB2312" w:cs="DengXian-Regular"/>
          <w:sz w:val="32"/>
          <w:szCs w:val="32"/>
        </w:rPr>
      </w:pPr>
      <w:r>
        <w:rPr>
          <w:rFonts w:hint="eastAsia" w:ascii="楷体_GB2312" w:eastAsia="楷体_GB2312" w:cs="DengXian-Bold"/>
          <w:b/>
          <w:bCs/>
          <w:sz w:val="32"/>
          <w:szCs w:val="32"/>
        </w:rPr>
        <w:t>（一）因公出国（境）费支出0万元。</w:t>
      </w:r>
      <w:r>
        <w:rPr>
          <w:rFonts w:hint="eastAsia" w:ascii="仿宋_GB2312" w:eastAsia="仿宋_GB2312" w:cs="DengXian-Regular"/>
          <w:sz w:val="32"/>
          <w:szCs w:val="32"/>
        </w:rPr>
        <w:t>本部门2018年度因公出国（境）团组0个、共0人/参加其他单位组织的因公出国（境）团组0个、共0人/无本单位组织的出国（境）团组。因公出国（境）费支出较预算持平,主要是未发生此项支出；较上年持平,主要是未发生此项支出。</w:t>
      </w:r>
    </w:p>
    <w:p w14:paraId="25AAF351">
      <w:pPr>
        <w:adjustRightInd w:val="0"/>
        <w:snapToGrid w:val="0"/>
        <w:spacing w:line="580" w:lineRule="exact"/>
        <w:ind w:firstLine="643" w:firstLineChars="200"/>
        <w:rPr>
          <w:rFonts w:ascii="仿宋_GB2312" w:eastAsia="仿宋_GB2312" w:cs="DengXian-Bold"/>
          <w:b/>
          <w:bCs/>
          <w:sz w:val="32"/>
          <w:szCs w:val="32"/>
        </w:rPr>
      </w:pPr>
      <w:r>
        <w:rPr>
          <w:rFonts w:hint="eastAsia" w:ascii="楷体_GB2312" w:eastAsia="楷体_GB2312" w:cs="DengXian-Bold"/>
          <w:b/>
          <w:bCs/>
          <w:sz w:val="32"/>
          <w:szCs w:val="32"/>
        </w:rPr>
        <w:t>（二）公务用车购置及运行维护费支出0万元。</w:t>
      </w:r>
      <w:r>
        <w:rPr>
          <w:rFonts w:hint="eastAsia" w:ascii="仿宋_GB2312" w:eastAsia="仿宋_GB2312" w:cs="DengXian-Regular"/>
          <w:sz w:val="32"/>
          <w:szCs w:val="32"/>
        </w:rPr>
        <w:t>本部门2018年度公务用车购置及运行维护费较预算持平,主要是未发生此项支出；较上年持平,主要是未发生此项支出。</w:t>
      </w:r>
      <w:r>
        <w:rPr>
          <w:rFonts w:hint="eastAsia" w:ascii="仿宋_GB2312" w:eastAsia="仿宋_GB2312" w:cs="DengXian-Bold"/>
          <w:b/>
          <w:bCs/>
          <w:sz w:val="32"/>
          <w:szCs w:val="32"/>
        </w:rPr>
        <w:t>其中：</w:t>
      </w:r>
    </w:p>
    <w:p w14:paraId="59D79075">
      <w:pPr>
        <w:adjustRightInd w:val="0"/>
        <w:snapToGrid w:val="0"/>
        <w:spacing w:line="580" w:lineRule="exact"/>
        <w:ind w:firstLine="643" w:firstLineChars="200"/>
        <w:rPr>
          <w:rFonts w:ascii="仿宋_GB2312" w:eastAsia="仿宋_GB2312" w:cs="DengXian-Regular"/>
          <w:sz w:val="32"/>
          <w:szCs w:val="32"/>
        </w:rPr>
      </w:pPr>
      <w:r>
        <w:rPr>
          <w:rFonts w:hint="eastAsia" w:ascii="仿宋_GB2312" w:eastAsia="仿宋_GB2312" w:cs="DengXian-Regular"/>
          <w:b/>
          <w:sz w:val="32"/>
          <w:szCs w:val="32"/>
        </w:rPr>
        <w:t>公务用车购置费：</w:t>
      </w:r>
      <w:r>
        <w:rPr>
          <w:rFonts w:hint="eastAsia" w:ascii="仿宋_GB2312" w:eastAsia="仿宋_GB2312" w:cs="DengXian-Regular"/>
          <w:sz w:val="32"/>
          <w:szCs w:val="32"/>
        </w:rPr>
        <w:t>本部门2018年度公务用车购置量x辆，发生“公务用车购置”经费支出0万元。公务用车购置费支出较预算持平,主要是</w:t>
      </w:r>
      <w:r>
        <w:rPr>
          <w:rFonts w:hint="eastAsia" w:ascii="仿宋_GB2312" w:eastAsia="仿宋_GB2312" w:cs="DengXian-Regular"/>
          <w:color w:val="000000"/>
          <w:sz w:val="32"/>
          <w:szCs w:val="32"/>
        </w:rPr>
        <w:t>未发生“公务用车购置”经费支出</w:t>
      </w:r>
      <w:r>
        <w:rPr>
          <w:rFonts w:hint="eastAsia" w:ascii="仿宋_GB2312" w:eastAsia="仿宋_GB2312" w:cs="DengXian-Regular"/>
          <w:sz w:val="32"/>
          <w:szCs w:val="32"/>
        </w:rPr>
        <w:t>；较上年持平,主要是</w:t>
      </w:r>
      <w:r>
        <w:rPr>
          <w:rFonts w:hint="eastAsia" w:ascii="仿宋_GB2312" w:eastAsia="仿宋_GB2312" w:cs="DengXian-Regular"/>
          <w:color w:val="000000"/>
          <w:sz w:val="32"/>
          <w:szCs w:val="32"/>
        </w:rPr>
        <w:t>未发生“公务用车购置”经费支出</w:t>
      </w:r>
      <w:r>
        <w:rPr>
          <w:rFonts w:hint="eastAsia" w:ascii="仿宋_GB2312" w:eastAsia="仿宋_GB2312" w:cs="DengXian-Regular"/>
          <w:sz w:val="32"/>
          <w:szCs w:val="32"/>
        </w:rPr>
        <w:t>。</w:t>
      </w:r>
    </w:p>
    <w:p w14:paraId="6080BFA4">
      <w:pPr>
        <w:adjustRightInd w:val="0"/>
        <w:snapToGrid w:val="0"/>
        <w:spacing w:after="0" w:line="580" w:lineRule="exact"/>
        <w:ind w:firstLine="640" w:firstLineChars="200"/>
        <w:rPr>
          <w:rFonts w:ascii="黑体" w:eastAsia="黑体"/>
          <w:sz w:val="32"/>
          <w:szCs w:val="40"/>
        </w:rPr>
      </w:pPr>
      <w:r>
        <w:rPr>
          <w:rFonts w:hint="eastAsia" w:ascii="黑体" w:eastAsia="黑体"/>
          <w:sz w:val="32"/>
          <w:szCs w:val="40"/>
        </w:rPr>
        <w:t>六、预算绩效情况说明</w:t>
      </w:r>
    </w:p>
    <w:p w14:paraId="3EFB44A5">
      <w:pPr>
        <w:widowControl/>
        <w:spacing w:before="124" w:after="124"/>
        <w:ind w:firstLine="480"/>
        <w:jc w:val="left"/>
        <w:rPr>
          <w:rFonts w:ascii="仿宋_GB2312" w:eastAsia="仿宋_GB2312" w:cs="DengXian-Regular"/>
          <w:sz w:val="32"/>
          <w:szCs w:val="32"/>
        </w:rPr>
      </w:pPr>
      <w:r>
        <w:rPr>
          <w:rFonts w:hint="eastAsia" w:ascii="仿宋_GB2312" w:eastAsia="仿宋_GB2312" w:cs="DengXian-Regular"/>
          <w:sz w:val="32"/>
          <w:szCs w:val="32"/>
        </w:rPr>
        <w:t>（一）预算绩效管理工作开展情况。</w:t>
      </w:r>
    </w:p>
    <w:p w14:paraId="56101821">
      <w:pPr>
        <w:widowControl/>
        <w:spacing w:before="124" w:after="124"/>
        <w:ind w:firstLine="480"/>
        <w:jc w:val="left"/>
        <w:rPr>
          <w:rFonts w:ascii="Tahoma" w:hAnsi="Tahoma" w:cs="Tahoma"/>
          <w:color w:val="000000"/>
          <w:kern w:val="0"/>
          <w:sz w:val="30"/>
          <w:szCs w:val="30"/>
        </w:rPr>
      </w:pPr>
      <w:r>
        <w:rPr>
          <w:rFonts w:hint="eastAsia" w:ascii="Tahoma" w:hAnsi="Tahoma" w:cs="Tahoma"/>
          <w:color w:val="000000"/>
          <w:kern w:val="0"/>
          <w:sz w:val="30"/>
          <w:szCs w:val="30"/>
        </w:rPr>
        <w:t>2018年，根据财政部《财政支出绩效评价管理暂行办法》（财预[2011]285 号）的规定，对纳入年度绩效评价范围的项目，围绕“预算编制有目标、预算执行有监控、预算完成有评价、评价结果有反馈，反馈结果有应用”的绩效目标要求，认真开展绩效评价，促进提高项目资金使用绩效。按照绩效评价的有关程序，组织具体项目单位对项目绩效开展了自我评价，在各单位自评的基础上，进行了综合评价，从项目年度目标，效率目标、项目管理和项目结果等方面进行了评价。制定经济发展规划，促进民营企业发展，招商引资，发展支柱产业。加强基础设施建设，落实强农惠农措施，搞好技术推广应用。负责符合条件的农村居民最低生活保障工作。负责农村五保户的分散供养工作。负责符合条件的农村居民的临时生活救助。</w:t>
      </w:r>
    </w:p>
    <w:p w14:paraId="6EAC4B96">
      <w:pPr>
        <w:widowControl/>
        <w:spacing w:before="124" w:after="124"/>
        <w:ind w:firstLine="480"/>
        <w:jc w:val="left"/>
        <w:rPr>
          <w:rFonts w:ascii="仿宋_GB2312" w:eastAsia="仿宋_GB2312" w:cs="DengXian-Regular"/>
          <w:sz w:val="32"/>
          <w:szCs w:val="32"/>
        </w:rPr>
      </w:pPr>
      <w:r>
        <w:rPr>
          <w:rFonts w:hint="eastAsia" w:ascii="仿宋_GB2312" w:eastAsia="仿宋_GB2312" w:cs="DengXian-Regular"/>
          <w:sz w:val="32"/>
          <w:szCs w:val="32"/>
        </w:rPr>
        <w:t>（二）项目绩效自评结果</w:t>
      </w:r>
    </w:p>
    <w:p w14:paraId="3893FBC2">
      <w:pPr>
        <w:widowControl/>
        <w:tabs>
          <w:tab w:val="left" w:pos="298"/>
        </w:tabs>
        <w:spacing w:after="0"/>
        <w:jc w:val="left"/>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 xml:space="preserve">   1、项目资金使用情况</w:t>
      </w:r>
    </w:p>
    <w:p w14:paraId="2571C7AE">
      <w:pPr>
        <w:widowControl/>
        <w:tabs>
          <w:tab w:val="left" w:pos="298"/>
        </w:tabs>
        <w:ind w:firstLine="643" w:firstLineChars="200"/>
        <w:jc w:val="left"/>
        <w:rPr>
          <w:rFonts w:ascii="楷体" w:hAnsi="楷体" w:eastAsia="楷体" w:cs="楷体_GB2312"/>
          <w:b/>
          <w:bCs/>
          <w:color w:val="000000"/>
          <w:kern w:val="0"/>
          <w:sz w:val="32"/>
          <w:szCs w:val="32"/>
        </w:rPr>
      </w:pPr>
      <w:r>
        <w:rPr>
          <w:rFonts w:hint="eastAsia" w:ascii="楷体" w:hAnsi="楷体" w:eastAsia="楷体" w:cs="楷体_GB2312"/>
          <w:b/>
          <w:bCs/>
          <w:color w:val="000000"/>
          <w:kern w:val="0"/>
          <w:sz w:val="32"/>
          <w:szCs w:val="32"/>
        </w:rPr>
        <w:t>（1）资金到位情况</w:t>
      </w:r>
    </w:p>
    <w:p w14:paraId="0284D3AE">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项目预算安排情况。项目预算安排总额6943.17万元，其中：县本级财政安排6943.17万元。</w:t>
      </w:r>
    </w:p>
    <w:p w14:paraId="417B6FF6">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财政拨款总额6046.77万元，其中：以往年度拨款0万     元。资金到位率87.09%</w:t>
      </w:r>
    </w:p>
    <w:p w14:paraId="12D91A57">
      <w:pPr>
        <w:widowControl/>
        <w:tabs>
          <w:tab w:val="left" w:pos="298"/>
        </w:tabs>
        <w:ind w:firstLine="643" w:firstLineChars="200"/>
        <w:jc w:val="left"/>
        <w:rPr>
          <w:rFonts w:ascii="楷体" w:hAnsi="楷体" w:eastAsia="楷体" w:cs="楷体_GB2312"/>
          <w:b/>
          <w:bCs/>
          <w:color w:val="000000"/>
          <w:kern w:val="0"/>
          <w:sz w:val="32"/>
          <w:szCs w:val="32"/>
        </w:rPr>
      </w:pPr>
      <w:r>
        <w:rPr>
          <w:rFonts w:hint="eastAsia" w:ascii="楷体" w:hAnsi="楷体" w:eastAsia="楷体" w:cs="楷体_GB2312"/>
          <w:b/>
          <w:bCs/>
          <w:color w:val="000000"/>
          <w:kern w:val="0"/>
          <w:sz w:val="32"/>
          <w:szCs w:val="32"/>
        </w:rPr>
        <w:t>（2）资金使用情况</w:t>
      </w:r>
    </w:p>
    <w:p w14:paraId="03119756">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项目实际支出总额6046.77万元，其中：以往年度实际支出0万元。资金使用率100%</w:t>
      </w:r>
    </w:p>
    <w:p w14:paraId="231132D4">
      <w:pPr>
        <w:widowControl/>
        <w:tabs>
          <w:tab w:val="left" w:pos="298"/>
        </w:tabs>
        <w:ind w:firstLine="643" w:firstLineChars="200"/>
        <w:jc w:val="left"/>
        <w:rPr>
          <w:rFonts w:ascii="楷体" w:hAnsi="楷体" w:eastAsia="楷体" w:cs="楷体_GB2312"/>
          <w:b/>
          <w:bCs/>
          <w:color w:val="000000"/>
          <w:kern w:val="0"/>
          <w:sz w:val="32"/>
          <w:szCs w:val="32"/>
        </w:rPr>
      </w:pPr>
      <w:r>
        <w:rPr>
          <w:rFonts w:hint="eastAsia" w:ascii="楷体" w:hAnsi="楷体" w:eastAsia="楷体" w:cs="楷体_GB2312"/>
          <w:b/>
          <w:bCs/>
          <w:color w:val="000000"/>
          <w:kern w:val="0"/>
          <w:sz w:val="32"/>
          <w:szCs w:val="32"/>
        </w:rPr>
        <w:t>（3）政府预算支出经济分类科目变动情况</w:t>
      </w:r>
    </w:p>
    <w:p w14:paraId="69D6E7D4">
      <w:pPr>
        <w:widowControl/>
        <w:tabs>
          <w:tab w:val="left" w:pos="298"/>
        </w:tabs>
        <w:ind w:firstLine="960" w:firstLineChars="300"/>
        <w:jc w:val="left"/>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无</w:t>
      </w:r>
    </w:p>
    <w:p w14:paraId="1FCB0FAD">
      <w:pPr>
        <w:widowControl/>
        <w:tabs>
          <w:tab w:val="left" w:pos="298"/>
        </w:tabs>
        <w:ind w:firstLine="640" w:firstLineChars="200"/>
        <w:jc w:val="left"/>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2、项目绩效指标完成情况分析</w:t>
      </w:r>
    </w:p>
    <w:p w14:paraId="1BC49F37">
      <w:pPr>
        <w:widowControl/>
        <w:tabs>
          <w:tab w:val="left" w:pos="298"/>
        </w:tabs>
        <w:ind w:firstLine="643" w:firstLineChars="200"/>
        <w:jc w:val="left"/>
        <w:rPr>
          <w:rFonts w:ascii="楷体" w:hAnsi="楷体" w:eastAsia="楷体" w:cs="楷体_GB2312"/>
          <w:b/>
          <w:bCs/>
          <w:color w:val="000000"/>
          <w:kern w:val="0"/>
          <w:sz w:val="32"/>
          <w:szCs w:val="32"/>
        </w:rPr>
      </w:pPr>
      <w:r>
        <w:rPr>
          <w:rFonts w:hint="eastAsia" w:ascii="楷体" w:hAnsi="楷体" w:eastAsia="楷体" w:cs="楷体_GB2312"/>
          <w:b/>
          <w:bCs/>
          <w:color w:val="000000"/>
          <w:kern w:val="0"/>
          <w:sz w:val="32"/>
          <w:szCs w:val="32"/>
        </w:rPr>
        <w:t>（1）项目产出绩效指标完成情况分析</w:t>
      </w:r>
    </w:p>
    <w:p w14:paraId="72771B20">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 xml:space="preserve">  工程验收合格率（%）：100%</w:t>
      </w:r>
    </w:p>
    <w:p w14:paraId="7CFAAF7B">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 xml:space="preserve">  工程量完成率（%）完成情况：100%</w:t>
      </w:r>
    </w:p>
    <w:p w14:paraId="533FE8C8">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 xml:space="preserve">  工程按期完成率(%)完成情况：100%</w:t>
      </w:r>
    </w:p>
    <w:p w14:paraId="5F13B859">
      <w:pPr>
        <w:spacing w:line="360" w:lineRule="auto"/>
        <w:ind w:firstLine="643" w:firstLineChars="200"/>
        <w:rPr>
          <w:rFonts w:ascii="楷体" w:hAnsi="楷体" w:eastAsia="楷体" w:cs="楷体_GB2312"/>
          <w:b/>
          <w:sz w:val="32"/>
          <w:szCs w:val="32"/>
        </w:rPr>
      </w:pPr>
      <w:r>
        <w:rPr>
          <w:rFonts w:hint="eastAsia" w:ascii="楷体" w:hAnsi="楷体" w:eastAsia="楷体" w:cs="楷体_GB2312"/>
          <w:b/>
          <w:sz w:val="32"/>
          <w:szCs w:val="32"/>
        </w:rPr>
        <w:t>（2）项目效果指标完成情况分析</w:t>
      </w:r>
    </w:p>
    <w:p w14:paraId="51E40816">
      <w:pPr>
        <w:adjustRightInd w:val="0"/>
        <w:snapToGrid w:val="0"/>
        <w:spacing w:after="0" w:line="580" w:lineRule="exact"/>
        <w:ind w:firstLine="640" w:firstLineChars="200"/>
        <w:rPr>
          <w:rFonts w:ascii="仿宋_GB2312" w:eastAsia="仿宋_GB2312" w:cs="DengXian-Regular"/>
          <w:sz w:val="32"/>
          <w:szCs w:val="32"/>
        </w:rPr>
      </w:pPr>
      <w:r>
        <w:rPr>
          <w:rFonts w:hint="eastAsia" w:ascii="仿宋" w:hAnsi="仿宋" w:eastAsia="仿宋" w:cs="仿宋_GB2312"/>
          <w:bCs/>
          <w:sz w:val="32"/>
          <w:szCs w:val="32"/>
        </w:rPr>
        <w:t xml:space="preserve">  </w:t>
      </w:r>
      <w:r>
        <w:rPr>
          <w:rFonts w:hint="eastAsia" w:ascii="仿宋_GB2312" w:eastAsia="仿宋_GB2312" w:cs="DengXian-Regular"/>
          <w:sz w:val="32"/>
          <w:szCs w:val="32"/>
        </w:rPr>
        <w:t>基础设施完好率（%）：100%。</w:t>
      </w:r>
    </w:p>
    <w:p w14:paraId="194B0814">
      <w:pPr>
        <w:spacing w:after="0" w:line="360" w:lineRule="auto"/>
        <w:rPr>
          <w:rFonts w:ascii="楷体" w:hAnsi="楷体" w:eastAsia="楷体" w:cs="楷体_GB2312"/>
          <w:b/>
          <w:sz w:val="32"/>
          <w:szCs w:val="32"/>
        </w:rPr>
      </w:pPr>
      <w:r>
        <w:rPr>
          <w:rFonts w:hint="eastAsia" w:ascii="楷体" w:hAnsi="楷体" w:eastAsia="楷体" w:cs="楷体_GB2312"/>
          <w:b/>
          <w:sz w:val="32"/>
          <w:szCs w:val="32"/>
        </w:rPr>
        <w:t xml:space="preserve">   （3）满意度指标完成情况分析</w:t>
      </w:r>
    </w:p>
    <w:p w14:paraId="261E2A54">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 xml:space="preserve">    满意度指标抽样调查的开展情况：通过问卷调查的方式对30名受益群体进行抽样调查。抽样调查结果：100%满意。</w:t>
      </w:r>
    </w:p>
    <w:p w14:paraId="6FD3D956">
      <w:pPr>
        <w:spacing w:after="0" w:line="360" w:lineRule="auto"/>
        <w:rPr>
          <w:rFonts w:ascii="黑体" w:hAnsi="黑体" w:eastAsia="黑体" w:cs="黑体"/>
          <w:sz w:val="32"/>
          <w:szCs w:val="32"/>
        </w:rPr>
      </w:pPr>
      <w:r>
        <w:rPr>
          <w:rFonts w:hint="eastAsia" w:ascii="黑体" w:hAnsi="黑体" w:eastAsia="黑体" w:cs="黑体"/>
          <w:sz w:val="32"/>
          <w:szCs w:val="32"/>
        </w:rPr>
        <w:t xml:space="preserve">   3、绩效自评工作的经验、问题和建</w:t>
      </w:r>
      <w:r>
        <w:rPr>
          <w:rFonts w:ascii="黑体" w:hAnsi="黑体" w:eastAsia="黑体" w:cs="黑体"/>
          <w:sz w:val="32"/>
          <w:szCs w:val="32"/>
        </w:rPr>
        <w:pict>
          <v:shape id="自选图形 2" o:spid="_x0000_s2148" o:spt="32" type="#_x0000_t32" style="position:absolute;left:0pt;flip:y;margin-left:270.85pt;margin-top:26.75pt;height:1.5pt;width:0.75pt;z-index:251679744;mso-width-relative:page;mso-height-relative:page;" o:connectortype="straight" filled="f" coordsize="21600,21600">
            <v:path arrowok="t"/>
            <v:fill on="f" focussize="0,0"/>
            <v:stroke/>
            <v:imagedata o:title=""/>
            <o:lock v:ext="edit"/>
          </v:shape>
        </w:pict>
      </w:r>
      <w:r>
        <w:rPr>
          <w:rFonts w:hint="eastAsia" w:ascii="黑体" w:hAnsi="黑体" w:eastAsia="黑体" w:cs="黑体"/>
          <w:sz w:val="32"/>
          <w:szCs w:val="32"/>
        </w:rPr>
        <w:t>议</w:t>
      </w:r>
    </w:p>
    <w:p w14:paraId="42746621">
      <w:pPr>
        <w:adjustRightInd w:val="0"/>
        <w:snapToGrid w:val="0"/>
        <w:spacing w:after="0" w:line="580" w:lineRule="exact"/>
        <w:ind w:firstLine="640" w:firstLineChars="200"/>
        <w:rPr>
          <w:rFonts w:ascii="仿宋_GB2312" w:eastAsia="仿宋_GB2312" w:cs="DengXian-Regular"/>
          <w:sz w:val="32"/>
          <w:szCs w:val="32"/>
        </w:rPr>
      </w:pPr>
      <w:bookmarkStart w:id="0" w:name="_Hlk526087931"/>
      <w:bookmarkStart w:id="1" w:name="_Hlk526061279"/>
      <w:r>
        <w:rPr>
          <w:rFonts w:hint="eastAsia" w:ascii="仿宋_GB2312" w:eastAsia="仿宋_GB2312" w:cs="DengXian-Regular"/>
          <w:sz w:val="32"/>
          <w:szCs w:val="32"/>
        </w:rPr>
        <w:t>（1）. 加强财政支出的绩效意识，科学合理设置绩效目标；完善项目绩效目标、管理机制和资金管理制度，加强项目实施全过程管控。</w:t>
      </w:r>
    </w:p>
    <w:p w14:paraId="749C001F">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(2)建设单位及时组织项目竣工财务决算。及时进行财务决算审计，加强基本建设项目竣工财务决算管理，提高资金使用效益。</w:t>
      </w:r>
    </w:p>
    <w:p w14:paraId="13DF01A1">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(3).严格按照基本建设财务规则，行政事业单位内部控制规范（试行）等国家规定执行。</w:t>
      </w:r>
      <w:bookmarkEnd w:id="0"/>
      <w:bookmarkEnd w:id="1"/>
    </w:p>
    <w:p w14:paraId="4A77EAD9">
      <w:pPr>
        <w:pStyle w:val="3"/>
        <w:spacing w:before="0" w:after="0" w:line="580" w:lineRule="exact"/>
        <w:ind w:firstLine="640" w:firstLineChars="200"/>
        <w:rPr>
          <w:rFonts w:ascii="黑体" w:eastAsia="黑体" w:cs="Times New Roman"/>
          <w:b w:val="0"/>
          <w:bCs w:val="0"/>
        </w:rPr>
      </w:pPr>
      <w:r>
        <w:rPr>
          <w:rFonts w:hint="eastAsia" w:ascii="黑体" w:eastAsia="黑体" w:cs="Times New Roman"/>
          <w:b w:val="0"/>
          <w:bCs w:val="0"/>
        </w:rPr>
        <w:t>七、其他重要事项的说明</w:t>
      </w:r>
    </w:p>
    <w:p w14:paraId="53FE5BB5">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（一）机关运行经费情况</w:t>
      </w:r>
    </w:p>
    <w:p w14:paraId="0F7B88BF">
      <w:pPr>
        <w:adjustRightInd w:val="0"/>
        <w:snapToGrid w:val="0"/>
        <w:spacing w:after="0" w:line="580" w:lineRule="exact"/>
        <w:ind w:firstLine="640" w:firstLineChars="200"/>
        <w:rPr>
          <w:rFonts w:hint="eastAsia" w:ascii="仿宋_GB2312" w:eastAsia="仿宋_GB2312" w:cs="DengXian-Regular"/>
          <w:sz w:val="32"/>
          <w:szCs w:val="32"/>
          <w:lang w:eastAsia="zh-CN"/>
        </w:rPr>
      </w:pPr>
      <w:r>
        <w:rPr>
          <w:rFonts w:hint="eastAsia" w:ascii="仿宋_GB2312" w:eastAsia="仿宋_GB2312" w:cs="DengXian-Regular"/>
          <w:sz w:val="32"/>
          <w:szCs w:val="32"/>
        </w:rPr>
        <w:t>本部门2018年度机关运行经费支出106.78万元，年初预算数</w:t>
      </w:r>
      <w:r>
        <w:rPr>
          <w:rFonts w:hint="eastAsia" w:ascii="仿宋_GB2312" w:eastAsia="仿宋_GB2312" w:cs="DengXian-Regular"/>
          <w:sz w:val="32"/>
          <w:szCs w:val="32"/>
          <w:lang w:val="en-US" w:eastAsia="zh-CN"/>
        </w:rPr>
        <w:t>114万元能减少7.22万元，减少6.33%</w:t>
      </w:r>
      <w:r>
        <w:rPr>
          <w:rFonts w:hint="eastAsia" w:ascii="仿宋_GB2312" w:eastAsia="仿宋_GB2312" w:cs="DengXian-Regular"/>
          <w:sz w:val="32"/>
          <w:szCs w:val="32"/>
        </w:rPr>
        <w:t>。</w:t>
      </w:r>
      <w:r>
        <w:rPr>
          <w:rFonts w:hint="eastAsia" w:ascii="仿宋_GB2312" w:eastAsia="仿宋_GB2312" w:cs="DengXian-Regular"/>
          <w:sz w:val="32"/>
          <w:szCs w:val="32"/>
          <w:lang w:eastAsia="zh-CN"/>
        </w:rPr>
        <w:t>主要是严格按照中央八项规定，严控支出。</w:t>
      </w:r>
    </w:p>
    <w:p w14:paraId="27E1DDE4">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（二）政府采购情况</w:t>
      </w:r>
    </w:p>
    <w:p w14:paraId="0E3F7D93">
      <w:pPr>
        <w:widowControl/>
        <w:spacing w:after="0" w:line="580" w:lineRule="exact"/>
        <w:ind w:firstLine="640" w:firstLineChars="200"/>
        <w:jc w:val="left"/>
        <w:rPr>
          <w:rFonts w:ascii="仿宋_GB2312" w:eastAsia="仿宋_GB2312" w:cs="DengXian-Regular"/>
          <w:sz w:val="32"/>
          <w:szCs w:val="32"/>
        </w:rPr>
      </w:pPr>
      <w:r>
        <w:rPr>
          <w:rFonts w:hint="eastAsia" w:ascii="仿宋_GB2312" w:eastAsia="仿宋_GB2312" w:cs="DengXian-Regular"/>
          <w:sz w:val="32"/>
          <w:szCs w:val="32"/>
        </w:rPr>
        <w:t>本部门2018年度政府采购支出总额0万元。</w:t>
      </w:r>
    </w:p>
    <w:p w14:paraId="07BE3814">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（三）国有资产占用情况</w:t>
      </w:r>
    </w:p>
    <w:p w14:paraId="7B9D2F8B">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截至2018年12月31日，本部门共有车辆0辆，比上年增加（减少）0辆。单位价值</w:t>
      </w:r>
      <w:r>
        <w:rPr>
          <w:rFonts w:hint="eastAsia" w:ascii="仿宋_GB2312" w:hAnsi="TimesNewRomanPSMT" w:eastAsia="仿宋_GB2312" w:cs="TimesNewRomanPSMT"/>
          <w:sz w:val="32"/>
          <w:szCs w:val="32"/>
        </w:rPr>
        <w:t>50</w:t>
      </w:r>
      <w:r>
        <w:rPr>
          <w:rFonts w:hint="eastAsia" w:ascii="仿宋_GB2312" w:eastAsia="仿宋_GB2312" w:cs="DengXian-Regular"/>
          <w:sz w:val="32"/>
          <w:szCs w:val="32"/>
        </w:rPr>
        <w:t>万元以上通用设备0台（套），比上年增加（减少）0套。</w:t>
      </w:r>
    </w:p>
    <w:p w14:paraId="4A39BD41">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（四）其他需要说明的情况</w:t>
      </w:r>
    </w:p>
    <w:p w14:paraId="17AD6005">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1、本部门2018年度“三公”经费、国有资本经营财政预算、政府采购情况表无收支及结转结余情况，故以空表列示。</w:t>
      </w:r>
    </w:p>
    <w:p w14:paraId="1DCB29B4">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2、由于决算公开表格中金额数值应当保留两位小数，公开数据为四舍五入计算结</w:t>
      </w:r>
      <w:r>
        <w:rPr>
          <w:sz w:val="44"/>
        </w:rPr>
        <w:pict>
          <v:group id="_x0000_s2124" o:spid="_x0000_s2124" o:spt="203" style="position:absolute;left:0pt;margin-left:-0.55pt;margin-top:29.3pt;height:43.95pt;width:301.85pt;mso-position-horizontal-relative:page;mso-position-vertical-relative:page;z-index:251675648;mso-width-relative:page;mso-height-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En7KztsAAAALAQAADwAAAAAAAAABACAAAAAi&#10;AAAAZHJzL2Rvd25yZXYueG1sUEsBAhQAFAAAAAgAh07iQPaW0DkkAwAA7ggAAA4AAAAAAAAAAQAg&#10;AAAAKgEAAGRycy9lMm9Eb2MueG1sUEsFBgAAAAAGAAYAWQEAAMAGAAAAAA==&#10;">
            <o:lock v:ext="edit"/>
            <v:rect id="矩形 13" o:spid="_x0000_s2125" o:spt="1" style="position:absolute;left:4551;top:52615;height:1175;width:8546;v-text-anchor:middle;" fillcolor="#D9D9D9" filled="t" stroked="f" coordsize="21600,21600" o:gfxdata="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GMnb4A&#10;AADbAAAADwAAAAAAAAABACAAAAAiAAAAZHJzL2Rvd25yZXYueG1sUEsBAhQAFAAAAAgAh07iQDMv&#10;BZ47AAAAOQAAABAAAAAAAAAAAQAgAAAADQEAAGRycy9zaGFwZXhtbC54bWxQSwUGAAAAAAYABgBb&#10;AQAAtwMAAAAA&#10;">
              <v:path/>
              <v:fill on="t" focussize="0,0"/>
              <v:stroke on="f" weight="2pt"/>
              <v:imagedata o:title=""/>
              <o:lock v:ext="edit"/>
            </v:rect>
            <v:rect id="矩形 14" o:spid="_x0000_s2126" o:spt="1" style="position:absolute;left:4577;top:52890;height:1123;width:8324;v-text-anchor:middle;" fillcolor="#AD002D" filled="t" stroked="t" coordsize="21600,21600" o:gfxdata="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5G0wvQAA&#10;ANsAAAAPAAAAAAAAAAEAIAAAACIAAABkcnMvZG93bnJldi54bWxQSwECFAAUAAAACACHTuJAMy8F&#10;njsAAAA5AAAAEAAAAAAAAAABACAAAAAMAQAAZHJzL3NoYXBleG1sLnhtbFBLBQYAAAAABgAGAFsB&#10;AAC2AwAAAAA=&#10;">
              <v:path/>
              <v:fill on="t" focussize="0,0"/>
              <v:stroke weight="2pt" color="#B0761F" joinstyle="round"/>
              <v:imagedata o:title=""/>
              <o:lock v:ext="edit"/>
              <v:textbox>
                <w:txbxContent>
                  <w:p w14:paraId="770AFF30">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64280D6F">
                    <w:pPr>
                      <w:jc w:val="center"/>
                    </w:pPr>
                  </w:p>
                </w:txbxContent>
              </v:textbox>
            </v:rect>
            <w10:anchorlock/>
          </v:group>
        </w:pict>
      </w:r>
      <w:r>
        <w:rPr>
          <w:rFonts w:hint="eastAsia" w:ascii="仿宋_GB2312" w:eastAsia="仿宋_GB2312" w:cs="DengXian-Regular"/>
          <w:sz w:val="32"/>
          <w:szCs w:val="32"/>
        </w:rPr>
        <w:t>果，个别数据合计项与分项之和存在小数点后差额，特此说明。</w:t>
      </w:r>
    </w:p>
    <w:p w14:paraId="65F4D671">
      <w:pPr>
        <w:widowControl/>
        <w:spacing w:after="0" w:line="580" w:lineRule="exact"/>
        <w:ind w:firstLine="883" w:firstLineChars="200"/>
        <w:jc w:val="left"/>
        <w:rPr>
          <w:rFonts w:cs="MS-UIGothic,Bold" w:asciiTheme="majorEastAsia" w:hAnsiTheme="majorEastAsia" w:eastAsiaTheme="majorEastAsia"/>
          <w:b/>
          <w:bCs/>
          <w:kern w:val="0"/>
          <w:sz w:val="44"/>
          <w:szCs w:val="44"/>
        </w:rPr>
        <w:sectPr>
          <w:pgSz w:w="11906" w:h="16838"/>
          <w:pgMar w:top="2098" w:right="1474" w:bottom="1984" w:left="1588" w:header="851" w:footer="992" w:gutter="0"/>
          <w:cols w:space="0" w:num="1"/>
          <w:docGrid w:type="lines" w:linePitch="312" w:charSpace="0"/>
        </w:sectPr>
      </w:pPr>
    </w:p>
    <w:p w14:paraId="1F63CD54">
      <w:pPr>
        <w:rPr>
          <w:rFonts w:ascii="宋体" w:hAnsi="宋体" w:cs="ArialUnicodeMS"/>
          <w:color w:val="000000"/>
          <w:kern w:val="0"/>
        </w:rPr>
        <w:sectPr>
          <w:pgSz w:w="11906" w:h="16838"/>
          <w:pgMar w:top="2098" w:right="1474" w:bottom="1984" w:left="1588" w:header="851" w:footer="992" w:gutter="0"/>
          <w:cols w:space="0" w:num="1"/>
          <w:docGrid w:type="lines" w:linePitch="312" w:charSpace="0"/>
        </w:sectPr>
      </w:pPr>
      <w:r>
        <w:rPr>
          <w:rFonts w:hint="eastAsia" w:ascii="宋体" w:hAnsi="宋体" w:cs="ArialUnicodeMS"/>
          <w:color w:val="000000"/>
          <w:kern w:val="0"/>
        </w:rPr>
        <w:drawing>
          <wp:anchor distT="0" distB="0" distL="114300" distR="114300" simplePos="0" relativeHeight="251668480"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21" name="图片 2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2"/>
                    <pic:cNvPicPr>
                      <a:picLocks noChangeAspect="1"/>
                    </pic:cNvPicPr>
                  </pic:nvPicPr>
                  <pic:blipFill>
                    <a:blip r:embed="rId7"/>
                    <a:stretch>
                      <a:fillRect/>
                    </a:stretch>
                  </pic:blipFill>
                  <pic:spPr>
                    <a:xfrm>
                      <a:off x="0" y="0"/>
                      <a:ext cx="7550150" cy="10680065"/>
                    </a:xfrm>
                    <a:prstGeom prst="rect">
                      <a:avLst/>
                    </a:prstGeom>
                  </pic:spPr>
                </pic:pic>
              </a:graphicData>
            </a:graphic>
          </wp:anchor>
        </w:drawing>
      </w:r>
      <w:r>
        <w:rPr>
          <w:sz w:val="72"/>
        </w:rPr>
        <w:pict>
          <v:shape id="_x0000_s2056" o:spid="_x0000_s2056" o:spt="202" type="#_x0000_t202" style="position:absolute;left:0pt;margin-left:-78.7pt;margin-top:232.8pt;height:159.1pt;width:596.2pt;z-index:251667456;mso-width-relative:page;mso-height-relative:page;" filled="f" stroked="f" coordsize="21600,21600" o:gfxdata="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ZZp6M3gAAAA0BAAAPAAAAAAAAAAEAIAAAACIAAABkcnMvZG93bnJldi54bWxQSwECFAAUAAAA&#10;CACHTuJAal9dpSECAAAbBAAADgAAAAAAAAABACAAAAAtAQAAZHJzL2Uyb0RvYy54bWxQSwUGAAAA&#10;AAYABgBZAQAAwAUAAAAA&#10;">
            <v:path/>
            <v:fill on="f" focussize="0,0"/>
            <v:stroke on="f" weight="0.5pt" joinstyle="miter"/>
            <v:imagedata o:title=""/>
            <o:lock v:ext="edit"/>
            <v:textbox>
              <w:txbxContent>
                <w:p w14:paraId="392C4418">
                  <w:pPr>
                    <w:widowControl/>
                    <w:spacing w:line="1200" w:lineRule="exact"/>
                    <w:jc w:val="center"/>
                    <w:rPr>
                      <w:rFonts w:hAnsi="宋体" w:asciiTheme="minorEastAsia" w:eastAsiaTheme="minorEastAsia"/>
                      <w:color w:val="FDEFBE"/>
                      <w:sz w:val="96"/>
                      <w:szCs w:val="96"/>
                    </w:rPr>
                  </w:pPr>
                  <w:r>
                    <w:rPr>
                      <w:rFonts w:hint="eastAsia" w:hAnsi="宋体" w:asciiTheme="minorEastAsia" w:eastAsiaTheme="minorEastAsia"/>
                      <w:color w:val="FDEFBE"/>
                      <w:sz w:val="96"/>
                      <w:szCs w:val="96"/>
                    </w:rPr>
                    <w:t>第四部分</w:t>
                  </w:r>
                </w:p>
                <w:p w14:paraId="51B72C65">
                  <w:pPr>
                    <w:widowControl/>
                    <w:spacing w:line="1200" w:lineRule="exact"/>
                    <w:jc w:val="center"/>
                    <w:rPr>
                      <w:color w:val="FDEFBE"/>
                      <w:sz w:val="96"/>
                      <w:szCs w:val="96"/>
                    </w:rPr>
                  </w:pPr>
                  <w:r>
                    <w:rPr>
                      <w:rFonts w:hint="eastAsia" w:hAnsi="宋体" w:asciiTheme="minorEastAsia" w:eastAsiaTheme="minorEastAsia"/>
                      <w:color w:val="FDEFBE"/>
                      <w:sz w:val="96"/>
                      <w:szCs w:val="96"/>
                    </w:rPr>
                    <w:t>名词解释</w:t>
                  </w:r>
                </w:p>
              </w:txbxContent>
            </v:textbox>
          </v:shape>
        </w:pict>
      </w:r>
    </w:p>
    <w:p w14:paraId="3AC37342">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（一）财政拨款收入：</w:t>
      </w:r>
      <w:r>
        <w:rPr>
          <w:rFonts w:hint="eastAsia" w:ascii="仿宋_GB2312" w:eastAsia="仿宋_GB2312" w:hAnsiTheme="majorEastAsia"/>
          <w:color w:val="000000"/>
          <w:kern w:val="0"/>
          <w:sz w:val="32"/>
          <w:szCs w:val="32"/>
        </w:rPr>
        <w:t>本年度从本级财政部门取得的财政拨款，包括一般公共预算财政拨款和政府性基金预算财政拨款。</w:t>
      </w:r>
    </w:p>
    <w:p w14:paraId="3292D5DA">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（二）事业收入：</w:t>
      </w:r>
      <w:r>
        <w:rPr>
          <w:rFonts w:hint="eastAsia" w:ascii="仿宋_GB2312" w:eastAsia="仿宋_GB2312" w:hAnsiTheme="majorEastAsia"/>
          <w:color w:val="000000"/>
          <w:kern w:val="0"/>
          <w:sz w:val="32"/>
          <w:szCs w:val="32"/>
        </w:rPr>
        <w:t>指事业单位开展专业业务活动及辅助活动所取得的收入。</w:t>
      </w:r>
    </w:p>
    <w:p w14:paraId="5A767FD6">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（三）其他收入：</w:t>
      </w:r>
      <w:r>
        <w:rPr>
          <w:rFonts w:hint="eastAsia" w:ascii="仿宋_GB2312" w:eastAsia="仿宋_GB2312" w:hAnsiTheme="majorEastAsia"/>
          <w:color w:val="000000"/>
          <w:kern w:val="0"/>
          <w:sz w:val="32"/>
          <w:szCs w:val="32"/>
        </w:rPr>
        <w:t>指除上述“财政拨款收入”“事业收入”“经营收入”等以外的收入。</w:t>
      </w:r>
    </w:p>
    <w:p w14:paraId="6856F3DF">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（四）用事业基金弥补收支差额：</w:t>
      </w:r>
      <w:r>
        <w:rPr>
          <w:rFonts w:hint="eastAsia" w:ascii="仿宋_GB2312" w:eastAsia="仿宋_GB2312" w:hAnsiTheme="major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4BF6A02D">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（五）年初结转和结余：</w:t>
      </w:r>
      <w:r>
        <w:rPr>
          <w:rFonts w:hint="eastAsia" w:ascii="仿宋_GB2312" w:eastAsia="仿宋_GB2312" w:hAnsiTheme="majorEastAsia"/>
          <w:color w:val="000000"/>
          <w:kern w:val="0"/>
          <w:sz w:val="32"/>
          <w:szCs w:val="32"/>
        </w:rPr>
        <w:t>指以前年度尚未完成、结转到本年仍按原规定用途继续使用的资金，或项目已完成等产生的结余资金。</w:t>
      </w:r>
    </w:p>
    <w:p w14:paraId="31203202">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（六）结余分配：</w:t>
      </w:r>
      <w:r>
        <w:rPr>
          <w:rFonts w:hint="eastAsia" w:ascii="仿宋_GB2312" w:eastAsia="仿宋_GB2312" w:hAnsiTheme="majorEastAsia"/>
          <w:color w:val="000000"/>
          <w:kern w:val="0"/>
          <w:sz w:val="32"/>
          <w:szCs w:val="32"/>
        </w:rPr>
        <w:t>指事业单位按照事业单位会计制度的规定从非财政补助结余中分配的事业基金和职工福利基金等。</w:t>
      </w:r>
    </w:p>
    <w:p w14:paraId="4FDE90B6">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（七）年末结转和结</w:t>
      </w:r>
      <w:r>
        <w:rPr>
          <w:rFonts w:ascii="仿宋_GB2312" w:eastAsia="仿宋_GB2312" w:hAnsiTheme="majorEastAsia"/>
          <w:b/>
          <w:bCs/>
          <w:color w:val="000000"/>
          <w:kern w:val="0"/>
          <w:sz w:val="32"/>
          <w:szCs w:val="32"/>
        </w:rPr>
        <w:pict>
          <v:group id="_x0000_s2064" o:spid="_x0000_s2064" o:spt="203" style="position:absolute;left:0pt;margin-left:-81.05pt;margin-top:39.65pt;height:43.95pt;width:264.85pt;mso-position-vertical-relative:page;z-index:251671552;mso-width-relative:page;mso-height-relative:page;" coordorigin="4551,52615" coordsize="8546,1398203" o:gfxdata="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IWM/JvbAAAACwEAAA8AAAAAAAAAAQAg&#10;AAAAIgAAAGRycy9kb3ducmV2LnhtbFBLAQIUABQAAAAIAIdO4kBePTEaKAMAAPIIAAAOAAAAAAAA&#10;AAEAIAAAACoBAABkcnMvZTJvRG9jLnhtbFBLBQYAAAAABgAGAFkBAADEBgAAAAA=&#10;">
            <o:lock v:ext="edit"/>
            <v:rect id="矩形 13" o:spid="_x0000_s2065" o:spt="1" style="position:absolute;left:4551;top:52615;height:1175;width:8546;v-text-anchor:middle;" fillcolor="#D9D9D9" filled="t" stroked="f" coordsize="21600,21600" o:gfxdata="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BhEG/&#10;AAAA3AAAAA8AAAAAAAAAAQAgAAAAIgAAAGRycy9kb3ducmV2LnhtbFBLAQIUABQAAAAIAIdO4kAz&#10;LwWeOwAAADkAAAAQAAAAAAAAAAEAIAAAAA4BAABkcnMvc2hhcGV4bWwueG1sUEsFBgAAAAAGAAYA&#10;WwEAALgDAAAAAA==&#10;">
              <v:path/>
              <v:fill on="t" focussize="0,0"/>
              <v:stroke on="f" weight="2pt"/>
              <v:imagedata o:title=""/>
              <o:lock v:ext="edit"/>
            </v:rect>
            <v:rect id="矩形 14" o:spid="_x0000_s2066" o:spt="1" style="position:absolute;left:4577;top:52890;height:1123;width:8324;v-text-anchor:middle;" fillcolor="#AD002D" filled="t" stroked="t" coordsize="21600,21600" o:gfxdata="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syc065AAAA3AAA&#10;AA8AAAAAAAAAAQAgAAAAIgAAAGRycy9kb3ducmV2LnhtbFBLAQIUABQAAAAIAIdO4kAzLwWeOwAA&#10;ADkAAAAQAAAAAAAAAAEAIAAAAAgBAABkcnMvc2hhcGV4bWwueG1sUEsFBgAAAAAGAAYAWwEAALID&#10;AAAAAA==&#10;">
              <v:path/>
              <v:fill on="t" focussize="0,0"/>
              <v:stroke weight="2pt" color="#B0761F" joinstyle="round"/>
              <v:imagedata o:title=""/>
              <o:lock v:ext="edit"/>
              <v:textbox>
                <w:txbxContent>
                  <w:p w14:paraId="14F9EBA3">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2018年度部门决算☞名词解释</w:t>
                    </w:r>
                  </w:p>
                  <w:p w14:paraId="655B93AA">
                    <w:pPr>
                      <w:jc w:val="center"/>
                    </w:pPr>
                  </w:p>
                </w:txbxContent>
              </v:textbox>
            </v:rect>
            <w10:anchorlock/>
          </v:group>
        </w:pict>
      </w:r>
      <w:r>
        <w:rPr>
          <w:rFonts w:hint="eastAsia" w:ascii="仿宋_GB2312" w:eastAsia="仿宋_GB2312" w:hAnsiTheme="majorEastAsia"/>
          <w:b/>
          <w:bCs/>
          <w:color w:val="000000"/>
          <w:kern w:val="0"/>
          <w:sz w:val="32"/>
          <w:szCs w:val="32"/>
        </w:rPr>
        <w:t>余：</w:t>
      </w:r>
      <w:r>
        <w:rPr>
          <w:rFonts w:hint="eastAsia" w:ascii="仿宋_GB2312" w:eastAsia="仿宋_GB2312" w:hAnsiTheme="majorEastAsia"/>
          <w:color w:val="000000"/>
          <w:kern w:val="0"/>
          <w:sz w:val="32"/>
          <w:szCs w:val="32"/>
        </w:rPr>
        <w:t>指单位按有关规定结转到下年或以后年度继续使用的资金，或项目已完成等产生的结余资金。</w:t>
      </w:r>
    </w:p>
    <w:p w14:paraId="58CE04EC">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（八）基本支出：</w:t>
      </w:r>
      <w:r>
        <w:rPr>
          <w:rFonts w:hint="eastAsia" w:ascii="仿宋_GB2312" w:eastAsia="仿宋_GB2312" w:hAnsiTheme="majorEastAsia"/>
          <w:color w:val="000000"/>
          <w:kern w:val="0"/>
          <w:sz w:val="32"/>
          <w:szCs w:val="32"/>
        </w:rPr>
        <w:t>填列单位为保障机构正常运转、完成日常工作任务而发生的各项支出。</w:t>
      </w:r>
    </w:p>
    <w:p w14:paraId="780920E4">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（九）项目支出：</w:t>
      </w:r>
      <w:r>
        <w:rPr>
          <w:rFonts w:hint="eastAsia" w:ascii="仿宋_GB2312" w:eastAsia="仿宋_GB2312" w:hAnsiTheme="majorEastAsia"/>
          <w:color w:val="000000"/>
          <w:kern w:val="0"/>
          <w:sz w:val="32"/>
          <w:szCs w:val="32"/>
        </w:rPr>
        <w:t>填列单位为完成特定的行政工作任务或事业发展目标，在基本支出之外发生的各项支出</w:t>
      </w:r>
    </w:p>
    <w:p w14:paraId="56537A94">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（十）资本性支出（基本建设）：</w:t>
      </w:r>
      <w:r>
        <w:rPr>
          <w:rFonts w:hint="eastAsia" w:ascii="仿宋_GB2312" w:eastAsia="仿宋_GB2312" w:hAnsiTheme="majorEastAsia"/>
          <w:color w:val="000000"/>
          <w:kern w:val="0"/>
          <w:sz w:val="32"/>
          <w:szCs w:val="32"/>
        </w:rPr>
        <w:t>填列切块由发展改革部门安排的基本建设支出，对企业补助支出不在此科目反映。</w:t>
      </w:r>
    </w:p>
    <w:p w14:paraId="3E832133">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（十一）资本性支出：</w:t>
      </w:r>
      <w:r>
        <w:rPr>
          <w:rFonts w:hint="eastAsia" w:ascii="仿宋_GB2312" w:eastAsia="仿宋_GB2312" w:hAnsiTheme="majorEastAsia"/>
          <w:color w:val="000000"/>
          <w:kern w:val="0"/>
          <w:sz w:val="32"/>
          <w:szCs w:val="32"/>
        </w:rPr>
        <w:t>填列各单位安排的资本性支出。切块由发展改革部门安排的基本建设支出不在此科目反映。</w:t>
      </w:r>
    </w:p>
    <w:p w14:paraId="7492E437">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（十二）“三公”经费：</w:t>
      </w:r>
      <w:r>
        <w:rPr>
          <w:rFonts w:hint="eastAsia" w:ascii="仿宋_GB2312" w:eastAsia="仿宋_GB2312" w:hAnsiTheme="major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w:t>
      </w:r>
      <w:r>
        <w:rPr>
          <w:rFonts w:ascii="仿宋_GB2312" w:eastAsia="仿宋_GB2312" w:hAnsiTheme="majorEastAsia"/>
          <w:b/>
          <w:bCs/>
          <w:color w:val="000000"/>
          <w:kern w:val="0"/>
          <w:sz w:val="32"/>
          <w:szCs w:val="32"/>
        </w:rPr>
        <w:pict>
          <v:group id="_x0000_s2127" o:spid="_x0000_s2127" o:spt="203" style="position:absolute;left:0pt;margin-left:-81.05pt;margin-top:39.65pt;height:43.95pt;width:264.85pt;mso-position-vertical-relative:page;z-index:251676672;mso-width-relative:page;mso-height-relative:page;" coordorigin="4551,52615" coordsize="8546,1398203" o:gfxdata="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hYz8m9sAAAALAQAADwAAAAAAAAAB&#10;ACAAAAAiAAAAZHJzL2Rvd25yZXYueG1sUEsBAhQAFAAAAAgAh07iQCVSPPoqAwAA7ggAAA4AAAAA&#10;AAAAAQAgAAAAKgEAAGRycy9lMm9Eb2MueG1sUEsFBgAAAAAGAAYAWQEAAMYGAAAAAA==&#10;">
            <o:lock v:ext="edit"/>
            <v:rect id="矩形 13" o:spid="_x0000_s2128" o:spt="1" style="position:absolute;left:4551;top:52615;height:1175;width:8546;v-text-anchor:middle;" fillcolor="#D9D9D9" filled="t" stroked="f" coordsize="21600,21600" o:gfxdata="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6BTpvQAA&#10;ANsAAAAPAAAAAAAAAAEAIAAAACIAAABkcnMvZG93bnJldi54bWxQSwECFAAUAAAACACHTuJAMy8F&#10;njsAAAA5AAAAEAAAAAAAAAABACAAAAAMAQAAZHJzL3NoYXBleG1sLnhtbFBLBQYAAAAABgAGAFsB&#10;AAC2AwAAAAA=&#10;">
              <v:path/>
              <v:fill on="t" focussize="0,0"/>
              <v:stroke on="f" weight="2pt"/>
              <v:imagedata o:title=""/>
              <o:lock v:ext="edit"/>
            </v:rect>
            <v:rect id="矩形 14" o:spid="_x0000_s2129" o:spt="1" style="position:absolute;left:4577;top:52890;height:1123;width:8324;v-text-anchor:middle;" fillcolor="#AD002D" filled="t" stroked="t" coordsize="21600,21600" o:gfxdata="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ZPOqLsAAADb&#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14:paraId="37810E65">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2018年度部门决算☞名词解释</w:t>
                    </w:r>
                  </w:p>
                  <w:p w14:paraId="2B0F8C05">
                    <w:pPr>
                      <w:jc w:val="center"/>
                    </w:pPr>
                  </w:p>
                </w:txbxContent>
              </v:textbox>
            </v:rect>
            <w10:anchorlock/>
          </v:group>
        </w:pict>
      </w:r>
      <w:r>
        <w:rPr>
          <w:rFonts w:hint="eastAsia" w:ascii="仿宋_GB2312" w:eastAsia="仿宋_GB2312" w:hAnsiTheme="majorEastAsia"/>
          <w:color w:val="000000"/>
          <w:kern w:val="0"/>
          <w:sz w:val="32"/>
          <w:szCs w:val="32"/>
        </w:rPr>
        <w:t>待费反映单位按规定开支的各类公务接待（含外宾接待）支出。</w:t>
      </w:r>
    </w:p>
    <w:p w14:paraId="526DE52C">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（十三）其</w:t>
      </w:r>
      <w:r>
        <w:rPr>
          <w:rFonts w:ascii="仿宋_GB2312" w:eastAsia="仿宋_GB2312" w:hAnsiTheme="majorEastAsia"/>
          <w:b/>
          <w:bCs/>
          <w:color w:val="000000"/>
          <w:kern w:val="0"/>
          <w:sz w:val="32"/>
          <w:szCs w:val="32"/>
        </w:rPr>
        <w:pict>
          <v:group id="_x0000_s2130" o:spid="_x0000_s2130" o:spt="203" style="position:absolute;left:0pt;margin-left:-81.05pt;margin-top:39.65pt;height:43.95pt;width:264.85pt;mso-position-vertical-relative:page;z-index:251677696;mso-width-relative:page;mso-height-relative:page;" coordorigin="4551,52615" coordsize="8546,1398203" o:gfxdata="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hYz8m9sAAAALAQAADwAAAAAAAAABACAA&#10;AAAiAAAAZHJzL2Rvd25yZXYueG1sUEsBAhQAFAAAAAgAh07iQOLTqwMnAwAA7ggAAA4AAAAAAAAA&#10;AQAgAAAAKgEAAGRycy9lMm9Eb2MueG1sUEsFBgAAAAAGAAYAWQEAAMMGAAAAAA==&#10;">
            <o:lock v:ext="edit"/>
            <v:rect id="矩形 13" o:spid="_x0000_s2131" o:spt="1" style="position:absolute;left:4551;top:52615;height:1175;width:8546;v-text-anchor:middle;" fillcolor="#D9D9D9" filled="t" stroked="f" coordsize="21600,21600" o:gfxdata="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bt3ugAAANsA&#10;AAAPAAAAAAAAAAEAIAAAACIAAABkcnMvZG93bnJldi54bWxQSwECFAAUAAAACACHTuJAMy8FnjsA&#10;AAA5AAAAEAAAAAAAAAABACAAAAAJAQAAZHJzL3NoYXBleG1sLnhtbFBLBQYAAAAABgAGAFsBAACz&#10;AwAAAAA=&#10;">
              <v:path/>
              <v:fill on="t" focussize="0,0"/>
              <v:stroke on="f" weight="2pt"/>
              <v:imagedata o:title=""/>
              <o:lock v:ext="edit"/>
            </v:rect>
            <v:rect id="矩形 14" o:spid="_x0000_s2132" o:spt="1" style="position:absolute;left:4577;top:52890;height:1123;width:8324;v-text-anchor:middle;" fillcolor="#AD002D" filled="t" stroked="t" coordsize="21600,21600" o:gfxdata="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xa2rsAAADb&#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14:paraId="7F199AA1">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2018年度部门决算☞名词解释</w:t>
                    </w:r>
                  </w:p>
                  <w:p w14:paraId="27D02DE8">
                    <w:pPr>
                      <w:jc w:val="center"/>
                    </w:pPr>
                  </w:p>
                </w:txbxContent>
              </v:textbox>
            </v:rect>
            <w10:anchorlock/>
          </v:group>
        </w:pict>
      </w:r>
      <w:r>
        <w:rPr>
          <w:rFonts w:hint="eastAsia" w:ascii="仿宋_GB2312" w:eastAsia="仿宋_GB2312" w:hAnsiTheme="majorEastAsia"/>
          <w:b/>
          <w:bCs/>
          <w:color w:val="000000"/>
          <w:kern w:val="0"/>
          <w:sz w:val="32"/>
          <w:szCs w:val="32"/>
        </w:rPr>
        <w:t>他交通费用：</w:t>
      </w:r>
      <w:r>
        <w:rPr>
          <w:rFonts w:hint="eastAsia" w:ascii="仿宋_GB2312" w:eastAsia="仿宋_GB2312" w:hAnsiTheme="majorEastAsia"/>
          <w:color w:val="000000"/>
          <w:kern w:val="0"/>
          <w:sz w:val="32"/>
          <w:szCs w:val="32"/>
        </w:rPr>
        <w:t>填列单位除公务用车运行维护费以外的其他交通费用。如公务交通补贴、租车费用、出租车费用、飞机、船舶等的燃料费、维修费、保险费等。</w:t>
      </w:r>
    </w:p>
    <w:p w14:paraId="517F70C1">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（十四）公务用车购置：</w:t>
      </w:r>
      <w:r>
        <w:rPr>
          <w:rFonts w:hint="eastAsia" w:ascii="仿宋_GB2312" w:eastAsia="仿宋_GB2312" w:hAnsiTheme="majorEastAsia"/>
          <w:color w:val="000000"/>
          <w:kern w:val="0"/>
          <w:sz w:val="32"/>
          <w:szCs w:val="32"/>
        </w:rPr>
        <w:t>填列单位公务用车购置支出（含车辆购置税、牌照费）。</w:t>
      </w:r>
    </w:p>
    <w:p w14:paraId="735A8E6A">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（十五）其他交通工具购置：</w:t>
      </w:r>
      <w:r>
        <w:rPr>
          <w:rFonts w:hint="eastAsia" w:ascii="仿宋_GB2312" w:eastAsia="仿宋_GB2312" w:hAnsiTheme="majorEastAsia"/>
          <w:color w:val="000000"/>
          <w:kern w:val="0"/>
          <w:sz w:val="32"/>
          <w:szCs w:val="32"/>
        </w:rPr>
        <w:t>填列单位除公务用车外的其他各类交通工具（如船舶、飞机）购置支出（含车辆购置税、牌照费）。</w:t>
      </w:r>
    </w:p>
    <w:p w14:paraId="5D9FF185">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（十六）机关运行经费：</w:t>
      </w:r>
      <w:r>
        <w:rPr>
          <w:rFonts w:hint="eastAsia" w:ascii="仿宋_GB2312" w:eastAsia="仿宋_GB2312" w:hAnsiTheme="major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2CE99940">
      <w:pPr>
        <w:widowControl/>
        <w:spacing w:after="0" w:line="560" w:lineRule="exact"/>
        <w:ind w:firstLine="643" w:firstLineChars="200"/>
        <w:rPr>
          <w:rFonts w:ascii="仿宋_GB2312" w:eastAsia="仿宋_GB2312" w:cs="ArialUnicodeMS" w:hAnsiTheme="minorHAnsi"/>
          <w:kern w:val="0"/>
          <w:sz w:val="32"/>
          <w:szCs w:val="32"/>
        </w:rPr>
        <w:sectPr>
          <w:pgSz w:w="11906" w:h="16838"/>
          <w:pgMar w:top="2098" w:right="1474" w:bottom="1985" w:left="1588" w:header="851" w:footer="992" w:gutter="0"/>
          <w:cols w:space="425" w:num="1"/>
          <w:docGrid w:type="lines" w:linePitch="312" w:charSpace="0"/>
        </w:sectPr>
      </w:pPr>
      <w:r>
        <w:rPr>
          <w:rFonts w:hint="eastAsia" w:ascii="仿宋_GB2312" w:eastAsia="仿宋_GB2312" w:hAnsiTheme="majorEastAsia"/>
          <w:b/>
          <w:bCs/>
          <w:color w:val="000000"/>
          <w:kern w:val="0"/>
          <w:sz w:val="32"/>
          <w:szCs w:val="32"/>
        </w:rPr>
        <w:t>（十七）经费形式:</w:t>
      </w:r>
      <w:r>
        <w:rPr>
          <w:rFonts w:hint="eastAsia" w:ascii="仿宋_GB2312" w:eastAsia="仿宋_GB2312" w:hAnsiTheme="majorEastAsia"/>
          <w:color w:val="000000"/>
          <w:kern w:val="0"/>
          <w:sz w:val="32"/>
          <w:szCs w:val="32"/>
        </w:rPr>
        <w:t>按照经费来源，</w:t>
      </w:r>
      <w:r>
        <w:rPr>
          <w:rFonts w:hint="eastAsia" w:ascii="仿宋_GB2312" w:eastAsia="仿宋_GB2312" w:cs="ArialUnicodeMS" w:hAnsiTheme="minorHAnsi"/>
          <w:kern w:val="0"/>
          <w:sz w:val="32"/>
          <w:szCs w:val="32"/>
        </w:rPr>
        <w:t>可分为财政拨款、财政性资金基本保证、财政性资金定额或定项补助、财政性资金零补助四类。</w:t>
      </w:r>
    </w:p>
    <w:p w14:paraId="31766CB1">
      <w:pPr>
        <w:widowControl/>
        <w:spacing w:after="0" w:line="560" w:lineRule="exact"/>
        <w:ind w:firstLine="640" w:firstLineChars="200"/>
        <w:rPr>
          <w:rFonts w:ascii="仿宋_GB2312" w:eastAsia="仿宋_GB2312" w:cs="ArialUnicodeMS" w:hAnsiTheme="minorHAnsi"/>
          <w:kern w:val="0"/>
          <w:sz w:val="32"/>
          <w:szCs w:val="32"/>
        </w:rPr>
      </w:pPr>
      <w:r>
        <w:rPr>
          <w:rFonts w:ascii="仿宋_GB2312" w:eastAsia="仿宋_GB2312" w:cs="ArialUnicodeMS" w:hAnsiTheme="minorHAnsi"/>
          <w:kern w:val="0"/>
          <w:sz w:val="32"/>
          <w:szCs w:val="32"/>
        </w:rPr>
        <w:drawing>
          <wp:anchor distT="0" distB="0" distL="114300" distR="114300" simplePos="0" relativeHeight="251669504" behindDoc="1" locked="0" layoutInCell="1" allowOverlap="1">
            <wp:simplePos x="0" y="0"/>
            <wp:positionH relativeFrom="column">
              <wp:posOffset>-990600</wp:posOffset>
            </wp:positionH>
            <wp:positionV relativeFrom="paragraph">
              <wp:posOffset>-1355090</wp:posOffset>
            </wp:positionV>
            <wp:extent cx="7590155" cy="10735945"/>
            <wp:effectExtent l="0" t="0" r="10795" b="8255"/>
            <wp:wrapNone/>
            <wp:docPr id="101" name="图片 10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3"/>
                    <pic:cNvPicPr>
                      <a:picLocks noChangeAspect="1"/>
                    </pic:cNvPicPr>
                  </pic:nvPicPr>
                  <pic:blipFill>
                    <a:blip r:embed="rId8"/>
                    <a:stretch>
                      <a:fillRect/>
                    </a:stretch>
                  </pic:blipFill>
                  <pic:spPr>
                    <a:xfrm>
                      <a:off x="0" y="0"/>
                      <a:ext cx="7590155" cy="10735945"/>
                    </a:xfrm>
                    <a:prstGeom prst="rect">
                      <a:avLst/>
                    </a:prstGeom>
                  </pic:spPr>
                </pic:pic>
              </a:graphicData>
            </a:graphic>
          </wp:anchor>
        </w:drawing>
      </w:r>
    </w:p>
    <w:p w14:paraId="4F6FB063"/>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UnicodeMS">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UIGothic,Bold">
    <w:altName w:val="Malgun Gothic"/>
    <w:panose1 w:val="00000000000000000000"/>
    <w:charset w:val="81"/>
    <w:family w:val="auto"/>
    <w:pitch w:val="default"/>
    <w:sig w:usb0="00000000" w:usb1="00000000" w:usb2="00000010" w:usb3="00000000" w:csb0="00080000" w:csb1="00000000"/>
  </w:font>
  <w:font w:name="DengXian-Regular">
    <w:altName w:val="宋体"/>
    <w:panose1 w:val="00000000000000000000"/>
    <w:charset w:val="86"/>
    <w:family w:val="auto"/>
    <w:pitch w:val="default"/>
    <w:sig w:usb0="00000000" w:usb1="00000000" w:usb2="00000010" w:usb3="00000000" w:csb0="00040001" w:csb1="00000000"/>
  </w:font>
  <w:font w:name="楷体_GB2312">
    <w:altName w:val="楷体"/>
    <w:panose1 w:val="02010609030101010101"/>
    <w:charset w:val="86"/>
    <w:family w:val="modern"/>
    <w:pitch w:val="default"/>
    <w:sig w:usb0="00000000" w:usb1="00000000" w:usb2="00000000" w:usb3="00000000" w:csb0="00000000" w:csb1="00000000"/>
  </w:font>
  <w:font w:name="DengXian-Bold">
    <w:altName w:val="宋体"/>
    <w:panose1 w:val="00000000000000000000"/>
    <w:charset w:val="86"/>
    <w:family w:val="auto"/>
    <w:pitch w:val="default"/>
    <w:sig w:usb0="00000000" w:usb1="00000000" w:usb2="00000010" w:usb3="00000000" w:csb0="00040001" w:csb1="00000000"/>
  </w:font>
  <w:font w:name="TimesNewRomanPSMT">
    <w:altName w:val="Arial"/>
    <w:panose1 w:val="00000000000000000000"/>
    <w:charset w:val="00"/>
    <w:family w:val="swiss"/>
    <w:pitch w:val="default"/>
    <w:sig w:usb0="00000000" w:usb1="00000000" w:usb2="00000000" w:usb3="00000000" w:csb0="00000001" w:csb1="00000000"/>
  </w:font>
  <w:font w:name="Gulim">
    <w:panose1 w:val="020B0600000101010101"/>
    <w:charset w:val="81"/>
    <w:family w:val="auto"/>
    <w:pitch w:val="default"/>
    <w:sig w:usb0="B00002AF" w:usb1="69D77CFB" w:usb2="00000030" w:usb3="00000000" w:csb0="4008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pPr>
      <w:r>
        <w:separator/>
      </w:r>
    </w:p>
  </w:footnote>
  <w:footnote w:type="continuationSeparator" w:id="1">
    <w:p>
      <w:pPr>
        <w:spacing w:before="0" w:after="0" w:line="4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F5BE35"/>
    <w:multiLevelType w:val="singleLevel"/>
    <w:tmpl w:val="D2F5BE35"/>
    <w:lvl w:ilvl="0" w:tentative="0">
      <w:start w:val="6"/>
      <w:numFmt w:val="decimal"/>
      <w:suff w:val="nothing"/>
      <w:lvlText w:val="%1、"/>
      <w:lvlJc w:val="left"/>
    </w:lvl>
  </w:abstractNum>
  <w:abstractNum w:abstractNumId="1">
    <w:nsid w:val="45DB9A87"/>
    <w:multiLevelType w:val="singleLevel"/>
    <w:tmpl w:val="45DB9A87"/>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4643"/>
    <w:rsid w:val="00027918"/>
    <w:rsid w:val="00153C5C"/>
    <w:rsid w:val="006D469C"/>
    <w:rsid w:val="006E3566"/>
    <w:rsid w:val="007C7924"/>
    <w:rsid w:val="0095188B"/>
    <w:rsid w:val="00A2677A"/>
    <w:rsid w:val="00A44643"/>
    <w:rsid w:val="00C721A0"/>
    <w:rsid w:val="00E9345D"/>
    <w:rsid w:val="00FA65B9"/>
    <w:rsid w:val="08331BB6"/>
    <w:rsid w:val="2E407EB5"/>
    <w:rsid w:val="30F54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自选图形 2"/>
      </o:rules>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1"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48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21"/>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3"/>
    <w:qFormat/>
    <w:uiPriority w:val="11"/>
    <w:pPr>
      <w:widowControl/>
      <w:spacing w:after="200" w:line="276" w:lineRule="auto"/>
      <w:jc w:val="left"/>
    </w:pPr>
    <w:rPr>
      <w:rFonts w:asciiTheme="majorHAnsi" w:hAnsiTheme="majorHAnsi" w:eastAsiaTheme="majorEastAsia" w:cstheme="majorBidi"/>
      <w:i/>
      <w:iCs/>
      <w:color w:val="4F81BD" w:themeColor="accent1"/>
      <w:spacing w:val="15"/>
      <w:kern w:val="0"/>
      <w:sz w:val="24"/>
    </w:rPr>
  </w:style>
  <w:style w:type="paragraph" w:styleId="11">
    <w:name w:val="Title"/>
    <w:basedOn w:val="1"/>
    <w:next w:val="1"/>
    <w:link w:val="24"/>
    <w:qFormat/>
    <w:uiPriority w:val="10"/>
    <w:pPr>
      <w:widowControl/>
      <w:pBdr>
        <w:bottom w:val="single" w:color="4F81BD" w:themeColor="accent1" w:sz="8" w:space="4"/>
      </w:pBdr>
      <w:spacing w:after="300"/>
      <w:contextualSpacing/>
      <w:jc w:val="left"/>
    </w:pPr>
    <w:rPr>
      <w:rFonts w:asciiTheme="majorHAnsi" w:hAnsiTheme="majorHAnsi" w:eastAsiaTheme="majorEastAsia" w:cstheme="majorBidi"/>
      <w:color w:val="17365D" w:themeColor="text2" w:themeShade="BF"/>
      <w:spacing w:val="5"/>
      <w:kern w:val="28"/>
      <w:sz w:val="52"/>
      <w:szCs w:val="52"/>
    </w:rPr>
  </w:style>
  <w:style w:type="table" w:styleId="13">
    <w:name w:val="Table Grid"/>
    <w:basedOn w:val="12"/>
    <w:qFormat/>
    <w:uiPriority w:val="1"/>
    <w:rPr>
      <w:kern w:val="0"/>
      <w:sz w:val="22"/>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5">
    <w:name w:val="页眉 Char"/>
    <w:basedOn w:val="14"/>
    <w:link w:val="9"/>
    <w:qFormat/>
    <w:uiPriority w:val="99"/>
    <w:rPr>
      <w:sz w:val="18"/>
      <w:szCs w:val="18"/>
    </w:rPr>
  </w:style>
  <w:style w:type="character" w:customStyle="1" w:styleId="16">
    <w:name w:val="页脚 Char"/>
    <w:basedOn w:val="14"/>
    <w:link w:val="8"/>
    <w:qFormat/>
    <w:uiPriority w:val="99"/>
    <w:rPr>
      <w:sz w:val="18"/>
      <w:szCs w:val="18"/>
    </w:rPr>
  </w:style>
  <w:style w:type="character" w:customStyle="1" w:styleId="17">
    <w:name w:val="标题 1 Char"/>
    <w:basedOn w:val="14"/>
    <w:link w:val="2"/>
    <w:qFormat/>
    <w:uiPriority w:val="9"/>
    <w:rPr>
      <w:rFonts w:ascii="Times New Roman" w:hAnsi="Times New Roman" w:eastAsia="宋体" w:cs="Times New Roman"/>
      <w:b/>
      <w:bCs/>
      <w:kern w:val="44"/>
      <w:sz w:val="44"/>
      <w:szCs w:val="44"/>
    </w:rPr>
  </w:style>
  <w:style w:type="character" w:customStyle="1" w:styleId="18">
    <w:name w:val="标题 2 Char"/>
    <w:basedOn w:val="14"/>
    <w:link w:val="3"/>
    <w:qFormat/>
    <w:uiPriority w:val="9"/>
    <w:rPr>
      <w:rFonts w:asciiTheme="majorHAnsi" w:hAnsiTheme="majorHAnsi" w:eastAsiaTheme="majorEastAsia" w:cstheme="majorBidi"/>
      <w:b/>
      <w:bCs/>
      <w:sz w:val="32"/>
      <w:szCs w:val="32"/>
    </w:rPr>
  </w:style>
  <w:style w:type="character" w:customStyle="1" w:styleId="19">
    <w:name w:val="标题 3 Char"/>
    <w:basedOn w:val="14"/>
    <w:link w:val="4"/>
    <w:qFormat/>
    <w:uiPriority w:val="9"/>
    <w:rPr>
      <w:rFonts w:ascii="Times New Roman" w:hAnsi="Times New Roman" w:eastAsia="宋体" w:cs="Times New Roman"/>
      <w:b/>
      <w:bCs/>
      <w:sz w:val="32"/>
      <w:szCs w:val="32"/>
    </w:rPr>
  </w:style>
  <w:style w:type="character" w:customStyle="1" w:styleId="20">
    <w:name w:val="标题 4 Char"/>
    <w:basedOn w:val="14"/>
    <w:link w:val="5"/>
    <w:qFormat/>
    <w:uiPriority w:val="9"/>
    <w:rPr>
      <w:rFonts w:asciiTheme="majorHAnsi" w:hAnsiTheme="majorHAnsi" w:eastAsiaTheme="majorEastAsia" w:cstheme="majorBidi"/>
      <w:b/>
      <w:bCs/>
      <w:sz w:val="28"/>
      <w:szCs w:val="28"/>
    </w:rPr>
  </w:style>
  <w:style w:type="character" w:customStyle="1" w:styleId="21">
    <w:name w:val="日期 Char"/>
    <w:basedOn w:val="14"/>
    <w:link w:val="6"/>
    <w:semiHidden/>
    <w:qFormat/>
    <w:uiPriority w:val="99"/>
    <w:rPr>
      <w:rFonts w:ascii="Times New Roman" w:hAnsi="Times New Roman" w:eastAsia="宋体" w:cs="Times New Roman"/>
      <w:szCs w:val="24"/>
    </w:rPr>
  </w:style>
  <w:style w:type="character" w:customStyle="1" w:styleId="22">
    <w:name w:val="批注框文本 Char"/>
    <w:basedOn w:val="14"/>
    <w:link w:val="7"/>
    <w:semiHidden/>
    <w:qFormat/>
    <w:uiPriority w:val="99"/>
    <w:rPr>
      <w:rFonts w:ascii="Times New Roman" w:hAnsi="Times New Roman" w:eastAsia="宋体" w:cs="Times New Roman"/>
      <w:sz w:val="18"/>
      <w:szCs w:val="18"/>
    </w:rPr>
  </w:style>
  <w:style w:type="character" w:customStyle="1" w:styleId="23">
    <w:name w:val="副标题 Char"/>
    <w:basedOn w:val="14"/>
    <w:link w:val="10"/>
    <w:qFormat/>
    <w:uiPriority w:val="11"/>
    <w:rPr>
      <w:rFonts w:asciiTheme="majorHAnsi" w:hAnsiTheme="majorHAnsi" w:eastAsiaTheme="majorEastAsia" w:cstheme="majorBidi"/>
      <w:i/>
      <w:iCs/>
      <w:color w:val="4F81BD" w:themeColor="accent1"/>
      <w:spacing w:val="15"/>
      <w:kern w:val="0"/>
      <w:sz w:val="24"/>
      <w:szCs w:val="24"/>
    </w:rPr>
  </w:style>
  <w:style w:type="character" w:customStyle="1" w:styleId="24">
    <w:name w:val="标题 Char"/>
    <w:basedOn w:val="14"/>
    <w:link w:val="11"/>
    <w:qFormat/>
    <w:uiPriority w:val="10"/>
    <w:rPr>
      <w:rFonts w:asciiTheme="majorHAnsi" w:hAnsiTheme="majorHAnsi" w:eastAsiaTheme="majorEastAsia" w:cstheme="majorBidi"/>
      <w:color w:val="17365D" w:themeColor="text2" w:themeShade="BF"/>
      <w:spacing w:val="5"/>
      <w:kern w:val="28"/>
      <w:sz w:val="52"/>
      <w:szCs w:val="52"/>
    </w:rPr>
  </w:style>
  <w:style w:type="paragraph" w:styleId="25">
    <w:name w:val="No Spacing"/>
    <w:link w:val="26"/>
    <w:qFormat/>
    <w:uiPriority w:val="1"/>
    <w:pPr>
      <w:spacing w:after="160" w:line="480" w:lineRule="auto"/>
    </w:pPr>
    <w:rPr>
      <w:rFonts w:asciiTheme="minorHAnsi" w:hAnsiTheme="minorHAnsi" w:eastAsiaTheme="minorEastAsia" w:cstheme="minorBidi"/>
      <w:kern w:val="0"/>
      <w:sz w:val="22"/>
      <w:szCs w:val="22"/>
      <w:lang w:val="en-US" w:eastAsia="zh-CN" w:bidi="ar-SA"/>
    </w:rPr>
  </w:style>
  <w:style w:type="character" w:customStyle="1" w:styleId="26">
    <w:name w:val="无间隔 Char"/>
    <w:basedOn w:val="14"/>
    <w:link w:val="25"/>
    <w:qFormat/>
    <w:uiPriority w:val="1"/>
    <w:rPr>
      <w:kern w:val="0"/>
      <w:sz w:val="22"/>
    </w:rPr>
  </w:style>
  <w:style w:type="character" w:customStyle="1" w:styleId="27">
    <w:name w:val="Style1"/>
    <w:basedOn w:val="14"/>
    <w:qFormat/>
    <w:uiPriority w:val="1"/>
    <w:rPr>
      <w:rFonts w:asciiTheme="minorHAnsi" w:hAnsiTheme="minorEastAsia" w:eastAsiaTheme="minorEastAsia" w:cstheme="minorBidi"/>
      <w:sz w:val="22"/>
      <w:szCs w:val="22"/>
      <w:lang w:eastAsia="zh-CN"/>
    </w:rPr>
  </w:style>
  <w:style w:type="character" w:customStyle="1" w:styleId="28">
    <w:name w:val="Style2"/>
    <w:basedOn w:val="14"/>
    <w:qFormat/>
    <w:uiPriority w:val="1"/>
    <w:rPr>
      <w:rFonts w:asciiTheme="minorHAnsi" w:hAnsiTheme="minorEastAsia" w:eastAsiaTheme="minorEastAsia" w:cstheme="minorBidi"/>
      <w:sz w:val="22"/>
      <w:szCs w:val="22"/>
      <w:lang w:eastAsia="zh-CN"/>
    </w:rPr>
  </w:style>
  <w:style w:type="character" w:customStyle="1" w:styleId="29">
    <w:name w:val="Style3"/>
    <w:basedOn w:val="14"/>
    <w:qFormat/>
    <w:uiPriority w:val="1"/>
    <w:rPr>
      <w:rFonts w:asciiTheme="minorHAnsi" w:hAnsiTheme="minorEastAsia" w:eastAsiaTheme="minorEastAsia" w:cstheme="minorBidi"/>
      <w:szCs w:val="22"/>
      <w:lang w:eastAsia="zh-CN"/>
    </w:rPr>
  </w:style>
  <w:style w:type="character" w:customStyle="1" w:styleId="30">
    <w:name w:val="Style4"/>
    <w:basedOn w:val="14"/>
    <w:qFormat/>
    <w:uiPriority w:val="1"/>
    <w:rPr>
      <w:rFonts w:asciiTheme="minorHAnsi" w:hAnsiTheme="minorEastAsia" w:eastAsiaTheme="minorEastAsia" w:cstheme="minorBidi"/>
      <w:szCs w:val="22"/>
      <w:lang w:eastAsia="zh-CN"/>
    </w:rPr>
  </w:style>
  <w:style w:type="character" w:customStyle="1" w:styleId="31">
    <w:name w:val="Style5"/>
    <w:basedOn w:val="14"/>
    <w:qFormat/>
    <w:uiPriority w:val="1"/>
    <w:rPr>
      <w:rFonts w:asciiTheme="minorHAnsi" w:hAnsiTheme="minorEastAsia" w:eastAsiaTheme="minorEastAsia" w:cstheme="minorBidi"/>
      <w:sz w:val="22"/>
      <w:szCs w:val="22"/>
      <w:lang w:eastAsia="zh-CN"/>
    </w:rPr>
  </w:style>
  <w:style w:type="paragraph" w:styleId="3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71"/>
    <customShpInfo spid="_x0000_s2072"/>
    <customShpInfo spid="_x0000_s2070"/>
    <customShpInfo spid="_x0000_s2068"/>
    <customShpInfo spid="_x0000_s2069"/>
    <customShpInfo spid="_x0000_s2067"/>
    <customShpInfo spid="_x0000_s2063"/>
    <customShpInfo spid="_x0000_s2052"/>
    <customShpInfo spid="_x0000_s2053"/>
    <customShpInfo spid="_x0000_s2051"/>
    <customShpInfo spid="_x0000_s2054"/>
    <customShpInfo spid="_x0000_s2055"/>
    <customShpInfo spid="_x0000_s2134"/>
    <customShpInfo spid="_x0000_s2135"/>
    <customShpInfo spid="_x0000_s2133"/>
    <customShpInfo spid="_x0000_s2113"/>
    <customShpInfo spid="_x0000_s2114"/>
    <customShpInfo spid="_x0000_s2112"/>
    <customShpInfo spid="_x0000_s2148"/>
    <customShpInfo spid="_x0000_s2125"/>
    <customShpInfo spid="_x0000_s2126"/>
    <customShpInfo spid="_x0000_s2124"/>
    <customShpInfo spid="_x0000_s2056"/>
    <customShpInfo spid="_x0000_s2065"/>
    <customShpInfo spid="_x0000_s2066"/>
    <customShpInfo spid="_x0000_s2064"/>
    <customShpInfo spid="_x0000_s2128"/>
    <customShpInfo spid="_x0000_s2129"/>
    <customShpInfo spid="_x0000_s2127"/>
    <customShpInfo spid="_x0000_s2131"/>
    <customShpInfo spid="_x0000_s2132"/>
    <customShpInfo spid="_x0000_s21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5073</Words>
  <Characters>5442</Characters>
  <Lines>40</Lines>
  <Paragraphs>11</Paragraphs>
  <TotalTime>58</TotalTime>
  <ScaleCrop>false</ScaleCrop>
  <LinksUpToDate>false</LinksUpToDate>
  <CharactersWithSpaces>5495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2021-05-16T09:39:00Z</dcterms:created>
  <dc:creator>PC</dc:creator>
  <cp:lastModifiedBy>学无止境</cp:lastModifiedBy>
  <dcterms:modified xsi:type="dcterms:W3CDTF">2026-06-17T10:03:40Z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58789C4C049D48118ABCB8792FA5C855</vt:lpwstr>
  </property>
  <property fmtid="{D5CDD505-2E9C-101B-9397-08002B2CF9AE}" pid="4" name="KSOTemplateDocerSaveRecord">
    <vt:lpwstr>eyJoZGlkIjoiNDQ4MDViZTE5Y2YyZWU4MzgyNGVkNGNiNzdmNTI4YTAiLCJ1c2VySWQiOiI3Mzc4MzgwNDcifQ==</vt:lpwstr>
  </property>
</Properties>
</file>