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rect id="_x0000_s1052" o:spid="_x0000_s1052" o:spt="1" style="position:absolute;left:0pt;margin-left:0pt;margin-top:-59.35pt;height:873.05pt;width:595.1pt;mso-wrap-distance-left:9pt;mso-wrap-distance-right:9pt;z-index:-251642880;v-text-anchor:middle;mso-width-relative:page;mso-height-relative:page;" fillcolor="#FFC000" filled="t" stroked="f" coordsize="21600,21600" wrapcoords="21591 -2 0 0 0 21600 21591 21602 8 21602 21599 21600 21599 0 8 -2 21591 -2"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color2="#FFFFFF" focussize="0,0"/>
            <v:stroke on="f" weight="1pt"/>
            <v:imagedata o:title=""/>
            <o:lock v:ext="edit" aspectratio="f"/>
            <w10:wrap type="through"/>
          </v:rect>
        </w:pict>
      </w:r>
      <w:r>
        <w:pict>
          <v:shape id="椭圆 9" o:spid="_x0000_s1049" o:spt="3" type="#_x0000_t3" style="position:absolute;left:0pt;margin-left:85.3pt;margin-top:239.6pt;height:103.45pt;width:103.45pt;z-index:25165619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path/>
            <v:fill on="t" focussize="0,0"/>
            <v:stroke on="f" weight="1pt" joinstyle="miter"/>
            <v:imagedata o:title=""/>
            <o:lock v:ext="edit"/>
            <v:textbox>
              <w:txbxContent>
                <w:p>
                  <w:pPr>
                    <w:jc w:val="center"/>
                  </w:pPr>
                </w:p>
              </w:txbxContent>
            </v:textbox>
          </v:shape>
        </w:pict>
      </w:r>
      <w:r>
        <w:pict>
          <v:rect id="矩形 14" o:spid="_x0000_s1050" o:spt="1" style="position:absolute;left:0pt;margin-left:62.4pt;margin-top:254.25pt;height:113.9pt;width:512.45pt;z-index:251657216;mso-width-relative:page;mso-height-relative:page;" filled="f" stroked="f" coordsize="21600,21600">
            <v:path/>
            <v:fill on="f" focussize="0,0"/>
            <v:stroke on="f"/>
            <v:imagedata o:title=""/>
            <o:lock v:ext="edit" aspectratio="f"/>
            <v:textbox>
              <w:txbxContent>
                <w:p>
                  <w:pPr>
                    <w:spacing w:line="360" w:lineRule="auto"/>
                    <w:jc w:val="center"/>
                    <w:rPr>
                      <w:rFonts w:hint="eastAsia" w:ascii="Yu Gothic UI Semibold" w:hAnsi="Yu Gothic UI Semibold" w:eastAsia="宋体"/>
                      <w:color w:val="0070C0"/>
                      <w:kern w:val="24"/>
                      <w:sz w:val="72"/>
                      <w:szCs w:val="72"/>
                      <w:lang w:eastAsia="zh-CN"/>
                    </w:rPr>
                  </w:pPr>
                  <w:r>
                    <w:rPr>
                      <w:rFonts w:hint="eastAsia" w:ascii="Yu Gothic UI Semibold" w:hAnsi="Yu Gothic UI Semibold" w:eastAsia="宋体"/>
                      <w:color w:val="FFFFFF" w:themeColor="background1"/>
                      <w:kern w:val="24"/>
                      <w:sz w:val="72"/>
                      <w:szCs w:val="72"/>
                      <w:lang w:val="en-US" w:eastAsia="zh-CN"/>
                    </w:rPr>
                    <w:t xml:space="preserve"> </w:t>
                  </w:r>
                  <w:r>
                    <w:rPr>
                      <w:rFonts w:hint="eastAsia" w:ascii="Yu Gothic UI Semibold" w:hAnsi="Yu Gothic UI Semibold" w:eastAsia="宋体"/>
                      <w:color w:val="FFFFFF" w:themeColor="background1"/>
                      <w:kern w:val="24"/>
                      <w:sz w:val="72"/>
                      <w:szCs w:val="72"/>
                    </w:rPr>
                    <w:t>2019</w:t>
                  </w:r>
                  <w:r>
                    <w:rPr>
                      <w:rFonts w:hint="eastAsia" w:ascii="Yu Gothic UI Semibold" w:hAnsi="Yu Gothic UI Semibold" w:eastAsia="宋体"/>
                      <w:color w:val="FFFFFF" w:themeColor="background1"/>
                      <w:kern w:val="24"/>
                      <w:sz w:val="72"/>
                      <w:szCs w:val="72"/>
                      <w:lang w:val="en-US" w:eastAsia="zh-CN"/>
                    </w:rPr>
                    <w:t xml:space="preserve">   </w:t>
                  </w:r>
                  <w:r>
                    <w:rPr>
                      <w:rFonts w:hint="eastAsia" w:ascii="Yu Gothic UI Semibold" w:hAnsi="Yu Gothic UI Semibold" w:eastAsia="宋体"/>
                      <w:color w:val="0070C0"/>
                      <w:kern w:val="24"/>
                      <w:sz w:val="72"/>
                      <w:szCs w:val="72"/>
                      <w:lang w:eastAsia="zh-CN"/>
                    </w:rPr>
                    <w:t>馆陶县金凤市场部门</w:t>
                  </w:r>
                </w:p>
                <w:p>
                  <w:pPr>
                    <w:spacing w:line="360" w:lineRule="auto"/>
                    <w:jc w:val="center"/>
                    <w:rPr>
                      <w:rFonts w:hint="eastAsia" w:eastAsia="宋体"/>
                      <w:color w:val="0070C0"/>
                      <w:kern w:val="0"/>
                      <w:sz w:val="28"/>
                      <w:szCs w:val="28"/>
                      <w:lang w:eastAsia="zh-CN"/>
                    </w:rPr>
                  </w:pPr>
                  <w:r>
                    <w:rPr>
                      <w:rFonts w:hint="eastAsia" w:ascii="Yu Gothic UI Semibold" w:hAnsi="Yu Gothic UI Semibold" w:eastAsia="宋体"/>
                      <w:color w:val="0070C0"/>
                      <w:kern w:val="24"/>
                      <w:sz w:val="72"/>
                      <w:szCs w:val="72"/>
                      <w:lang w:val="en-US" w:eastAsia="zh-CN"/>
                    </w:rPr>
                    <w:t xml:space="preserve">  </w:t>
                  </w:r>
                  <w:r>
                    <w:rPr>
                      <w:rFonts w:hint="eastAsia" w:ascii="Yu Gothic UI Semibold" w:hAnsi="Yu Gothic UI Semibold" w:eastAsia="宋体"/>
                      <w:color w:val="0070C0"/>
                      <w:kern w:val="24"/>
                      <w:sz w:val="72"/>
                      <w:szCs w:val="72"/>
                      <w:lang w:eastAsia="zh-CN"/>
                    </w:rPr>
                    <w:t>决算公开</w:t>
                  </w:r>
                </w:p>
              </w:txbxContent>
            </v:textbox>
          </v:rect>
        </w:pict>
      </w:r>
      <w:r>
        <w:pict>
          <v:shape id="椭圆 8" o:spid="_x0000_s1051" o:spt="3" type="#_x0000_t3" style="position:absolute;left:0pt;margin-left:76pt;margin-top:230.6pt;height:121.95pt;width:121.95pt;z-index:25165209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path/>
            <v:fill on="t" focussize="0,0"/>
            <v:stroke on="f" weight="1pt" joinstyle="miter"/>
            <v:imagedata o:title=""/>
            <o:lock v:ext="edit"/>
            <v:textbox>
              <w:txbxContent>
                <w:p>
                  <w:pPr>
                    <w:jc w:val="center"/>
                  </w:pPr>
                </w:p>
              </w:txbxContent>
            </v:textbox>
          </v:shape>
        </w:pict>
      </w:r>
      <w:r>
        <w:pict>
          <v:shape id="_x0000_s1063" o:spid="_x0000_s1063" o:spt="202" type="#_x0000_t202" style="position:absolute;left:0pt;margin-left:142.25pt;margin-top:551.45pt;height:250.1pt;width:404.15pt;z-index:251672576;mso-width-relative:page;mso-height-relative:page;" filled="f" stroked="f" coordsize="21600,21600">
            <v:path/>
            <v:fill on="f" focussize="0,0"/>
            <v:stroke on="f"/>
            <v:imagedata o:title=""/>
            <o:lock v:ext="edit" aspectratio="f"/>
            <v:textbox>
              <w:txbxContent>
                <w:p>
                  <w:pPr>
                    <w:jc w:val="center"/>
                    <w:rPr>
                      <w:rFonts w:hint="eastAsia" w:ascii="楷体_GB2312" w:hAnsi="楷体_GB2312" w:eastAsia="楷体_GB2312" w:cs="楷体_GB2312"/>
                      <w:color w:val="000000" w:themeColor="text1"/>
                      <w:kern w:val="0"/>
                      <w:sz w:val="44"/>
                      <w:szCs w:val="44"/>
                    </w:rPr>
                  </w:pPr>
                </w:p>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_x0000_s1060" o:spid="_x0000_s1060" o:spt="202" type="#_x0000_t202" style="position:absolute;left:0pt;margin-left:142.25pt;margin-top:669.55pt;height:79.95pt;width:404.15pt;mso-wrap-distance-left:9pt;mso-wrap-distance-right:9pt;z-index:-251643904;mso-width-relative:page;mso-height-relative:page;" filled="f" stroked="f" coordsize="21600,21600" wrapcoords="21592 -2 0 0 0 21600 21592 21602 8 21602 21600 21600 21600 0 8 -2 21592 -2"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hint="eastAsia" w:ascii="楷体_GB2312" w:hAnsi="楷体_GB2312" w:eastAsia="楷体_GB2312" w:cs="楷体_GB2312"/>
                      <w:color w:val="000000" w:themeColor="text1"/>
                      <w:kern w:val="0"/>
                      <w:sz w:val="44"/>
                      <w:szCs w:val="44"/>
                    </w:rPr>
                  </w:pPr>
                </w:p>
                <w:p>
                  <w:pPr>
                    <w:ind w:firstLine="1760" w:firstLineChars="400"/>
                    <w:jc w:val="both"/>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w10:wrap type="tight"/>
          </v:shape>
        </w:pict>
      </w:r>
      <w:r>
        <w:pict>
          <v:shape id="_x0000_s1062" o:spid="_x0000_s1062" o:spt="202" type="#_x0000_t202" style="position:absolute;left:0pt;margin-left:142.25pt;margin-top:669.55pt;height:79.95pt;width:404.15pt;mso-wrap-distance-left:9pt;mso-wrap-distance-right:9pt;z-index:-251643904;mso-width-relative:page;mso-height-relative:page;" filled="f" stroked="f" coordsize="21600,21600" wrapcoords="21592 -2 0 0 0 21600 21592 21602 8 21602 21600 21600 21600 0 8 -2 21592 -2"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hint="eastAsia" w:ascii="楷体_GB2312" w:hAnsi="楷体_GB2312" w:eastAsia="楷体_GB2312" w:cs="楷体_GB2312"/>
                      <w:color w:val="000000" w:themeColor="text1"/>
                      <w:kern w:val="0"/>
                      <w:sz w:val="44"/>
                      <w:szCs w:val="44"/>
                    </w:rPr>
                  </w:pPr>
                </w:p>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w10:wrap type="tight"/>
          </v:shape>
        </w:pict>
      </w:r>
      <w:r>
        <w:pict>
          <v:shape id="_x0000_s1057" o:spid="_x0000_s1057" o:spt="202" type="#_x0000_t202" style="position:absolute;left:0pt;margin-left:106.25pt;margin-top:633.55pt;height:79.95pt;width:404.15pt;z-index:-25164390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_x0000_s1058" o:spid="_x0000_s1058" o:spt="202" type="#_x0000_t202" style="position:absolute;left:0pt;margin-left:118.25pt;margin-top:645.55pt;height:79.95pt;width:404.15pt;z-index:-25164390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_x0000_s1059" o:spid="_x0000_s1059" o:spt="202" type="#_x0000_t202" style="position:absolute;left:0pt;margin-left:130.25pt;margin-top:657.55pt;height:79.95pt;width:404.15pt;z-index:-25164390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rect id="_x0000_s1056" o:spid="_x0000_s1056" o:spt="1" style="position:absolute;left:0pt;margin-left:220.75pt;margin-top:262.6pt;height:31.25pt;width:364pt;z-index:-251644928;mso-width-relative:page;mso-height-relative:page;" fillcolor="#FFC000" filled="t" stroked="f" coordsize="21600,21600">
            <v:path/>
            <v:fill on="t" focussize="0,0"/>
            <v:stroke on="f"/>
            <v:imagedata o:title=""/>
            <o:lock v:ext="edit" aspectratio="f"/>
            <v:textbox style="mso-fit-shape-to-text:t;">
              <w:txbxContent>
                <w:p>
                  <w:pPr>
                    <w:rPr>
                      <w:rFonts w:hint="eastAsia" w:eastAsiaTheme="minorEastAsia"/>
                      <w:sz w:val="44"/>
                      <w:szCs w:val="44"/>
                      <w:lang w:eastAsia="zh-CN"/>
                    </w:rPr>
                  </w:pPr>
                  <w:r>
                    <w:rPr>
                      <w:rFonts w:hint="eastAsia"/>
                      <w:sz w:val="44"/>
                      <w:szCs w:val="44"/>
                      <w:lang w:eastAsia="zh-CN"/>
                    </w:rPr>
                    <w:t>馆陶县金丰市场部门决算</w:t>
                  </w:r>
                </w:p>
              </w:txbxContent>
            </v:textbox>
          </v:rect>
        </w:pict>
      </w:r>
      <w:r>
        <w:pict>
          <v:rect id="_x0000_s1054" o:spid="_x0000_s1054" o:spt="1" style="position:absolute;left:0pt;margin-left:196.75pt;margin-top:238.6pt;height:31.25pt;width:364pt;z-index:-251644928;mso-width-relative:page;mso-height-relative:page;" fillcolor="#FFC000" filled="t" stroked="f" coordsize="21600,21600">
            <v:path/>
            <v:fill on="t" focussize="0,0"/>
            <v:stroke on="f"/>
            <v:imagedata o:title=""/>
            <o:lock v:ext="edit" aspectratio="f"/>
            <v:textbox style="mso-fit-shape-to-text:t;">
              <w:txbxContent>
                <w:p>
                  <w:pPr>
                    <w:rPr>
                      <w:rFonts w:hint="eastAsia" w:eastAsiaTheme="minorEastAsia"/>
                      <w:sz w:val="44"/>
                      <w:szCs w:val="44"/>
                      <w:lang w:eastAsia="zh-CN"/>
                    </w:rPr>
                  </w:pPr>
                  <w:r>
                    <w:rPr>
                      <w:rFonts w:hint="eastAsia"/>
                      <w:sz w:val="44"/>
                      <w:szCs w:val="44"/>
                      <w:lang w:eastAsia="zh-CN"/>
                    </w:rPr>
                    <w:t>馆陶县自然资源和规划局部门决算</w:t>
                  </w:r>
                </w:p>
              </w:txbxContent>
            </v:textbox>
          </v:rect>
        </w:pict>
      </w:r>
      <w:r>
        <w:pict>
          <v:rect id="_x0000_s1055" o:spid="_x0000_s1055" o:spt="1" style="position:absolute;left:0pt;margin-left:208.75pt;margin-top:250.6pt;height:31.25pt;width:364pt;z-index:-251644928;mso-width-relative:page;mso-height-relative:page;" fillcolor="#FFC000" filled="t" stroked="f" coordsize="21600,21600">
            <v:path/>
            <v:fill on="t" focussize="0,0"/>
            <v:stroke on="f"/>
            <v:imagedata o:title=""/>
            <o:lock v:ext="edit" aspectratio="f"/>
            <v:textbox style="mso-fit-shape-to-text:t;">
              <w:txbxContent>
                <w:p>
                  <w:pPr>
                    <w:rPr>
                      <w:rFonts w:hint="eastAsia" w:eastAsiaTheme="minorEastAsia"/>
                      <w:sz w:val="44"/>
                      <w:szCs w:val="44"/>
                      <w:lang w:eastAsia="zh-CN"/>
                    </w:rPr>
                  </w:pPr>
                  <w:r>
                    <w:rPr>
                      <w:rFonts w:hint="eastAsia"/>
                      <w:sz w:val="44"/>
                      <w:szCs w:val="44"/>
                      <w:lang w:eastAsia="zh-CN"/>
                    </w:rPr>
                    <w:t>馆陶县自然资源和规划局部门决算</w:t>
                  </w:r>
                </w:p>
              </w:txbxContent>
            </v:textbox>
          </v:rect>
        </w:pict>
      </w:r>
      <w:r>
        <w:pict>
          <v:rect id="_x0000_s1053" o:spid="_x0000_s1053" o:spt="1" style="position:absolute;left:0pt;margin-left:184.75pt;margin-top:226.6pt;height:31.25pt;width:364pt;z-index:-251644928;mso-width-relative:page;mso-height-relative:page;" fillcolor="#FFC000" filled="t" stroked="f" coordsize="21600,21600">
            <v:path/>
            <v:fill on="t" focussize="0,0"/>
            <v:stroke on="f"/>
            <v:imagedata o:title=""/>
            <o:lock v:ext="edit" aspectratio="f"/>
            <v:textbox style="mso-fit-shape-to-text:t;">
              <w:txbxContent>
                <w:p>
                  <w:pPr>
                    <w:rPr>
                      <w:rFonts w:hint="eastAsia" w:eastAsiaTheme="minorEastAsia"/>
                      <w:sz w:val="44"/>
                      <w:szCs w:val="44"/>
                      <w:lang w:eastAsia="zh-CN"/>
                    </w:rPr>
                  </w:pPr>
                  <w:r>
                    <w:rPr>
                      <w:rFonts w:hint="eastAsia"/>
                      <w:sz w:val="44"/>
                      <w:szCs w:val="44"/>
                      <w:lang w:eastAsia="zh-CN"/>
                    </w:rPr>
                    <w:t>馆陶县自然资源和规划局部门决算</w:t>
                  </w:r>
                </w:p>
              </w:txbxContent>
            </v:textbox>
          </v:rect>
        </w:pict>
      </w:r>
      <w:r>
        <w:pict>
          <v:group id="_x0000_s1046" o:spid="_x0000_s1046" o:spt="203" style="position:absolute;left:0pt;margin-left:1.25pt;margin-top:821.7pt;height:21.45pt;width:595.25pt;z-index:251653120;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3" o:spid="_x0000_s1043" o:spt="203" style="position:absolute;left:0pt;margin-left:-2.5pt;margin-top:0pt;height:308.5pt;width:600.25pt;z-index:-251666432;mso-width-relative:page;mso-height-relative:page;"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42" o:spt="1" style="position:absolute;left:0pt;margin-left:184.75pt;margin-top:286.6pt;height:31.25pt;width:339.65pt;mso-wrap-style:none;z-index:25165414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Pr>
        <w:rPr>
          <w:rFonts w:ascii="黑体" w:hAnsi="Times New Roman" w:eastAsia="黑体" w:cs="Times New Roman"/>
          <w:sz w:val="48"/>
          <w:szCs w:val="48"/>
        </w:rPr>
      </w:pPr>
      <w:r>
        <w:pict>
          <v:shape id="文本框 10" o:spid="_x0000_s1026" o:spt="202" type="#_x0000_t202" style="position:absolute;left:0pt;margin-left:29.7pt;margin-top:480.05pt;height:95.9pt;width:404.15pt;z-index:251655168;mso-width-relative:page;mso-height-relative:page;" filled="f" stroked="f" coordsize="21600,21600">
            <v:path/>
            <v:fill on="f" focussize="0,0"/>
            <v:stroke on="f"/>
            <v:imagedata o:title=""/>
            <o:lock v:ext="edit" aspectratio="f"/>
            <v:textbox>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 xml:space="preserve">馆陶县金凤市场管理委员会办公室 </w:t>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58240;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3212]" o:title="image1" focussize="0,0" r:id="rId27"/>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autoSpaceDE w:val="0"/>
        <w:autoSpaceDN w:val="0"/>
        <w:adjustRightInd w:val="0"/>
        <w:spacing w:line="560" w:lineRule="exact"/>
        <w:ind w:firstLine="720" w:firstLineChars="200"/>
        <w:jc w:val="left"/>
        <w:rPr>
          <w:rFonts w:ascii="仿宋_GB2312" w:eastAsia="仿宋_GB2312" w:cs="ArialUnicodeMS"/>
          <w:kern w:val="0"/>
          <w:sz w:val="32"/>
          <w:szCs w:val="32"/>
        </w:rPr>
      </w:pPr>
      <w:r>
        <w:rPr>
          <w:rFonts w:hint="eastAsia" w:ascii="仿宋_GB2312" w:hAnsi="宋体" w:eastAsia="仿宋_GB2312" w:cs="仿宋_GB2312"/>
          <w:kern w:val="0"/>
          <w:sz w:val="36"/>
          <w:szCs w:val="36"/>
        </w:rPr>
        <w:t>金凤市场系农业产业国家重点龙头企业，在全县农业结构调整和农民增收的进程中，充分发挥其吸纳辐射的龙头带动和交易平台作用，立足农业，面向农村，化服务农民，为农业增效、农民增收发挥了巨大作用。1998年11月18日正是挂牌成立。在县委、县政府的领导下，根据2003年1月24日馆陶县第十三届人民代表大会常务委员会第三十五次会议通过的馆陶县金凤市场管理若干规定(试行)，其主要职责分为：负责市场规划建设，起草总体规划等文件及协调的馆陶县金凤市场管理若干规定(试行)具体实施；负责收取市场摊位费、交易手续费、卫生费、物业管理费、市场设施租赁费、有偿服务费等规费，做到合理收费，收之于市场，用之于市场；负责创造良好的经营环境，提供优质服务，依法查处违犯市场管理、破坏市场秩序的不法行为；负责对市场工作人员的引进、培训和管理工作，努力创建文明有序的一流市场；负责县委、县政府交办的其他事项，承办县人大、县政协建议、提案事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8"/>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eastAsia="仿宋_GB2312" w:cs="ArialUnicodeMS"/>
                <w:kern w:val="0"/>
                <w:sz w:val="21"/>
                <w:szCs w:val="21"/>
              </w:rPr>
              <w:t>馆陶县金凤市场管理委员会办公室</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财政补助事业</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5" w:type="first"/>
          <w:headerReference r:id="rId13" w:type="default"/>
          <w:footerReference r:id="rId14"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6"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336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3212]" o:title="image1" focussize="0,0" r:id="rId27"/>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本部门2019年度收支总计（含结转和结余）173.74万元。与2018年度决算相比，收支各减少30.99万元，下降15.1%，主要原因是市场维修减少。</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本部门2019年度本年收入合计173.74万元，其中：财政拨款收入173.74万元，占100%；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keepNext/>
        <w:keepLines/>
        <w:snapToGrid w:val="0"/>
        <w:spacing w:line="580" w:lineRule="exact"/>
        <w:ind w:firstLine="640" w:firstLineChars="200"/>
        <w:outlineLvl w:val="1"/>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本部门2019年度本年支出合计173.74万元，其中：基本支出141.16万元，占81.25%；项目支出32.58万元，占18.75%。</w:t>
      </w:r>
      <w:r>
        <w:rPr>
          <w:rFonts w:hint="eastAsia" w:ascii="仿宋_GB2312" w:hAnsi="Times New Roman" w:eastAsia="仿宋_GB2312" w:cs="DengXian-Regular"/>
          <w:sz w:val="32"/>
          <w:szCs w:val="32"/>
          <w:lang w:val="en-US" w:eastAsia="zh-CN"/>
        </w:rPr>
        <w:t xml:space="preserve"> </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仿宋_GB2312" w:hAnsi="Times New Roman" w:eastAsia="仿宋_GB2312" w:cs="DengXian-Regular"/>
          <w:sz w:val="32"/>
          <w:szCs w:val="32"/>
          <w:lang w:val="en-US" w:eastAsia="zh-CN"/>
        </w:rPr>
        <w:t xml:space="preserve"> </w:t>
      </w: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pacing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（一）财政拨款收支与2018年度决算对比情况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本部门2019年度财政拨款本年收入173.74万元,比2018年度减少30.99万元，降低15.1%，主要是市场出租收入减少；本年支出173.74万元，减少30.99万元，降低15.1%，主要是市场维修减少。具体情况如下：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一般公共预算财政拨款本年收入141.16万元，比上年减少30.99万元；主要是市场出租收入减少；本年支出141.16万元，比上年减少30.99万元，降低15.1%，主要是市场维修减少。</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政府性基金预算财政拨款本年收入32.58万元，与上年持平</w:t>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173.74万元，完成年初预算的100.1%（如图4）,比年初预算增加0.25万元，决算数大于预算数主要原因是市场出租收入增加；本年支出173.74万元，完成年初预算的100.1%,比年初预算增加0.25万元，决算数大于预算数主要原因是主要是市场维修增加。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一般公共预算财政拨款本年收入完成年初预算100.2%，比年初预算增加0.25万元，主要是市场出租收入增加；支出完成年初预算100.2%，比年初预算增加0.25万元，主要是市场维修增加。</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政府性基金预算财政拨款本年收入完成年初预算100%，与年初预算持平。</w:t>
      </w: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年度财政拨款支出173.74万元，主要用于以下方面：农林水支出130.47万元，占75.1%，；城乡社区支出32.58万元，占18.7%；社会保障和就业（类）支出10.17万元，占5.9%；卫生健康支出0.52万元，占 0.3%。</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年度财政拨款基本支出173.74万元，其中：人员经费 99.28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41.88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年度“三公”经费支出共计0万元，完成预算的0,较预算持平，主要是未发生此项支出，较201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pageBreakBefore w:val="0"/>
        <w:widowControl w:val="0"/>
        <w:numPr>
          <w:ilvl w:val="0"/>
          <w:numId w:val="4"/>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_GB2312" w:cs="仿宋_GB2312"/>
          <w:sz w:val="32"/>
          <w:szCs w:val="32"/>
        </w:rPr>
        <w:t>根据预算绩效管理要求，组织对2019年度禽蛋农贸批发市场租赁土地等1个政府性基金预算项目支出开展绩效自评，共涉及资金32.58万元，占政府性基金预算项目支出总额的100%。组织对禽蛋农贸批发市场租赁土地等1个项目开展了部门评价，涉及政府性基金预算支出32.58万元。其中，对禽蛋农贸批发市场租赁土地等项目分别委托县财政局等第三方机构(或部内评审机构)开展绩效评价。从评价情况来看，</w:t>
      </w:r>
      <w:r>
        <w:rPr>
          <w:rFonts w:hint="eastAsia" w:ascii="仿宋" w:hAnsi="仿宋" w:eastAsia="仿宋" w:cs="仿宋"/>
          <w:sz w:val="32"/>
          <w:szCs w:val="32"/>
        </w:rPr>
        <w:t>社会影响力实际完成</w:t>
      </w:r>
      <w:r>
        <w:rPr>
          <w:rFonts w:hint="eastAsia" w:ascii="仿宋" w:hAnsi="仿宋" w:eastAsia="仿宋" w:cs="仿宋"/>
          <w:color w:val="000000"/>
          <w:kern w:val="0"/>
          <w:sz w:val="32"/>
          <w:szCs w:val="32"/>
        </w:rPr>
        <w:t>优等，</w:t>
      </w:r>
      <w:r>
        <w:rPr>
          <w:rFonts w:hint="eastAsia" w:ascii="仿宋" w:hAnsi="仿宋" w:eastAsia="仿宋" w:cs="仿宋"/>
          <w:sz w:val="32"/>
          <w:szCs w:val="32"/>
        </w:rPr>
        <w:t>受益对象满意度实际完成优等。</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 禽蛋农贸批发市场租赁土地项目等1个项目绩效自评结果。</w:t>
      </w:r>
    </w:p>
    <w:p>
      <w:pPr>
        <w:numPr>
          <w:ilvl w:val="0"/>
          <w:numId w:val="5"/>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禽蛋农贸批发市场租赁土地项目自评综述：根据年初设定的绩效目标，禽蛋农贸批发市场租赁土地项目绩效自评得分为96分。全年预算数为32.58万元，执行数为32.58万元，完成预算的100%。 </w:t>
      </w:r>
    </w:p>
    <w:p>
      <w:pPr>
        <w:widowControl/>
        <w:numPr>
          <w:ilvl w:val="0"/>
          <w:numId w:val="6"/>
        </w:numPr>
        <w:tabs>
          <w:tab w:val="left" w:pos="298"/>
          <w:tab w:val="clear" w:pos="312"/>
        </w:tabs>
        <w:spacing w:line="480" w:lineRule="auto"/>
        <w:ind w:left="1918" w:leftChars="304" w:hanging="1280" w:hanging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禽蛋农贸批发市场租赁土地项目绩效自评综述：      </w:t>
      </w:r>
    </w:p>
    <w:p>
      <w:pPr>
        <w:widowControl/>
        <w:tabs>
          <w:tab w:val="left" w:pos="298"/>
        </w:tabs>
        <w:spacing w:line="480" w:lineRule="auto"/>
        <w:ind w:left="437" w:leftChars="208" w:firstLine="640" w:firstLineChars="200"/>
        <w:jc w:val="left"/>
        <w:rPr>
          <w:rFonts w:ascii="仿宋" w:hAnsi="仿宋" w:eastAsia="仿宋" w:cs="仿宋_GB2312"/>
          <w:bCs/>
          <w:sz w:val="32"/>
          <w:szCs w:val="32"/>
        </w:rPr>
      </w:pPr>
      <w:r>
        <w:rPr>
          <w:rFonts w:hint="eastAsia" w:ascii="仿宋" w:hAnsi="仿宋" w:eastAsia="仿宋" w:cs="仿宋_GB2312"/>
          <w:color w:val="000000"/>
          <w:kern w:val="0"/>
          <w:sz w:val="32"/>
          <w:szCs w:val="32"/>
        </w:rPr>
        <w:t>进一步完善了市场功能，保障了金凤市场正常运营，全县蛋鸡养殖户人均收入较去年增加18.6%。</w:t>
      </w:r>
      <w:r>
        <w:rPr>
          <w:rFonts w:hint="eastAsia" w:ascii="仿宋" w:hAnsi="仿宋" w:eastAsia="仿宋" w:cs="仿宋_GB2312"/>
          <w:bCs/>
          <w:sz w:val="32"/>
          <w:szCs w:val="32"/>
        </w:rPr>
        <w:t>保障了占地农户基本收入，补助占地农户在生活、医疗、护理、教育等方面的改善情况。</w:t>
      </w:r>
    </w:p>
    <w:p>
      <w:pPr>
        <w:adjustRightInd w:val="0"/>
        <w:snapToGrid w:val="0"/>
        <w:spacing w:line="580" w:lineRule="exact"/>
        <w:rPr>
          <w:rFonts w:ascii="仿宋_GB2312" w:hAnsi="仿宋_GB2312" w:eastAsia="仿宋_GB2312" w:cs="仿宋_GB2312"/>
          <w:sz w:val="32"/>
          <w:szCs w:val="32"/>
        </w:rPr>
      </w:pPr>
    </w:p>
    <w:p>
      <w:pPr>
        <w:keepNext/>
        <w:keepLines/>
        <w:numPr>
          <w:ilvl w:val="0"/>
          <w:numId w:val="2"/>
        </w:numPr>
        <w:snapToGrid w:val="0"/>
        <w:spacing w:line="58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财政评价项目绩效评价结果：无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本部门2019年度机关运行经费支出0万元。与2018年持平，主要原因为我单位为财政补助事业单位，无机关运行经费。</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年12月31日，本部门共有车辆0辆。比上年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1.本部门2019年度无</w:t>
      </w:r>
      <w:r>
        <w:rPr>
          <w:rFonts w:hint="eastAsia" w:ascii="仿宋_GB2312" w:hAnsi="Times New Roman" w:eastAsia="仿宋_GB2312" w:cs="DengXian-Regular"/>
          <w:sz w:val="32"/>
          <w:szCs w:val="32"/>
          <w:lang w:eastAsia="zh-CN"/>
        </w:rPr>
        <w:t>国有资本经营预算</w:t>
      </w:r>
      <w:r>
        <w:rPr>
          <w:rFonts w:hint="eastAsia" w:ascii="仿宋_GB2312" w:hAnsi="Times New Roman" w:eastAsia="仿宋_GB2312" w:cs="DengXian-Regular"/>
          <w:sz w:val="32"/>
          <w:szCs w:val="32"/>
        </w:rPr>
        <w:t>收支及结转结余情况，故表以空表列示。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8" w:type="first"/>
          <w:footerReference r:id="rId20" w:type="first"/>
          <w:headerReference r:id="rId17" w:type="default"/>
          <w:footerReference r:id="rId19"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438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3212]" o:title="image1" focussize="0,0" r:id="rId27"/>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1"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2"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6540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path/>
            <v:fill type="pattern" on="t" color2="#FFFFFF [3212]" o:title="image1" focussize="0,0" r:id="rId27"/>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Ind w:w="0" w:type="dxa"/>
        <w:tblLayout w:type="fixed"/>
        <w:tblCellMar>
          <w:top w:w="0" w:type="dxa"/>
          <w:left w:w="0" w:type="dxa"/>
          <w:bottom w:w="0" w:type="dxa"/>
          <w:right w:w="0" w:type="dxa"/>
        </w:tblCellMar>
      </w:tblPr>
      <w:tblGrid>
        <w:gridCol w:w="3236"/>
        <w:gridCol w:w="731"/>
        <w:gridCol w:w="894"/>
        <w:gridCol w:w="3271"/>
        <w:gridCol w:w="541"/>
        <w:gridCol w:w="844"/>
      </w:tblGrid>
      <w:tr>
        <w:tblPrEx>
          <w:tblLayout w:type="fixed"/>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56"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部门：金凤市场管理委员会办公室</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56"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284" w:hRule="atLeast"/>
          <w:jc w:val="center"/>
        </w:trPr>
        <w:tc>
          <w:tcPr>
            <w:tcW w:w="48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65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Layout w:type="fixed"/>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282"/>
                <w:tab w:val="right" w:pos="1001"/>
              </w:tabs>
              <w:jc w:val="left"/>
              <w:textAlignment w:val="center"/>
              <w:rPr>
                <w:rFonts w:ascii="宋体" w:hAnsi="宋体" w:eastAsia="宋体" w:cs="宋体"/>
                <w:color w:val="000000"/>
                <w:sz w:val="22"/>
              </w:rPr>
            </w:pPr>
            <w:r>
              <w:rPr>
                <w:rFonts w:hint="eastAsia" w:ascii="宋体" w:hAnsi="宋体" w:eastAsia="宋体" w:cs="宋体"/>
                <w:color w:val="000000"/>
                <w:kern w:val="0"/>
                <w:sz w:val="22"/>
              </w:rPr>
              <w:t>141.16</w:t>
            </w:r>
            <w:r>
              <w:rPr>
                <w:rFonts w:hint="eastAsia" w:ascii="宋体" w:hAnsi="宋体" w:eastAsia="宋体" w:cs="宋体"/>
                <w:color w:val="000000"/>
                <w:kern w:val="0"/>
                <w:sz w:val="22"/>
              </w:rPr>
              <w:tab/>
            </w: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32.58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10.17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0.52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32.58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130.47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173.74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173.74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173.74　</w:t>
            </w:r>
          </w:p>
        </w:tc>
        <w:tc>
          <w:tcPr>
            <w:tcW w:w="3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173.74　</w:t>
            </w:r>
          </w:p>
        </w:tc>
      </w:tr>
      <w:tr>
        <w:tblPrEx>
          <w:tblLayout w:type="fixed"/>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10077" w:type="dxa"/>
        <w:jc w:val="center"/>
        <w:tblInd w:w="0" w:type="dxa"/>
        <w:tblLayout w:type="fixed"/>
        <w:tblCellMar>
          <w:top w:w="0" w:type="dxa"/>
          <w:left w:w="0" w:type="dxa"/>
          <w:bottom w:w="0" w:type="dxa"/>
          <w:right w:w="0" w:type="dxa"/>
        </w:tblCellMar>
      </w:tblPr>
      <w:tblGrid>
        <w:gridCol w:w="717"/>
        <w:gridCol w:w="50"/>
        <w:gridCol w:w="50"/>
        <w:gridCol w:w="3932"/>
        <w:gridCol w:w="1069"/>
        <w:gridCol w:w="1012"/>
        <w:gridCol w:w="1095"/>
        <w:gridCol w:w="431"/>
        <w:gridCol w:w="453"/>
        <w:gridCol w:w="496"/>
        <w:gridCol w:w="772"/>
      </w:tblGrid>
      <w:tr>
        <w:tblPrEx>
          <w:tblLayout w:type="fixed"/>
          <w:tblCellMar>
            <w:top w:w="0" w:type="dxa"/>
            <w:left w:w="0" w:type="dxa"/>
            <w:bottom w:w="0" w:type="dxa"/>
            <w:right w:w="0" w:type="dxa"/>
          </w:tblCellMar>
        </w:tblPrEx>
        <w:trPr>
          <w:trHeight w:val="670" w:hRule="atLeast"/>
          <w:jc w:val="center"/>
        </w:trPr>
        <w:tc>
          <w:tcPr>
            <w:tcW w:w="10077"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Layout w:type="fixed"/>
          <w:tblCellMar>
            <w:top w:w="0" w:type="dxa"/>
            <w:left w:w="0" w:type="dxa"/>
            <w:bottom w:w="0" w:type="dxa"/>
            <w:right w:w="0" w:type="dxa"/>
          </w:tblCellMar>
        </w:tblPrEx>
        <w:trPr>
          <w:trHeight w:val="357" w:hRule="atLeast"/>
          <w:jc w:val="center"/>
        </w:trPr>
        <w:tc>
          <w:tcPr>
            <w:tcW w:w="7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68"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Layout w:type="fixed"/>
          <w:tblCellMar>
            <w:top w:w="0" w:type="dxa"/>
            <w:left w:w="0" w:type="dxa"/>
            <w:bottom w:w="0" w:type="dxa"/>
            <w:right w:w="0" w:type="dxa"/>
          </w:tblCellMar>
        </w:tblPrEx>
        <w:trPr>
          <w:trHeight w:val="357" w:hRule="atLeast"/>
          <w:jc w:val="center"/>
        </w:trPr>
        <w:tc>
          <w:tcPr>
            <w:tcW w:w="71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金凤市场管理委员会办公室</w:t>
            </w:r>
          </w:p>
        </w:tc>
        <w:tc>
          <w:tcPr>
            <w:tcW w:w="10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21"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85" w:hRule="atLeast"/>
          <w:jc w:val="center"/>
        </w:trPr>
        <w:tc>
          <w:tcPr>
            <w:tcW w:w="47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01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10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43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4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49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77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Layout w:type="fixed"/>
          <w:tblCellMar>
            <w:top w:w="0" w:type="dxa"/>
            <w:left w:w="0" w:type="dxa"/>
            <w:bottom w:w="0" w:type="dxa"/>
            <w:right w:w="0" w:type="dxa"/>
          </w:tblCellMar>
        </w:tblPrEx>
        <w:trPr>
          <w:trHeight w:val="380" w:hRule="atLeast"/>
          <w:jc w:val="center"/>
        </w:trPr>
        <w:tc>
          <w:tcPr>
            <w:tcW w:w="81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81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81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474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Layout w:type="fixed"/>
          <w:tblCellMar>
            <w:top w:w="0" w:type="dxa"/>
            <w:left w:w="0" w:type="dxa"/>
            <w:bottom w:w="0" w:type="dxa"/>
            <w:right w:w="0" w:type="dxa"/>
          </w:tblCellMar>
        </w:tblPrEx>
        <w:trPr>
          <w:trHeight w:val="385" w:hRule="atLeast"/>
          <w:jc w:val="center"/>
        </w:trPr>
        <w:tc>
          <w:tcPr>
            <w:tcW w:w="474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rPr>
              <w:t>合计</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173.74</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173.74</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85"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rPr>
            </w:pPr>
            <w:r>
              <w:rPr>
                <w:rFonts w:hint="eastAsia" w:ascii="宋体" w:hAnsi="宋体" w:eastAsia="宋体" w:cs="宋体"/>
                <w:b/>
                <w:bCs/>
                <w:sz w:val="22"/>
              </w:rPr>
              <w:t>208</w:t>
            </w:r>
          </w:p>
        </w:tc>
        <w:tc>
          <w:tcPr>
            <w:tcW w:w="3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2"/>
              </w:rPr>
            </w:pPr>
            <w:r>
              <w:rPr>
                <w:rFonts w:hint="eastAsia" w:ascii="宋体" w:hAnsi="宋体" w:eastAsia="宋体" w:cs="宋体"/>
                <w:b/>
                <w:bCs/>
                <w:sz w:val="22"/>
              </w:rPr>
              <w:t>社会保障和就业支出</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20805</w:t>
            </w:r>
          </w:p>
        </w:tc>
        <w:tc>
          <w:tcPr>
            <w:tcW w:w="3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3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机关事业单位基本养老保险缴费支出</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210</w:t>
            </w:r>
          </w:p>
        </w:tc>
        <w:tc>
          <w:tcPr>
            <w:tcW w:w="3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卫生健康支出</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3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3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事业单位医疗</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212</w:t>
            </w:r>
          </w:p>
        </w:tc>
        <w:tc>
          <w:tcPr>
            <w:tcW w:w="3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城乡社区支出</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w:t>
            </w:r>
          </w:p>
        </w:tc>
        <w:tc>
          <w:tcPr>
            <w:tcW w:w="3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国有土地使用权出让收入及对应专项债务收入安排的支出</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2120801</w:t>
            </w:r>
          </w:p>
        </w:tc>
        <w:tc>
          <w:tcPr>
            <w:tcW w:w="3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征地和拆迁补偿支出</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b/>
                <w:bCs/>
                <w:color w:val="000000"/>
                <w:sz w:val="22"/>
              </w:rPr>
            </w:pPr>
            <w:r>
              <w:rPr>
                <w:rFonts w:hint="eastAsia" w:ascii="宋体" w:hAnsi="宋体" w:eastAsia="宋体" w:cs="宋体"/>
                <w:b/>
                <w:bCs/>
                <w:color w:val="000000"/>
                <w:sz w:val="22"/>
              </w:rPr>
              <w:t>213</w:t>
            </w:r>
          </w:p>
        </w:tc>
        <w:tc>
          <w:tcPr>
            <w:tcW w:w="3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b/>
                <w:bCs/>
                <w:color w:val="000000"/>
                <w:sz w:val="22"/>
              </w:rPr>
            </w:pPr>
            <w:r>
              <w:rPr>
                <w:rFonts w:hint="eastAsia" w:ascii="宋体" w:hAnsi="宋体" w:eastAsia="宋体" w:cs="宋体"/>
                <w:b/>
                <w:bCs/>
                <w:color w:val="000000"/>
                <w:sz w:val="22"/>
              </w:rPr>
              <w:t>农林水支出</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3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2130104</w:t>
            </w:r>
          </w:p>
        </w:tc>
        <w:tc>
          <w:tcPr>
            <w:tcW w:w="3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事业运行</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0077"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7"/>
        <w:tblW w:w="9680" w:type="dxa"/>
        <w:jc w:val="center"/>
        <w:tblInd w:w="0" w:type="dxa"/>
        <w:tblLayout w:type="fixed"/>
        <w:tblCellMar>
          <w:top w:w="0" w:type="dxa"/>
          <w:left w:w="0" w:type="dxa"/>
          <w:bottom w:w="0" w:type="dxa"/>
          <w:right w:w="0" w:type="dxa"/>
        </w:tblCellMar>
      </w:tblPr>
      <w:tblGrid>
        <w:gridCol w:w="459"/>
        <w:gridCol w:w="307"/>
        <w:gridCol w:w="240"/>
        <w:gridCol w:w="2879"/>
        <w:gridCol w:w="955"/>
        <w:gridCol w:w="867"/>
        <w:gridCol w:w="752"/>
        <w:gridCol w:w="649"/>
        <w:gridCol w:w="1161"/>
        <w:gridCol w:w="1411"/>
      </w:tblGrid>
      <w:tr>
        <w:tblPrEx>
          <w:tblLayout w:type="fixed"/>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Layout w:type="fixed"/>
          <w:tblCellMar>
            <w:top w:w="0" w:type="dxa"/>
            <w:left w:w="0" w:type="dxa"/>
            <w:bottom w:w="0" w:type="dxa"/>
            <w:right w:w="0" w:type="dxa"/>
          </w:tblCellMar>
        </w:tblPrEx>
        <w:trPr>
          <w:trHeight w:val="313" w:hRule="atLeast"/>
          <w:jc w:val="center"/>
        </w:trPr>
        <w:tc>
          <w:tcPr>
            <w:tcW w:w="4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7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4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0" w:type="dxa"/>
            <w:bottom w:w="0" w:type="dxa"/>
            <w:right w:w="0" w:type="dxa"/>
          </w:tblCellMar>
        </w:tblPrEx>
        <w:trPr>
          <w:trHeight w:val="313" w:hRule="atLeast"/>
          <w:jc w:val="center"/>
        </w:trPr>
        <w:tc>
          <w:tcPr>
            <w:tcW w:w="459"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7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金凤市场管理委员会办公室</w:t>
            </w:r>
          </w:p>
        </w:tc>
        <w:tc>
          <w:tcPr>
            <w:tcW w:w="9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4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23" w:hRule="atLeast"/>
          <w:jc w:val="center"/>
        </w:trPr>
        <w:tc>
          <w:tcPr>
            <w:tcW w:w="38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86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75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64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Layout w:type="fixed"/>
          <w:tblCellMar>
            <w:top w:w="0" w:type="dxa"/>
            <w:left w:w="0" w:type="dxa"/>
            <w:bottom w:w="0" w:type="dxa"/>
            <w:right w:w="0" w:type="dxa"/>
          </w:tblCellMar>
        </w:tblPrEx>
        <w:trPr>
          <w:trHeight w:val="319" w:hRule="atLeast"/>
          <w:jc w:val="center"/>
        </w:trPr>
        <w:tc>
          <w:tcPr>
            <w:tcW w:w="100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8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4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00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4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00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4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388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23" w:hRule="atLeast"/>
          <w:jc w:val="center"/>
        </w:trPr>
        <w:tc>
          <w:tcPr>
            <w:tcW w:w="388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173.74</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173.74</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23" w:hRule="atLeast"/>
          <w:jc w:val="center"/>
        </w:trPr>
        <w:tc>
          <w:tcPr>
            <w:tcW w:w="100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b/>
                <w:bCs/>
                <w:sz w:val="22"/>
              </w:rPr>
              <w:t>208</w:t>
            </w:r>
          </w:p>
        </w:tc>
        <w:tc>
          <w:tcPr>
            <w:tcW w:w="28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sz w:val="22"/>
              </w:rPr>
              <w:t>社会保障和就业支出</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00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20805</w:t>
            </w:r>
          </w:p>
        </w:tc>
        <w:tc>
          <w:tcPr>
            <w:tcW w:w="28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00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28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机关事业单位基本养老保险缴费支出</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00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210</w:t>
            </w:r>
          </w:p>
        </w:tc>
        <w:tc>
          <w:tcPr>
            <w:tcW w:w="28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卫生健康支出</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00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28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00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28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事业单位医疗</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00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212</w:t>
            </w:r>
          </w:p>
        </w:tc>
        <w:tc>
          <w:tcPr>
            <w:tcW w:w="28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城乡社区支出</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00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w:t>
            </w:r>
          </w:p>
        </w:tc>
        <w:tc>
          <w:tcPr>
            <w:tcW w:w="28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国有土地使用权出让收入及对应专项债务收入安排的支出</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00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2120801</w:t>
            </w:r>
          </w:p>
        </w:tc>
        <w:tc>
          <w:tcPr>
            <w:tcW w:w="28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征地和拆迁补偿支出</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00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213</w:t>
            </w:r>
          </w:p>
        </w:tc>
        <w:tc>
          <w:tcPr>
            <w:tcW w:w="28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农林水支出</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00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28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00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2130104</w:t>
            </w:r>
          </w:p>
        </w:tc>
        <w:tc>
          <w:tcPr>
            <w:tcW w:w="28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事业运行</w:t>
            </w: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00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8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9520" w:type="dxa"/>
        <w:jc w:val="center"/>
        <w:tblInd w:w="0" w:type="dxa"/>
        <w:tblLayout w:type="fixed"/>
        <w:tblCellMar>
          <w:top w:w="0" w:type="dxa"/>
          <w:left w:w="0" w:type="dxa"/>
          <w:bottom w:w="0" w:type="dxa"/>
          <w:right w:w="0" w:type="dxa"/>
        </w:tblCellMar>
      </w:tblPr>
      <w:tblGrid>
        <w:gridCol w:w="3003"/>
        <w:gridCol w:w="432"/>
        <w:gridCol w:w="742"/>
        <w:gridCol w:w="2958"/>
        <w:gridCol w:w="434"/>
        <w:gridCol w:w="307"/>
        <w:gridCol w:w="855"/>
        <w:gridCol w:w="789"/>
      </w:tblGrid>
      <w:tr>
        <w:tblPrEx>
          <w:tblLayout w:type="fixed"/>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51"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部门：金凤市场管理委员会办公室</w:t>
            </w:r>
          </w:p>
        </w:tc>
        <w:tc>
          <w:tcPr>
            <w:tcW w:w="4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51"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90" w:hRule="atLeast"/>
          <w:jc w:val="center"/>
        </w:trPr>
        <w:tc>
          <w:tcPr>
            <w:tcW w:w="41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343"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Layout w:type="fixed"/>
          <w:tblCellMar>
            <w:top w:w="0" w:type="dxa"/>
            <w:left w:w="0" w:type="dxa"/>
            <w:bottom w:w="0" w:type="dxa"/>
            <w:right w:w="0" w:type="dxa"/>
          </w:tblCellMar>
        </w:tblPrEx>
        <w:trPr>
          <w:trHeight w:val="312" w:hRule="atLeast"/>
          <w:jc w:val="center"/>
        </w:trPr>
        <w:tc>
          <w:tcPr>
            <w:tcW w:w="30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3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30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141.16</w:t>
            </w: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39"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39"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506"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22"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173.74</w:t>
            </w: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141.16</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30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173.74</w:t>
            </w:r>
          </w:p>
        </w:tc>
        <w:tc>
          <w:tcPr>
            <w:tcW w:w="2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141.16</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r>
      <w:tr>
        <w:tblPrEx>
          <w:tblLayout w:type="fixed"/>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10454" w:type="dxa"/>
        <w:jc w:val="center"/>
        <w:tblInd w:w="0" w:type="dxa"/>
        <w:tblLayout w:type="fixed"/>
        <w:tblCellMar>
          <w:top w:w="0" w:type="dxa"/>
          <w:left w:w="0" w:type="dxa"/>
          <w:bottom w:w="0" w:type="dxa"/>
          <w:right w:w="0" w:type="dxa"/>
        </w:tblCellMar>
      </w:tblPr>
      <w:tblGrid>
        <w:gridCol w:w="1173"/>
        <w:gridCol w:w="67"/>
        <w:gridCol w:w="68"/>
        <w:gridCol w:w="3612"/>
        <w:gridCol w:w="1755"/>
        <w:gridCol w:w="1790"/>
        <w:gridCol w:w="1989"/>
      </w:tblGrid>
      <w:tr>
        <w:tblPrEx>
          <w:tblLayout w:type="fixed"/>
          <w:tblCellMar>
            <w:top w:w="0" w:type="dxa"/>
            <w:left w:w="0" w:type="dxa"/>
            <w:bottom w:w="0" w:type="dxa"/>
            <w:right w:w="0" w:type="dxa"/>
          </w:tblCellMar>
        </w:tblPrEx>
        <w:trPr>
          <w:trHeight w:val="600" w:hRule="atLeast"/>
          <w:jc w:val="center"/>
        </w:trPr>
        <w:tc>
          <w:tcPr>
            <w:tcW w:w="10454"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117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1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7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Layout w:type="fixed"/>
          <w:tblCellMar>
            <w:top w:w="0" w:type="dxa"/>
            <w:left w:w="0" w:type="dxa"/>
            <w:bottom w:w="0" w:type="dxa"/>
            <w:right w:w="0" w:type="dxa"/>
          </w:tblCellMar>
        </w:tblPrEx>
        <w:trPr>
          <w:trHeight w:val="255" w:hRule="atLeast"/>
          <w:jc w:val="center"/>
        </w:trPr>
        <w:tc>
          <w:tcPr>
            <w:tcW w:w="1173"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1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金凤市场管理委员会办公室</w:t>
            </w:r>
          </w:p>
        </w:tc>
        <w:tc>
          <w:tcPr>
            <w:tcW w:w="17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7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49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53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6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7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7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9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492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492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141.16</w:t>
            </w:r>
          </w:p>
        </w:tc>
        <w:tc>
          <w:tcPr>
            <w:tcW w:w="1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141.16</w:t>
            </w:r>
          </w:p>
        </w:tc>
        <w:tc>
          <w:tcPr>
            <w:tcW w:w="1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b/>
                <w:bCs/>
                <w:sz w:val="22"/>
              </w:rPr>
              <w:t>208</w:t>
            </w:r>
          </w:p>
        </w:tc>
        <w:tc>
          <w:tcPr>
            <w:tcW w:w="36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sz w:val="22"/>
              </w:rPr>
              <w:t>社会保障和就业支出</w:t>
            </w:r>
          </w:p>
        </w:tc>
        <w:tc>
          <w:tcPr>
            <w:tcW w:w="1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20805</w:t>
            </w:r>
          </w:p>
        </w:tc>
        <w:tc>
          <w:tcPr>
            <w:tcW w:w="36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36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机关事业单位基本养老保险缴费支出</w:t>
            </w:r>
          </w:p>
        </w:tc>
        <w:tc>
          <w:tcPr>
            <w:tcW w:w="1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210</w:t>
            </w:r>
          </w:p>
        </w:tc>
        <w:tc>
          <w:tcPr>
            <w:tcW w:w="36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卫生健康支出</w:t>
            </w:r>
          </w:p>
        </w:tc>
        <w:tc>
          <w:tcPr>
            <w:tcW w:w="1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1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1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361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7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179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198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3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事业单位医疗</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1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0.52</w:t>
            </w:r>
          </w:p>
        </w:tc>
        <w:tc>
          <w:tcPr>
            <w:tcW w:w="19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213</w:t>
            </w:r>
          </w:p>
        </w:tc>
        <w:tc>
          <w:tcPr>
            <w:tcW w:w="3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农林水支出</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1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19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3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1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19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2130104</w:t>
            </w:r>
          </w:p>
        </w:tc>
        <w:tc>
          <w:tcPr>
            <w:tcW w:w="3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事业运行</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1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130.47</w:t>
            </w:r>
          </w:p>
        </w:tc>
        <w:tc>
          <w:tcPr>
            <w:tcW w:w="19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9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注：本表反映部门本年度一般公共预算财政拨款支出情况。</w:t>
      </w:r>
      <w:r>
        <w:br w:type="page"/>
      </w:r>
    </w:p>
    <w:tbl>
      <w:tblPr>
        <w:tblStyle w:val="7"/>
        <w:tblW w:w="10000" w:type="dxa"/>
        <w:jc w:val="center"/>
        <w:tblInd w:w="0" w:type="dxa"/>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Layout w:type="fixed"/>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金凤市场管理委员会办公室</w:t>
            </w: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Layout w:type="fixed"/>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Layout w:type="fixed"/>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58.15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6.53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0.96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17.37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0.56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22.10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0.26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22.34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9.48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nil"/>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99.28</w:t>
            </w:r>
          </w:p>
        </w:tc>
        <w:tc>
          <w:tcPr>
            <w:tcW w:w="5657" w:type="dxa"/>
            <w:gridSpan w:val="5"/>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nil"/>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41.88</w:t>
            </w:r>
          </w:p>
        </w:tc>
      </w:tr>
      <w:tr>
        <w:tblPrEx>
          <w:tblLayout w:type="fixed"/>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宋体" w:hAnsi="宋体" w:eastAsia="宋体" w:cs="宋体"/>
                <w:color w:val="000000"/>
                <w:kern w:val="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20"/>
                <w:szCs w:val="20"/>
              </w:rPr>
            </w:pP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宋体" w:hAnsi="宋体" w:eastAsia="宋体" w:cs="宋体"/>
                <w:color w:val="000000"/>
                <w:kern w:val="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hint="eastAsia" w:ascii="宋体" w:hAnsi="宋体" w:eastAsia="宋体" w:cs="宋体"/>
                <w:color w:val="000000"/>
                <w:sz w:val="20"/>
                <w:szCs w:val="20"/>
              </w:rPr>
            </w:pPr>
          </w:p>
        </w:tc>
      </w:tr>
    </w:tbl>
    <w:p>
      <w:r>
        <w:rPr>
          <w:rFonts w:hint="eastAsia"/>
        </w:rPr>
        <w:t>注：本表反映部门本年度一般公共预算财政拨款基本支出明细情况。</w:t>
      </w:r>
      <w:r>
        <w:br w:type="page"/>
      </w:r>
    </w:p>
    <w:tbl>
      <w:tblPr>
        <w:tblStyle w:val="7"/>
        <w:tblW w:w="9221" w:type="dxa"/>
        <w:jc w:val="center"/>
        <w:tblInd w:w="0" w:type="dxa"/>
        <w:tblLayout w:type="fixed"/>
        <w:tblCellMar>
          <w:top w:w="0" w:type="dxa"/>
          <w:left w:w="0" w:type="dxa"/>
          <w:bottom w:w="0" w:type="dxa"/>
          <w:right w:w="0" w:type="dxa"/>
        </w:tblCellMar>
      </w:tblPr>
      <w:tblGrid>
        <w:gridCol w:w="3030"/>
        <w:gridCol w:w="1655"/>
        <w:gridCol w:w="988"/>
        <w:gridCol w:w="988"/>
        <w:gridCol w:w="988"/>
        <w:gridCol w:w="1572"/>
      </w:tblGrid>
      <w:tr>
        <w:tblPrEx>
          <w:tblLayout w:type="fixed"/>
          <w:tblCellMar>
            <w:top w:w="0" w:type="dxa"/>
            <w:left w:w="0" w:type="dxa"/>
            <w:bottom w:w="0" w:type="dxa"/>
            <w:right w:w="0" w:type="dxa"/>
          </w:tblCellMar>
        </w:tblPrEx>
        <w:trPr>
          <w:trHeight w:val="638" w:hRule="atLeast"/>
          <w:jc w:val="center"/>
        </w:trPr>
        <w:tc>
          <w:tcPr>
            <w:tcW w:w="9221"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30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Layout w:type="fixed"/>
          <w:tblCellMar>
            <w:top w:w="0" w:type="dxa"/>
            <w:left w:w="0" w:type="dxa"/>
            <w:bottom w:w="0" w:type="dxa"/>
            <w:right w:w="0" w:type="dxa"/>
          </w:tblCellMar>
        </w:tblPrEx>
        <w:trPr>
          <w:trHeight w:val="360" w:hRule="atLeast"/>
          <w:jc w:val="center"/>
        </w:trPr>
        <w:tc>
          <w:tcPr>
            <w:tcW w:w="30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部门：金凤市场管理委员会办公室</w:t>
            </w:r>
          </w:p>
        </w:tc>
        <w:tc>
          <w:tcPr>
            <w:tcW w:w="1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417" w:hRule="atLeast"/>
          <w:jc w:val="center"/>
        </w:trPr>
        <w:tc>
          <w:tcPr>
            <w:tcW w:w="9221"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Layout w:type="fixed"/>
          <w:tblCellMar>
            <w:top w:w="0" w:type="dxa"/>
            <w:left w:w="0" w:type="dxa"/>
            <w:bottom w:w="0" w:type="dxa"/>
            <w:right w:w="0" w:type="dxa"/>
          </w:tblCellMar>
        </w:tblPrEx>
        <w:trPr>
          <w:trHeight w:val="417" w:hRule="atLeast"/>
          <w:jc w:val="center"/>
        </w:trPr>
        <w:tc>
          <w:tcPr>
            <w:tcW w:w="3030"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55"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964"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3030"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3030"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417" w:hRule="atLeast"/>
          <w:jc w:val="center"/>
        </w:trPr>
        <w:tc>
          <w:tcPr>
            <w:tcW w:w="3030"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9221"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417" w:hRule="atLeast"/>
          <w:jc w:val="center"/>
        </w:trPr>
        <w:tc>
          <w:tcPr>
            <w:tcW w:w="3030"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55"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964"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3030"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3030"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Layout w:type="fixed"/>
          <w:tblCellMar>
            <w:top w:w="0" w:type="dxa"/>
            <w:left w:w="0" w:type="dxa"/>
            <w:bottom w:w="0" w:type="dxa"/>
            <w:right w:w="0" w:type="dxa"/>
          </w:tblCellMar>
        </w:tblPrEx>
        <w:trPr>
          <w:trHeight w:val="447" w:hRule="atLeast"/>
          <w:jc w:val="center"/>
        </w:trPr>
        <w:tc>
          <w:tcPr>
            <w:tcW w:w="3030"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8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8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8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b/>
          <w:bCs/>
          <w:sz w:val="21"/>
          <w:szCs w:val="21"/>
        </w:rPr>
        <w:t>我单位本年度无相关支出情况，按要求空表列示</w:t>
      </w:r>
      <w:r>
        <w:rPr>
          <w:b/>
          <w:bCs/>
        </w:rPr>
        <w:tab/>
      </w:r>
      <w:r>
        <w:tab/>
      </w:r>
      <w:r>
        <w:tab/>
      </w:r>
      <w:r>
        <w:tab/>
      </w:r>
      <w:r>
        <w:tab/>
      </w:r>
      <w:r>
        <w:tab/>
      </w:r>
      <w:r>
        <w:tab/>
      </w:r>
      <w:r>
        <w:br w:type="page"/>
      </w:r>
    </w:p>
    <w:p>
      <w:pPr>
        <w:jc w:val="left"/>
      </w:pPr>
    </w:p>
    <w:tbl>
      <w:tblPr>
        <w:tblStyle w:val="7"/>
        <w:tblW w:w="10122" w:type="dxa"/>
        <w:jc w:val="center"/>
        <w:tblInd w:w="0" w:type="dxa"/>
        <w:tblLayout w:type="fixed"/>
        <w:tblCellMar>
          <w:top w:w="0" w:type="dxa"/>
          <w:left w:w="0" w:type="dxa"/>
          <w:bottom w:w="0" w:type="dxa"/>
          <w:right w:w="0" w:type="dxa"/>
        </w:tblCellMar>
      </w:tblPr>
      <w:tblGrid>
        <w:gridCol w:w="1020"/>
        <w:gridCol w:w="58"/>
        <w:gridCol w:w="58"/>
        <w:gridCol w:w="2987"/>
        <w:gridCol w:w="1023"/>
        <w:gridCol w:w="868"/>
        <w:gridCol w:w="1365"/>
        <w:gridCol w:w="1313"/>
        <w:gridCol w:w="744"/>
        <w:gridCol w:w="686"/>
      </w:tblGrid>
      <w:tr>
        <w:tblPrEx>
          <w:tblLayout w:type="fixed"/>
          <w:tblCellMar>
            <w:top w:w="0" w:type="dxa"/>
            <w:left w:w="0" w:type="dxa"/>
            <w:bottom w:w="0" w:type="dxa"/>
            <w:right w:w="0" w:type="dxa"/>
          </w:tblCellMar>
        </w:tblPrEx>
        <w:trPr>
          <w:trHeight w:val="780" w:hRule="atLeast"/>
          <w:jc w:val="center"/>
        </w:trPr>
        <w:tc>
          <w:tcPr>
            <w:tcW w:w="10122"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Layout w:type="fixed"/>
          <w:tblCellMar>
            <w:top w:w="0" w:type="dxa"/>
            <w:left w:w="0" w:type="dxa"/>
            <w:bottom w:w="0" w:type="dxa"/>
            <w:right w:w="0" w:type="dxa"/>
          </w:tblCellMar>
        </w:tblPrEx>
        <w:trPr>
          <w:trHeight w:val="531"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8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2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1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3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8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金凤市场管理委员会办公室</w:t>
            </w:r>
          </w:p>
        </w:tc>
        <w:tc>
          <w:tcPr>
            <w:tcW w:w="102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1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3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412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2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8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2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6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Layout w:type="fixed"/>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9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3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412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08" w:hRule="atLeast"/>
          <w:jc w:val="center"/>
        </w:trPr>
        <w:tc>
          <w:tcPr>
            <w:tcW w:w="412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32.58</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rPr>
            </w:pPr>
            <w:r>
              <w:rPr>
                <w:rFonts w:hint="eastAsia" w:ascii="宋体" w:hAnsi="宋体" w:eastAsia="宋体" w:cs="宋体"/>
                <w:b/>
                <w:color w:val="000000"/>
                <w:sz w:val="22"/>
              </w:rPr>
              <w:t>32.58</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rPr>
            </w:pPr>
            <w:r>
              <w:rPr>
                <w:rFonts w:hint="eastAsia" w:ascii="宋体" w:hAnsi="宋体" w:eastAsia="宋体" w:cs="宋体"/>
                <w:b/>
                <w:color w:val="000000"/>
                <w:sz w:val="22"/>
              </w:rPr>
              <w:t>32.58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212</w:t>
            </w:r>
          </w:p>
        </w:tc>
        <w:tc>
          <w:tcPr>
            <w:tcW w:w="29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b/>
                <w:bCs/>
                <w:color w:val="000000"/>
                <w:sz w:val="22"/>
              </w:rPr>
              <w:t>城乡社区支出</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32.58</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32.58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w:t>
            </w:r>
          </w:p>
        </w:tc>
        <w:tc>
          <w:tcPr>
            <w:tcW w:w="29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国有土地使用权出让收入及对应专项债务收入安排的支出</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32.58</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32.58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2120801</w:t>
            </w:r>
          </w:p>
        </w:tc>
        <w:tc>
          <w:tcPr>
            <w:tcW w:w="29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征地和拆迁补偿支出</w:t>
            </w: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32.58</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32.58</w:t>
            </w: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32.58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注：本表反映部门本年度政府性基金预算财政拨款收入、支出及结转和结余情况。</w:t>
      </w:r>
      <w:r>
        <w:br w:type="page"/>
      </w:r>
    </w:p>
    <w:tbl>
      <w:tblPr>
        <w:tblStyle w:val="7"/>
        <w:tblW w:w="9915" w:type="dxa"/>
        <w:jc w:val="center"/>
        <w:tblInd w:w="0" w:type="dxa"/>
        <w:tblLayout w:type="fixed"/>
        <w:tblCellMar>
          <w:top w:w="0" w:type="dxa"/>
          <w:left w:w="0" w:type="dxa"/>
          <w:bottom w:w="0" w:type="dxa"/>
          <w:right w:w="0" w:type="dxa"/>
        </w:tblCellMar>
      </w:tblPr>
      <w:tblGrid>
        <w:gridCol w:w="4143"/>
        <w:gridCol w:w="50"/>
        <w:gridCol w:w="50"/>
        <w:gridCol w:w="2540"/>
        <w:gridCol w:w="643"/>
        <w:gridCol w:w="1245"/>
        <w:gridCol w:w="1244"/>
      </w:tblGrid>
      <w:tr>
        <w:tblPrEx>
          <w:tblLayout w:type="fixed"/>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414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4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8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0" w:type="dxa"/>
            <w:bottom w:w="0" w:type="dxa"/>
            <w:right w:w="0" w:type="dxa"/>
          </w:tblCellMar>
        </w:tblPrEx>
        <w:trPr>
          <w:trHeight w:val="255" w:hRule="atLeast"/>
          <w:jc w:val="center"/>
        </w:trPr>
        <w:tc>
          <w:tcPr>
            <w:tcW w:w="4143"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部门：金凤市场管理委员会办公室</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4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8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67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313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615" w:hRule="atLeast"/>
          <w:jc w:val="center"/>
        </w:trPr>
        <w:tc>
          <w:tcPr>
            <w:tcW w:w="42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6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2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08" w:hRule="atLeast"/>
          <w:jc w:val="center"/>
        </w:trPr>
        <w:tc>
          <w:tcPr>
            <w:tcW w:w="678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678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6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2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2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42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42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42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42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42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
      <w:pPr>
        <w:ind w:firstLine="720" w:firstLineChars="400"/>
        <w:jc w:val="left"/>
      </w:pPr>
      <w:r>
        <w:rPr>
          <w:rFonts w:hint="eastAsia"/>
          <w:b/>
          <w:bCs/>
          <w:sz w:val="18"/>
          <w:szCs w:val="18"/>
          <w:lang w:eastAsia="zh-CN"/>
        </w:rPr>
        <w:t>注：</w:t>
      </w:r>
      <w:r>
        <w:rPr>
          <w:rFonts w:hint="eastAsia"/>
          <w:b/>
          <w:bCs/>
          <w:sz w:val="18"/>
          <w:szCs w:val="18"/>
        </w:rPr>
        <w:t>我单位本年度无相关支出情况，按要求空表列示</w:t>
      </w:r>
      <w:r>
        <w:rPr>
          <w:b/>
          <w:bCs/>
          <w:sz w:val="11"/>
          <w:szCs w:val="13"/>
        </w:rPr>
        <w:tab/>
      </w:r>
      <w:bookmarkStart w:id="0" w:name="_GoBack"/>
      <w:bookmarkEnd w:id="0"/>
      <w:r>
        <w:rPr>
          <w:sz w:val="11"/>
          <w:szCs w:val="13"/>
        </w:rPr>
        <w:tab/>
      </w:r>
      <w:r>
        <w:br w:type="page"/>
      </w:r>
      <w:r>
        <w:pict>
          <v:rect id="_x0000_s1027" o:spid="_x0000_s1027" o:spt="1" style="position:absolute;left:0pt;margin-left:-69.85pt;margin-top:-54.05pt;height:841.15pt;width:595.1pt;z-index:25166540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r>
        <w:rPr>
          <w:rFonts w:hint="eastAsia"/>
          <w:b/>
          <w:bCs/>
          <w:sz w:val="32"/>
          <w:szCs w:val="32"/>
        </w:rPr>
        <w:t>我单位本年度无相关支出情况，按要求空表列示</w:t>
      </w:r>
      <w:r>
        <w:rPr>
          <w:b/>
          <w:bCs/>
        </w:rPr>
        <w:tab/>
      </w:r>
      <w:r>
        <w:tab/>
      </w:r>
    </w:p>
    <w:p/>
    <w:sectPr>
      <w:headerReference r:id="rId24" w:type="first"/>
      <w:headerReference r:id="rId23" w:type="default"/>
      <w:footerReference r:id="rId25"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ArialUnicodeMS">
    <w:altName w:val="Dotum"/>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Dotum"/>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- 29 -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5926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582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283276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8927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8855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8865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7053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70636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754496;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5F222FFA"/>
    <w:multiLevelType w:val="singleLevel"/>
    <w:tmpl w:val="5F222FFA"/>
    <w:lvl w:ilvl="0" w:tentative="0">
      <w:start w:val="1"/>
      <w:numFmt w:val="decimal"/>
      <w:suff w:val="nothing"/>
      <w:lvlText w:val="（%1）"/>
      <w:lvlJc w:val="left"/>
    </w:lvl>
  </w:abstractNum>
  <w:abstractNum w:abstractNumId="3">
    <w:nsid w:val="6F89ADA6"/>
    <w:multiLevelType w:val="singleLevel"/>
    <w:tmpl w:val="6F89ADA6"/>
    <w:lvl w:ilvl="0" w:tentative="0">
      <w:start w:val="2"/>
      <w:numFmt w:val="decimal"/>
      <w:lvlText w:val="(%1)"/>
      <w:lvlJc w:val="left"/>
      <w:pPr>
        <w:tabs>
          <w:tab w:val="left" w:pos="312"/>
        </w:tabs>
      </w:pPr>
    </w:lvl>
  </w:abstractNum>
  <w:abstractNum w:abstractNumId="4">
    <w:nsid w:val="78C1413D"/>
    <w:multiLevelType w:val="singleLevel"/>
    <w:tmpl w:val="78C1413D"/>
    <w:lvl w:ilvl="0" w:tentative="0">
      <w:start w:val="1"/>
      <w:numFmt w:val="decimal"/>
      <w:suff w:val="space"/>
      <w:lvlText w:val="%1."/>
      <w:lvlJc w:val="left"/>
    </w:lvl>
  </w:abstractNum>
  <w:abstractNum w:abstractNumId="5">
    <w:nsid w:val="7D7CB4CE"/>
    <w:multiLevelType w:val="singleLevel"/>
    <w:tmpl w:val="7D7CB4CE"/>
    <w:lvl w:ilvl="0" w:tentative="0">
      <w:start w:val="3"/>
      <w:numFmt w:val="chineseCounting"/>
      <w:suff w:val="nothing"/>
      <w:lvlText w:val="（%1）"/>
      <w:lvlJc w:val="left"/>
      <w:rPr>
        <w:rFonts w:hint="eastAsia"/>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53A93"/>
    <w:rsid w:val="002650EC"/>
    <w:rsid w:val="002A6C46"/>
    <w:rsid w:val="002C19B5"/>
    <w:rsid w:val="003062AF"/>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1291"/>
    <w:rsid w:val="00A929C2"/>
    <w:rsid w:val="00AC1A5B"/>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6F774CE"/>
    <w:rsid w:val="0944756F"/>
    <w:rsid w:val="0AE67110"/>
    <w:rsid w:val="0B3D3D5D"/>
    <w:rsid w:val="0C412F3E"/>
    <w:rsid w:val="0DEF2B55"/>
    <w:rsid w:val="134158D5"/>
    <w:rsid w:val="13E16333"/>
    <w:rsid w:val="1DF31398"/>
    <w:rsid w:val="1E495E70"/>
    <w:rsid w:val="1E58003C"/>
    <w:rsid w:val="201A221B"/>
    <w:rsid w:val="246A6A2C"/>
    <w:rsid w:val="24FD631A"/>
    <w:rsid w:val="255630C5"/>
    <w:rsid w:val="25A626B9"/>
    <w:rsid w:val="266A7679"/>
    <w:rsid w:val="290C249D"/>
    <w:rsid w:val="2C8E006E"/>
    <w:rsid w:val="2E9344E6"/>
    <w:rsid w:val="31C2036A"/>
    <w:rsid w:val="320D02A5"/>
    <w:rsid w:val="32F4113F"/>
    <w:rsid w:val="348E566F"/>
    <w:rsid w:val="38A5602A"/>
    <w:rsid w:val="3A226944"/>
    <w:rsid w:val="3A371C78"/>
    <w:rsid w:val="3AEE6A48"/>
    <w:rsid w:val="3C1620AA"/>
    <w:rsid w:val="3C53104C"/>
    <w:rsid w:val="3CB15D0B"/>
    <w:rsid w:val="3D8F080F"/>
    <w:rsid w:val="3F670918"/>
    <w:rsid w:val="3FB2206D"/>
    <w:rsid w:val="41D16554"/>
    <w:rsid w:val="44CE1FA4"/>
    <w:rsid w:val="459666CD"/>
    <w:rsid w:val="487F73ED"/>
    <w:rsid w:val="4951591F"/>
    <w:rsid w:val="4A347EAE"/>
    <w:rsid w:val="4A93478C"/>
    <w:rsid w:val="4BD71911"/>
    <w:rsid w:val="4D405EF4"/>
    <w:rsid w:val="4DCD4669"/>
    <w:rsid w:val="4F7F189C"/>
    <w:rsid w:val="4F967D35"/>
    <w:rsid w:val="50A57A7F"/>
    <w:rsid w:val="518C6698"/>
    <w:rsid w:val="52600405"/>
    <w:rsid w:val="529B4319"/>
    <w:rsid w:val="541B71BE"/>
    <w:rsid w:val="562B5528"/>
    <w:rsid w:val="56720BD3"/>
    <w:rsid w:val="57467A68"/>
    <w:rsid w:val="57773DD6"/>
    <w:rsid w:val="578B79AB"/>
    <w:rsid w:val="5C235570"/>
    <w:rsid w:val="5CCD3FD5"/>
    <w:rsid w:val="61FA5F9D"/>
    <w:rsid w:val="63535555"/>
    <w:rsid w:val="64822C84"/>
    <w:rsid w:val="64CD6910"/>
    <w:rsid w:val="64E17E1C"/>
    <w:rsid w:val="6789158D"/>
    <w:rsid w:val="67D81BA4"/>
    <w:rsid w:val="67FA1016"/>
    <w:rsid w:val="6AAF1C96"/>
    <w:rsid w:val="6B0C1EC6"/>
    <w:rsid w:val="722E4EF8"/>
    <w:rsid w:val="72AD4091"/>
    <w:rsid w:val="75681757"/>
    <w:rsid w:val="75A346A8"/>
    <w:rsid w:val="75C0168D"/>
    <w:rsid w:val="79B9382C"/>
    <w:rsid w:val="7B043B76"/>
    <w:rsid w:val="7C041A6A"/>
    <w:rsid w:val="7CA15589"/>
    <w:rsid w:val="7D647204"/>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rFonts w:asciiTheme="minorHAnsi" w:hAnsiTheme="minorHAnsi" w:eastAsiaTheme="minorEastAsia"/>
      <w:sz w:val="18"/>
      <w:szCs w:val="18"/>
    </w:rPr>
  </w:style>
  <w:style w:type="character" w:customStyle="1" w:styleId="10">
    <w:name w:val="页脚 Char"/>
    <w:basedOn w:val="6"/>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GIF"/><Relationship Id="rId26" Type="http://schemas.openxmlformats.org/officeDocument/2006/relationships/theme" Target="theme/theme1.xml"/><Relationship Id="rId25" Type="http://schemas.openxmlformats.org/officeDocument/2006/relationships/footer" Target="footer10.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52"/>
    <customShpInfo spid="_x0000_s1049"/>
    <customShpInfo spid="_x0000_s1050"/>
    <customShpInfo spid="_x0000_s1051"/>
    <customShpInfo spid="_x0000_s1063"/>
    <customShpInfo spid="_x0000_s1060"/>
    <customShpInfo spid="_x0000_s1062"/>
    <customShpInfo spid="_x0000_s1057"/>
    <customShpInfo spid="_x0000_s1058"/>
    <customShpInfo spid="_x0000_s1059"/>
    <customShpInfo spid="_x0000_s1056"/>
    <customShpInfo spid="_x0000_s1054"/>
    <customShpInfo spid="_x0000_s1055"/>
    <customShpInfo spid="_x0000_s1053"/>
    <customShpInfo spid="_x0000_s1048"/>
    <customShpInfo spid="_x0000_s1047"/>
    <customShpInfo spid="_x0000_s1046"/>
    <customShpInfo spid="_x0000_s1045"/>
    <customShpInfo spid="_x0000_s1044"/>
    <customShpInfo spid="_x0000_s1043"/>
    <customShpInfo spid="_x0000_s1042"/>
    <customShpInfo spid="_x0000_s1026"/>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33</Pages>
  <Words>1510</Words>
  <Characters>8608</Characters>
  <Lines>71</Lines>
  <Paragraphs>20</Paragraphs>
  <TotalTime>1</TotalTime>
  <ScaleCrop>false</ScaleCrop>
  <LinksUpToDate>false</LinksUpToDate>
  <CharactersWithSpaces>10098</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2021-05-22T08:12:00Z</dcterms:created>
  <dc:creator>王明新TIAD</dc:creator>
  <cp:lastModifiedBy>Administrator</cp:lastModifiedBy>
  <cp:lastPrinted>2020-07-30T02:37:00Z</cp:lastPrinted>
  <dcterms:modified xsi:type="dcterms:W3CDTF">2021-05-30T10:53:35Z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